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b w:val="false"/>
          <w:bCs w:val="false"/>
          <w:i w:val="false"/>
          <w:iCs w:val="false"/>
          <w:color w:val="000000"/>
          <w:sz w:val="22"/>
          <w:szCs w:val="22"/>
        </w:rPr>
        <w:t xml:space="preserve"/>
      </w:r>
    </w:p>
    <w:p>
      <w:pPr>
        <w:spacing w:after="40" w:before="40"/>
      </w:pPr>
      <w:r>
        <w:rPr>
          <w:rFonts w:ascii="Arial" w:cs="Arial" w:eastAsia="Arial" w:hAnsi="Arial"/>
          <w:b w:val="false"/>
          <w:bCs w:val="false"/>
          <w:i w:val="false"/>
          <w:iCs w:val="false"/>
          <w:color w:val="000000"/>
          <w:sz w:val="22"/>
          <w:szCs w:val="22"/>
        </w:rPr>
        <w:t xml:space="preserve"/>
      </w:r>
    </w:p>
    <w:p>
      <w:pPr>
        <w:spacing w:after="40" w:before="40"/>
      </w:pPr>
      <w:r>
        <w:rPr>
          <w:rFonts w:ascii="Arial" w:cs="Arial" w:eastAsia="Arial" w:hAnsi="Arial"/>
          <w:b w:val="false"/>
          <w:bCs w:val="false"/>
          <w:i w:val="false"/>
          <w:iCs w:val="false"/>
          <w:color w:val="000000"/>
          <w:sz w:val="22"/>
          <w:szCs w:val="22"/>
        </w:rPr>
        <w:t xml:space="preserve"/>
      </w:r>
    </w:p>
    <w:p>
      <w:pPr>
        <w:spacing w:after="240" w:before="0"/>
        <w:jc w:val="center"/>
      </w:pPr>
      <w:r>
        <w:rPr>
          <w:rFonts w:ascii="Arial" w:cs="Arial" w:eastAsia="Arial" w:hAnsi="Arial"/>
          <w:b/>
          <w:bCs/>
          <w:i w:val="false"/>
          <w:iCs w:val="false"/>
          <w:color w:val="595959"/>
          <w:sz w:val="20"/>
          <w:szCs w:val="20"/>
        </w:rPr>
        <w:t xml:space="preserve">UNCLASSIFIED // FOR OFFICIAL USE ONLY</w:t>
      </w:r>
    </w:p>
    <w:p>
      <w:pPr>
        <w:spacing w:after="120" w:before="0"/>
        <w:jc w:val="center"/>
      </w:pPr>
      <w:r>
        <w:rPr>
          <w:rFonts w:ascii="Arial" w:cs="Arial" w:eastAsia="Arial" w:hAnsi="Arial"/>
          <w:b/>
          <w:bCs/>
          <w:i w:val="false"/>
          <w:iCs w:val="false"/>
          <w:color w:val="000000"/>
          <w:sz w:val="36"/>
          <w:szCs w:val="36"/>
        </w:rPr>
        <w:t xml:space="preserve">AUTHORITY TO OPERATE PACKAGE</w:t>
      </w:r>
    </w:p>
    <w:p>
      <w:pPr>
        <w:spacing w:after="60" w:before="0"/>
        <w:jc w:val="center"/>
      </w:pPr>
      <w:r>
        <w:rPr>
          <w:rFonts w:ascii="Arial" w:cs="Arial" w:eastAsia="Arial" w:hAnsi="Arial"/>
          <w:b/>
          <w:bCs/>
          <w:i w:val="false"/>
          <w:iCs w:val="false"/>
          <w:color w:val="000000"/>
          <w:sz w:val="30"/>
          <w:szCs w:val="30"/>
        </w:rPr>
        <w:t xml:space="preserve">Income Risk Scoring System</w:t>
      </w:r>
    </w:p>
    <w:p>
      <w:pPr>
        <w:spacing w:after="360" w:before="0"/>
        <w:jc w:val="center"/>
      </w:pPr>
      <w:r>
        <w:rPr>
          <w:rFonts w:ascii="Arial" w:cs="Arial" w:eastAsia="Arial" w:hAnsi="Arial"/>
          <w:b w:val="false"/>
          <w:bCs w:val="false"/>
          <w:i w:val="false"/>
          <w:iCs w:val="false"/>
          <w:color w:val="595959"/>
          <w:sz w:val="24"/>
          <w:szCs w:val="24"/>
        </w:rPr>
        <w:t xml:space="preserve">Version 1.0</w:t>
      </w:r>
    </w:p>
    <w:p>
      <w:pPr>
        <w:pBdr>
          <w:bottom w:val="single" w:color="888888" w:sz="4"/>
        </w:pBdr>
        <w:spacing w:after="360" w:before="0"/>
      </w:pPr>
      <w:r>
        <w:rPr>
          <w:rFonts w:ascii="Arial" w:cs="Arial" w:eastAsia="Arial" w:hAnsi="Arial"/>
          <w:b w:val="false"/>
          <w:bCs w:val="false"/>
          <w:i w:val="false"/>
          <w:iCs w:val="false"/>
          <w:color w:val="000000"/>
          <w:sz w:val="22"/>
          <w:szCs w:val="22"/>
        </w:rPr>
        <w:t xml:space="preserve"/>
      </w:r>
    </w:p>
    <w:p>
      <w:pPr>
        <w:spacing w:after="40" w:before="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Field</w:t>
            </w:r>
          </w:p>
        </w:tc>
        <w:tc>
          <w:tcPr>
            <w:tcW w:type="dxa" w:w="62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Value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Sponsoring Agency</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U.S. Department of Labor, Office of Workforce Analytics
(SAMPLE — Fictional Agency for Portfolio Demonstration)</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System Name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Income Risk Scoring System (IRSS)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System Version</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1.0</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System Owner</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Raghunath Devayajanam</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Role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AI Architect</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Classification</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UNCLASSIFIED</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FIPS 199 Impact Level</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Moderate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ATO Package Date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March 2026</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Package Version</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1.0</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Framework References</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NIST SP 800-18 Rev. 1 | NIST SP 800-30 Rev. 1 | NIST SP 800-53 Rev. 5 | NIST AI RMF 1.0 | FIPS 199 | FIPS 200 | E-Government Act of 2002</w:t>
            </w:r>
          </w:p>
        </w:tc>
      </w:tr>
    </w:tbl>
    <w:p>
      <w:pPr>
        <w:spacing w:after="40" w:before="40"/>
      </w:pPr>
      <w:r>
        <w:rPr>
          <w:rFonts w:ascii="Arial" w:cs="Arial" w:eastAsia="Arial" w:hAnsi="Arial"/>
          <w:b w:val="false"/>
          <w:bCs w:val="false"/>
          <w:i w:val="false"/>
          <w:iCs w:val="false"/>
          <w:color w:val="000000"/>
          <w:sz w:val="22"/>
          <w:szCs w:val="22"/>
        </w:rPr>
        <w:t xml:space="preserve"/>
      </w:r>
    </w:p>
    <w:p>
      <w:pPr>
        <w:spacing w:after="40" w:before="40"/>
      </w:pPr>
      <w:r>
        <w:rPr>
          <w:rFonts w:ascii="Arial" w:cs="Arial" w:eastAsia="Arial" w:hAnsi="Arial"/>
          <w:b w:val="false"/>
          <w:bCs w:val="false"/>
          <w:i w:val="false"/>
          <w:iCs w:val="false"/>
          <w:color w:val="000000"/>
          <w:sz w:val="22"/>
          <w:szCs w:val="22"/>
        </w:rPr>
        <w:t xml:space="preserve"/>
      </w:r>
    </w:p>
    <w:p>
      <w:pPr>
        <w:spacing w:after="0" w:before="240"/>
        <w:jc w:val="center"/>
      </w:pPr>
      <w:r>
        <w:rPr>
          <w:rFonts w:ascii="Arial" w:cs="Arial" w:eastAsia="Arial" w:hAnsi="Arial"/>
          <w:b w:val="false"/>
          <w:bCs w:val="false"/>
          <w:i/>
          <w:iCs/>
          <w:color w:val="595959"/>
          <w:sz w:val="18"/>
          <w:szCs w:val="18"/>
        </w:rPr>
        <w:t xml:space="preserve">NOTICE: This document is a portfolio demonstration artifact. The sponsoring agency named above is fictional and used solely to illustrate federal ATO documentation structure. All technical content reflects a real, functioning MLOps pipeline built on 2023 U.S. Census Bureau public microdata.</w:t>
      </w:r>
    </w:p>
    <w:p>
      <w:pPr>
        <w:pageBreakBefore/>
        <w:spacing w:after="0" w:before="0"/>
      </w:pPr>
      <w:r>
        <w:rPr>
          <w:rFonts w:ascii="Arial" w:cs="Arial" w:eastAsia="Arial" w:hAnsi="Arial"/>
          <w:sz w:val="22"/>
          <w:szCs w:val="22"/>
        </w:rPr>
        <w:t xml:space="preserve"/>
      </w:r>
    </w:p>
    <w:p>
      <w:pPr>
        <w:pStyle w:val="Heading1"/>
        <w:pBdr>
          <w:bottom w:val="single" w:color="888888" w:sz="6" w:space="4"/>
        </w:pBdr>
        <w:spacing w:after="160" w:before="320"/>
      </w:pPr>
      <w:r>
        <w:rPr>
          <w:rFonts w:ascii="Arial" w:cs="Arial" w:eastAsia="Arial" w:hAnsi="Arial"/>
          <w:b/>
          <w:bCs/>
          <w:color w:val="000000"/>
          <w:sz w:val="28"/>
          <w:szCs w:val="28"/>
        </w:rPr>
        <w:t xml:space="preserve">Document Control</w:t>
      </w:r>
    </w:p>
    <w:p>
      <w:pPr>
        <w:pStyle w:val="Heading2"/>
        <w:spacing w:after="100" w:before="240"/>
      </w:pPr>
      <w:r>
        <w:rPr>
          <w:rFonts w:ascii="Arial" w:cs="Arial" w:eastAsia="Arial" w:hAnsi="Arial"/>
          <w:b/>
          <w:bCs/>
          <w:color w:val="000000"/>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400"/>
        <w:gridCol w:w="4200"/>
      </w:tblGrid>
      <w:tr>
        <w:trPr>
          <w:tblHeader/>
        </w:trPr>
        <w:tc>
          <w:tcPr>
            <w:tcW w:type="dxa" w:w="120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Version</w:t>
            </w:r>
          </w:p>
        </w:tc>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Date</w:t>
            </w:r>
          </w:p>
        </w:tc>
        <w:tc>
          <w:tcPr>
            <w:tcW w:type="dxa" w:w="240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Author</w:t>
            </w:r>
          </w:p>
        </w:tc>
        <w:tc>
          <w:tcPr>
            <w:tcW w:type="dxa" w:w="420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Description</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1.0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March 2026</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Raghunath Devayajanam</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Initial ATO package — all six components drafted against Virginia (FIPS 51) development deployment.</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Document Purpose</w:t>
      </w:r>
    </w:p>
    <w:p>
      <w:pPr>
        <w:spacing w:after="60" w:before="60"/>
        <w:jc w:val="left"/>
      </w:pPr>
      <w:r>
        <w:rPr>
          <w:rFonts w:ascii="Arial" w:cs="Arial" w:eastAsia="Arial" w:hAnsi="Arial"/>
          <w:b w:val="false"/>
          <w:bCs w:val="false"/>
          <w:i w:val="false"/>
          <w:iCs w:val="false"/>
          <w:color w:val="000000"/>
          <w:sz w:val="22"/>
          <w:szCs w:val="22"/>
        </w:rPr>
        <w:t xml:space="preserve">This Authority to Operate (ATO) package documents the security posture, privacy considerations, risk assessment, open weaknesses, AI-specific impacts, and security testing approach for the Income Risk Scoring System (IRSS) v1.0. It is structured in accordance with the NIST Risk Management Framework (RMF) as defined in NIST SP 800-37 Rev. 2 and references applicable controls from NIST SP 800-53 Rev. 5.</w:t>
      </w:r>
    </w:p>
    <w:p>
      <w:pPr>
        <w:spacing w:after="60" w:before="60"/>
        <w:jc w:val="left"/>
      </w:pPr>
      <w:r>
        <w:rPr>
          <w:rFonts w:ascii="Arial" w:cs="Arial" w:eastAsia="Arial" w:hAnsi="Arial"/>
          <w:b w:val="false"/>
          <w:bCs w:val="false"/>
          <w:i w:val="false"/>
          <w:iCs w:val="false"/>
          <w:color w:val="000000"/>
          <w:sz w:val="22"/>
          <w:szCs w:val="22"/>
        </w:rPr>
        <w:t xml:space="preserve">The package comprises six components: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Part 1 — System Security Plan (SSP): NIST SP 800-18 Rev. 1</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Part 2 — Privacy Impact Assessment (PIA): E-Government Act of 2002, Section 208</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Part 3 — Risk Assessment Report (RAR): NIST SP 800-30 Rev. 1</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Part 4 — Plan of Action and Milestones (POA&amp;M)</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Part 5 — AI Impact Assessment: EO 13960, OMB M-21-06, NIST AI RMF 1.0</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Part 6 — Security Assessment Plan (SAP): NIST SP 800-53A Rev. 5</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Applicable Laws, Regulations, and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Reference</w:t>
            </w:r>
          </w:p>
        </w:tc>
        <w:tc>
          <w:tcPr>
            <w:tcW w:type="dxa" w:w="62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Title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FISMA (44 U.S.C. § 3551)</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Federal Information Security Modernization Act</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FIPS 199</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Standards for Security Categorization of Federal Information and Information Systems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FIPS 200</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Minimum Security Requirements for Federal Information and Information Systems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NIST SP 800-18 Rev. 1</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Guide for Developing Security Plans for Federal Information Systems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NIST SP 800-30 Rev. 1</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Guide for Conducting Risk Assessments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NIST SP 800-37 Rev. 2</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Risk Management Framework for Information Systems and Organizations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NIST SP 800-53 Rev. 5</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Security and Privacy Controls for Information Systems and Organizations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NIST SP 800-53A Rev. 5</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Assessing Security and Privacy Controls in Information Systems and Organizations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NIST AI RMF 1.0</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Artificial Intelligence Risk Management Framework</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E-Government Act of 2002, Section 208</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Privacy Impact Assessment Requirements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Executive Order 13960</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Promoting the Use of Trustworthy Artificial Intelligence in the Federal Government</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OMB M-21-06</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Guidance for Regulation of Artificial Intelligence Applications</w:t>
            </w:r>
          </w:p>
        </w:tc>
      </w:tr>
    </w:tbl>
    <w:p>
      <w:pPr>
        <w:pageBreakBefore/>
        <w:spacing w:after="0" w:before="0"/>
      </w:pPr>
      <w:r>
        <w:rPr>
          <w:rFonts w:ascii="Arial" w:cs="Arial" w:eastAsia="Arial" w:hAnsi="Arial"/>
          <w:sz w:val="22"/>
          <w:szCs w:val="22"/>
        </w:rPr>
        <w:t xml:space="preserve"/>
      </w:r>
    </w:p>
    <w:p>
      <w:pPr>
        <w:pStyle w:val="Heading1"/>
        <w:pBdr>
          <w:bottom w:val="single" w:color="888888" w:sz="6" w:space="4"/>
        </w:pBdr>
        <w:spacing w:after="160" w:before="320"/>
      </w:pPr>
      <w:r>
        <w:rPr>
          <w:rFonts w:ascii="Arial" w:cs="Arial" w:eastAsia="Arial" w:hAnsi="Arial"/>
          <w:b/>
          <w:bCs/>
          <w:color w:val="000000"/>
          <w:sz w:val="28"/>
          <w:szCs w:val="28"/>
        </w:rPr>
        <w:t xml:space="preserve">Part 1 — System Security Plan (SSP)</w:t>
      </w:r>
    </w:p>
    <w:p>
      <w:pPr>
        <w:spacing w:after="100" w:before="40"/>
      </w:pPr>
      <w:r>
        <w:rPr>
          <w:rFonts w:ascii="Arial" w:cs="Arial" w:eastAsia="Arial" w:hAnsi="Arial"/>
          <w:b w:val="false"/>
          <w:bCs w:val="false"/>
          <w:i/>
          <w:iCs/>
          <w:color w:val="595959"/>
          <w:sz w:val="20"/>
          <w:szCs w:val="20"/>
        </w:rPr>
        <w:t xml:space="preserve">Reference: NIST SP 800-18 Rev. 1 | NIST SP 800-53 Rev. 5 | FIPS 199 | FIPS 200</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1.1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Attribute</w:t>
            </w:r>
          </w:p>
        </w:tc>
        <w:tc>
          <w:tcPr>
            <w:tcW w:type="dxa" w:w="6552"/>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Value</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System Name</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Income Risk Scoring System (IRSS)</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System Acronym</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IRSS</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System Version</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1.0</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System Owner</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Raghunath Devayajanam, AI Architect</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Sponsoring Organization</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U.S. Department of XXXX, Office of XXXX, Credit Check Division</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Operating Status</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Operational — Virginia (FIPS 51) pilot deployment</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System Type</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Major Application — AI/ML Production Pipeline</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Deployment Environment</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Amazon Web Services (AWS), us-east-1</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Repository</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github.com/ai-systems-architect/responsible-mlops-risk-engine</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ATO Date</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March 2026</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ATO Expiration</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March 2028 (24-month ATO cycle)</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1.2  System Categorization — FIPS 199</w:t>
      </w:r>
    </w:p>
    <w:p>
      <w:pPr>
        <w:spacing w:after="60" w:before="60"/>
        <w:jc w:val="left"/>
      </w:pPr>
      <w:r>
        <w:rPr>
          <w:rFonts w:ascii="Arial" w:cs="Arial" w:eastAsia="Arial" w:hAnsi="Arial"/>
          <w:b w:val="false"/>
          <w:bCs w:val="false"/>
          <w:i w:val="false"/>
          <w:iCs w:val="false"/>
          <w:color w:val="000000"/>
          <w:sz w:val="22"/>
          <w:szCs w:val="22"/>
        </w:rPr>
        <w:t xml:space="preserve">The system is categorized in accordance with FIPS 199 and NIST SP 800-60 Vol. I and II. The overall impact level is the high water mark across the three security objectives.</w:t>
      </w:r>
    </w:p>
    <w:p>
      <w:pPr>
        <w:spacing w:after="40" w:before="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Security Objective</w:t>
            </w:r>
          </w:p>
        </w:tc>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Impact Level</w:t>
            </w:r>
          </w:p>
        </w:tc>
        <w:tc>
          <w:tcPr>
            <w:tcW w:type="dxa" w:w="54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Rationale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Confidentiality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The system is trained on 2023 U.S. Census Bureau ACS PUMS public microdata. No personally identifiable information (PII) is collected or stored. Model outputs are probability scores — not individual identifiers. Unauthorized disclosure has limited adverse effect.</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Integrity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Moderate</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Tampering with training data, model artifacts, or preprocessing pipelines could produce biased or inaccurate income predictions with serious downstream mission impact. Loss of integrity has serious adverse effect.</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Availability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IRSS is a decision-support tool. Temporary unavailability of the SageMaker endpoint delays but does not prevent mission operations. Local inference via the full sklearn Pipeline artifact remains available.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Overall System Impact</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MODERATE</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High water mark driven by Integrity. NIST SP 800-53 Rev. 5 Moderate baseline controls apply.</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1.3  System Description</w:t>
      </w:r>
    </w:p>
    <w:p>
      <w:pPr>
        <w:spacing w:after="60" w:before="60"/>
        <w:jc w:val="left"/>
      </w:pPr>
      <w:r>
        <w:rPr>
          <w:rFonts w:ascii="Arial" w:cs="Arial" w:eastAsia="Arial" w:hAnsi="Arial"/>
          <w:b w:val="false"/>
          <w:bCs w:val="false"/>
          <w:i w:val="false"/>
          <w:iCs w:val="false"/>
          <w:color w:val="000000"/>
          <w:sz w:val="22"/>
          <w:szCs w:val="22"/>
        </w:rPr>
        <w:t xml:space="preserve">The Income Risk Scoring System (IRSS) is a production-grade MLOps pipeline that performs binary income-based risk classification on 2023 U.S. Census Bureau American Community Survey (ACS) Public Use Microdata Sample (PUMS) data. The system predicts whether an individual's annual wage income meets or exceeds $75,000 — approximating the 2023 U.S. median household income.</w:t>
      </w:r>
    </w:p>
    <w:p>
      <w:pPr>
        <w:spacing w:after="60" w:before="60"/>
        <w:jc w:val="left"/>
      </w:pPr>
      <w:r>
        <w:rPr>
          <w:rFonts w:ascii="Arial" w:cs="Arial" w:eastAsia="Arial" w:hAnsi="Arial"/>
          <w:b w:val="false"/>
          <w:bCs w:val="false"/>
          <w:i w:val="false"/>
          <w:iCs w:val="false"/>
          <w:color w:val="000000"/>
          <w:sz w:val="22"/>
          <w:szCs w:val="22"/>
        </w:rPr>
        <w:t xml:space="preserve">The pipeline spans the full ML lifecycle: data ingestion via Census API, feature engineering and preprocessing, progressive model training with automated fairness enforcement, MLflow model registry, SageMaker real-time endpoint deployment, and Evidently AI drift monitoring with CloudWatch alarming. All infrastructure is provisioned via Terraform — no manual console configuration exists.</w:t>
      </w:r>
    </w:p>
    <w:p>
      <w:pPr>
        <w:spacing w:after="60" w:before="60"/>
        <w:jc w:val="left"/>
      </w:pPr>
      <w:r>
        <w:rPr>
          <w:rFonts w:ascii="Arial" w:cs="Arial" w:eastAsia="Arial" w:hAnsi="Arial"/>
          <w:b w:val="false"/>
          <w:bCs w:val="false"/>
          <w:i w:val="false"/>
          <w:iCs w:val="false"/>
          <w:color w:val="000000"/>
          <w:sz w:val="22"/>
          <w:szCs w:val="22"/>
        </w:rPr>
        <w:t xml:space="preserve">IRSS is a decision-support tool. Model outputs are probability scores intended to support, not replace, human judgment. Human review is required before any consequential action is taken on model output.</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1.4  System Boundary and Authorization Boundary</w:t>
      </w:r>
    </w:p>
    <w:p>
      <w:pPr>
        <w:spacing w:after="60" w:before="60"/>
        <w:jc w:val="left"/>
      </w:pPr>
      <w:r>
        <w:rPr>
          <w:rFonts w:ascii="Arial" w:cs="Arial" w:eastAsia="Arial" w:hAnsi="Arial"/>
          <w:b w:val="false"/>
          <w:bCs w:val="false"/>
          <w:i w:val="false"/>
          <w:iCs w:val="false"/>
          <w:color w:val="000000"/>
          <w:sz w:val="22"/>
          <w:szCs w:val="22"/>
        </w:rPr>
        <w:t xml:space="preserve">The IRSS authorization boundary encompasses all components within the AWS account in the us-east-1 region. The following components are within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Component</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Type</w:t>
            </w:r>
          </w:p>
        </w:tc>
        <w:tc>
          <w:tcPr>
            <w:tcW w:type="dxa" w:w="390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Description</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Pipeline scripts (ingest, preprocess, train, evaluate, register)</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Application Software</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Python MLOps pipeline — Census API ingestion through MLflow registration</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deploy.py / app.py (Streamlit)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Application Software</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SageMaker deployment script and Streamlit demonstration interface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drift_monitor.py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Application Software</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Evidently AI drift detection with CloudWatch integration</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S3 — responsible-risk-engine-raw-data-*</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Storage</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Raw ACS PUMS parquet artifacts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S3 — responsible-risk-engine-processed-*</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Storage</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Preprocessed features, encoders, scaler artifacts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S3 — responsible-risk-engine-models-*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Storage</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Trained model artifacts for SageMaker deployment</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SageMaker Endpoint — responsible-risk-engine-prod-v1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Serving</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Real-time inference endpoint — AWS XGBoost managed container</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IAM Role — responsible-risk-engine-sagemaker-execution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Identity</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Execution role with least-privilege S3 and CloudWatch permissions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CloudWatch — ResponsibleRiskEngine/Drift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Monitoring</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Drift metrics and three operational alarms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MLflow Registry (local)</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Experiment Tracking</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versioning, lineage, and artifact storage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GitHub Actions CI/CD</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Automation</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Lint and structure validation on every push to main</w:t>
            </w:r>
          </w:p>
        </w:tc>
      </w:tr>
    </w:tbl>
    <w:p>
      <w:pPr>
        <w:spacing w:after="40" w:before="40"/>
      </w:pPr>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The following components are external to the authorization boundary: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U.S. Census Bureau API (api.census.gov) — external data source, read-only, public data</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GitHub.com — source code repository, external service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PyPI / npm package repositories — dependency sources at build time only</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1.5  User Roles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Role</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Access Level</w:t>
            </w:r>
          </w:p>
        </w:tc>
        <w:tc>
          <w:tcPr>
            <w:tcW w:type="dxa" w:w="468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Responsibilities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AI Architect / System Owner</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Full — AWS account, GitHub owner</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Pipeline development, deployment approval, fairness review, ATO maintenance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ML Engineer</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Developer — AWS IAM constrained, GitHub write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training, evaluation, registry management</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Responsible AI Reviewer</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Read-only — fairness reports, drift reports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Monthly fairness drift review, escalation authority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SageMaker Execution Role (service)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IAM service role — S3 read/write, CloudWatch write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Endpoint operation, artifact retrieval, metric publishing</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CI/CD Service Account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Limited — lint and structure only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Automated pipeline validation — no deployment authority</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1.6  Security Control Implementation</w:t>
      </w:r>
    </w:p>
    <w:p>
      <w:pPr>
        <w:spacing w:after="60" w:before="60"/>
        <w:jc w:val="left"/>
      </w:pPr>
      <w:r>
        <w:rPr>
          <w:rFonts w:ascii="Arial" w:cs="Arial" w:eastAsia="Arial" w:hAnsi="Arial"/>
          <w:b w:val="false"/>
          <w:bCs w:val="false"/>
          <w:i w:val="false"/>
          <w:iCs w:val="false"/>
          <w:color w:val="000000"/>
          <w:sz w:val="22"/>
          <w:szCs w:val="22"/>
        </w:rPr>
        <w:t xml:space="preserve">The following controls from the NIST SP 800-53 Rev. 5 Moderate baseline are implemented, selected for relevance to an AI/ML pipeline operating on public microdata in a cloud environment.</w:t>
      </w:r>
    </w:p>
    <w:p>
      <w:pPr>
        <w:spacing w:after="40" w:before="40"/>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404040"/>
          <w:sz w:val="22"/>
          <w:szCs w:val="22"/>
        </w:rPr>
        <w:t xml:space="preserve">Access Control (AC)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Control</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Name</w:t>
            </w:r>
          </w:p>
        </w:tc>
        <w:tc>
          <w:tcPr>
            <w:tcW w:type="dxa" w:w="54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Implementation</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AC-2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Account Management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AWS IAM provides role-based access control. The SageMaker execution role is scoped to least-privilege S3 and CloudWatch permissions only. No shared credentials. GitHub repository access is owner-controlled with branch protection on main.</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AC-3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Access Enforcement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IAM policies enforce access at the resource level. S3 buckets are private with no public access. SageMaker endpoint invocation requires AWS Signature Version 4 authentication. MLflow runs locally with no network exposure.</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AC-17</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Remote Access</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All AWS API calls use HTTPS (TLS 1.2+). No SSH or console-based access to production infrastructure. Terraform applies changes via AWS CLI with MFA-enabled credentials.</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404040"/>
          <w:sz w:val="22"/>
          <w:szCs w:val="22"/>
        </w:rPr>
        <w:t xml:space="preserve">Audit and Accountability (AU)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Control</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Name</w:t>
            </w:r>
          </w:p>
        </w:tc>
        <w:tc>
          <w:tcPr>
            <w:tcW w:type="dxa" w:w="54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Implementation</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AU-2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Event Logging</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CloudWatch captures all SageMaker endpoint invocations, errors, and latency. Three alarms are defined in Terraform: endpoint-availability, invocation-errors, model-latency. AWS CloudTrail logs all API calls within the account.</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AU-12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Audit Record Generation</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MLflow generates an immutable audit record for every model training run — hyperparameters, metrics, fairness results, and artifacts. Decision log DL-001 through DL-016 provides a human-readable audit trail of all architectural decisions with rationale.</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404040"/>
          <w:sz w:val="22"/>
          <w:szCs w:val="22"/>
        </w:rPr>
        <w:t xml:space="preserve">Configuration Management (CM)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Control</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Name</w:t>
            </w:r>
          </w:p>
        </w:tc>
        <w:tc>
          <w:tcPr>
            <w:tcW w:type="dxa" w:w="54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Implementation</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CM-2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Baseline Configuration</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All infrastructure defined in Terraform (infrastructure/main.tf). No manual console configuration. terraform plan produces a diff before any change is applied. SageMaker SDK constrained to &gt;=2.200.0,&lt;3.0.0 per DL-010.</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CM-6</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Configuration Settings</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All pipeline parameters centralized in config.py — no hardcoded values in pipeline scripts. Sensitive credentials stored in .env (gitignored). .env.example provides a credential template without values.</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CM-8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System Component Inventory</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Terraform outputs.tf enumerates all AWS resource ARNs. Architecture.md documents the full technology stack. requirements.txt is the canonical dependency inventory.</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404040"/>
          <w:sz w:val="22"/>
          <w:szCs w:val="22"/>
        </w:rPr>
        <w:t xml:space="preserve">Incident Response (IR)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Control</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Name</w:t>
            </w:r>
          </w:p>
        </w:tc>
        <w:tc>
          <w:tcPr>
            <w:tcW w:type="dxa" w:w="54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Implementation</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IR-4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Incident Handling</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CloudWatch alarms trigger SNS notifications on endpoint errors, availability loss, and latency spikes. Runbook.md Section 5 defines the drift alert response procedure. Runbook.md Section 4 defines the fairness gate failure recovery procedure.</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IR-6</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Incident Reporting</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Fairness gate failures are logged as GitHub Actions CI/CD failures and visible in the repository Actions tab. Drift alerts publish to CloudWatch and trigger SNS. Decision log captures root cause findings for significant incidents.</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404040"/>
          <w:sz w:val="22"/>
          <w:szCs w:val="22"/>
        </w:rPr>
        <w:t xml:space="preserve">Risk Assessment (RA)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Control</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Name</w:t>
            </w:r>
          </w:p>
        </w:tc>
        <w:tc>
          <w:tcPr>
            <w:tcW w:type="dxa" w:w="54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Implementation</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RA-3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Risk Assessment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Risk Assessment Report (Part 3 of this package) documents threat sources, likelihood, impact, and residual risk specific to an ML pipeline. The fairness audit quantifies demographic risk per group.</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RA-5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Vulnerability Monitoring</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GitHub Actions runs flake8 on every push. Dependency pinning limits supply chain exposure. SageMaker managed containers are patched by AWS. All dependency versions are pinned in requirements.txt.</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404040"/>
          <w:sz w:val="22"/>
          <w:szCs w:val="22"/>
        </w:rPr>
        <w:t xml:space="preserve">System and Communications Protection (SC)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Control</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Name</w:t>
            </w:r>
          </w:p>
        </w:tc>
        <w:tc>
          <w:tcPr>
            <w:tcW w:type="dxa" w:w="54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Implementation</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SC-8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Transmission Confidentiality and Integrity</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All Census API calls and AWS service calls use HTTPS (TLS 1.2+). SageMaker endpoint invocations use HTTPS. No unencrypted data transmission exists in the pipeline.</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SC-28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Protection of Information at Rest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S3 buckets use AWS-managed AES-256 server-side encryption (SSE-S3) by default. Model artifacts stored in S3 are encrypted at rest. Local MLflow artifacts are protected by host OS file permissions.</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404040"/>
          <w:sz w:val="22"/>
          <w:szCs w:val="22"/>
        </w:rPr>
        <w:t xml:space="preserve">System and Information Integrity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Control</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Name</w:t>
            </w:r>
          </w:p>
        </w:tc>
        <w:tc>
          <w:tcPr>
            <w:tcW w:type="dxa" w:w="54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Implementation</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SI-2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Flaw Remediation</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Dependency versions pinned in requirements.txt. Known breaking changes documented in decision log DL-010 (SageMaker 3.x migration deferred). GitHub Dependabot alerts monitored for security advisories.</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SI-4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System Monitoring</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Evidently AI drift_monitor.py provides continuous monitoring of input feature distributions against training baseline. CloudWatch namespace ResponsibleRiskEngine/Drift publishes 9 metrics per monitoring run. Three operational CloudWatch alarms are active when the endpoint is deployed.</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404040"/>
          <w:sz w:val="22"/>
          <w:szCs w:val="22"/>
        </w:rPr>
        <w:t xml:space="preserve">AI-Specific Controls (NIST AI RMF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Control</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Name</w:t>
            </w:r>
          </w:p>
        </w:tc>
        <w:tc>
          <w:tcPr>
            <w:tcW w:type="dxa" w:w="468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Implementation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GOVERN 1.1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Policies and Procedures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Fairness gate in evaluate.py blocks deployment on fairness failure — policy enforced through code, not documentation alone. Decision log provides an auditable trail of all design decisions.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MEASURE 2.5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Bias and Fairness Evaluation</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evaluate.py computes PPR, AUC-ROC, precision, recall, and F1 across 10 demographic groups (race, sex, nativity) for every model version. Gate threshold: ±0.20 PPR deviation. Virginia audit result: PASSED.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MANAGE 1.3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Deployment Approval Gate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Multi-stage approval: (1) automated AUC gate &gt;=0.82, (2) automated fairness gate ±0.20 PPR, (3) manual MLflow registry promotion to staging, (4) explicit deploy.py execution. No automated production promotion path exists.</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1.7  Continuous Monitoring Strategy</w:t>
      </w:r>
    </w:p>
    <w:p>
      <w:pPr>
        <w:spacing w:after="60" w:before="60"/>
        <w:jc w:val="left"/>
      </w:pPr>
      <w:r>
        <w:rPr>
          <w:rFonts w:ascii="Arial" w:cs="Arial" w:eastAsia="Arial" w:hAnsi="Arial"/>
          <w:b w:val="false"/>
          <w:bCs w:val="false"/>
          <w:i w:val="false"/>
          <w:iCs w:val="false"/>
          <w:color w:val="000000"/>
          <w:sz w:val="22"/>
          <w:szCs w:val="22"/>
        </w:rPr>
        <w:t xml:space="preserve">IRSS implements a continuous monitoring strategy aligned with NIST SP 800-137. Monitoring covers infrastructure health, data quality, and AI-specific drift and fairness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Monitoring Area</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Tool</w:t>
            </w:r>
          </w:p>
        </w:tc>
        <w:tc>
          <w:tcPr>
            <w:tcW w:type="dxa" w:w="468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Frequency and Threshold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Feature drift — input distribution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Evidently AI + CloudWatch</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Daily when endpoint is active. Alert if drift_share &gt; 0.20 (DL-015).</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Fairness drift — per-group PPR</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drift_monitor.py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Monthly manual review. Alert if any group PPR delta exceeds ±0.15.</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Endpoint availability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CloudWatch alarm</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Continuous. Alert if invocations drop to zero.</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Endpoint error rate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CloudWatch alarm</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Continuous. Alert if more than 5% of requests return errors.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Endpoint latency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CloudWatch alarm</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Continuous. Alert if p99 latency exceeds 2000ms.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registry integrity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MLflow</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On every retrain. New version must pass AUC and fairness gates before promotion.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Dependency security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GitHub Dependabot</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Continuous. Alerts on known CVEs in pinned dependencies.</w:t>
            </w:r>
          </w:p>
        </w:tc>
      </w:tr>
    </w:tbl>
    <w:p>
      <w:pPr>
        <w:pageBreakBefore/>
        <w:spacing w:after="0" w:before="0"/>
      </w:pPr>
      <w:r>
        <w:rPr>
          <w:rFonts w:ascii="Arial" w:cs="Arial" w:eastAsia="Arial" w:hAnsi="Arial"/>
          <w:sz w:val="22"/>
          <w:szCs w:val="22"/>
        </w:rPr>
        <w:t xml:space="preserve"/>
      </w:r>
    </w:p>
    <w:p>
      <w:pPr>
        <w:pStyle w:val="Heading1"/>
        <w:pBdr>
          <w:bottom w:val="single" w:color="888888" w:sz="6" w:space="4"/>
        </w:pBdr>
        <w:spacing w:after="160" w:before="320"/>
      </w:pPr>
      <w:r>
        <w:rPr>
          <w:rFonts w:ascii="Arial" w:cs="Arial" w:eastAsia="Arial" w:hAnsi="Arial"/>
          <w:b/>
          <w:bCs/>
          <w:color w:val="000000"/>
          <w:sz w:val="28"/>
          <w:szCs w:val="28"/>
        </w:rPr>
        <w:t xml:space="preserve">Part 2 — Privacy Impact Assessment (PIA)</w:t>
      </w:r>
    </w:p>
    <w:p>
      <w:pPr>
        <w:spacing w:after="100" w:before="40"/>
      </w:pPr>
      <w:r>
        <w:rPr>
          <w:rFonts w:ascii="Arial" w:cs="Arial" w:eastAsia="Arial" w:hAnsi="Arial"/>
          <w:b w:val="false"/>
          <w:bCs w:val="false"/>
          <w:i/>
          <w:iCs/>
          <w:color w:val="595959"/>
          <w:sz w:val="20"/>
          <w:szCs w:val="20"/>
        </w:rPr>
        <w:t xml:space="preserve">Reference: E-Government Act of 2002 Section 208 | OMB M-03-22 | Privacy Act of 1974</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2.1  System Overview</w:t>
      </w:r>
    </w:p>
    <w:p>
      <w:pPr>
        <w:spacing w:after="60" w:before="60"/>
        <w:jc w:val="left"/>
      </w:pPr>
      <w:r>
        <w:rPr>
          <w:rFonts w:ascii="Arial" w:cs="Arial" w:eastAsia="Arial" w:hAnsi="Arial"/>
          <w:b w:val="false"/>
          <w:bCs w:val="false"/>
          <w:i w:val="false"/>
          <w:iCs w:val="false"/>
          <w:color w:val="000000"/>
          <w:sz w:val="22"/>
          <w:szCs w:val="22"/>
        </w:rPr>
        <w:t xml:space="preserve">This Privacy Impact Assessment (PIA) is prepared in accordance with Section 208 of the E-Government Act of 2002, which requires federal agencies to conduct PIAs before developing or procuring information technology that collects, maintains, or disseminates information in identifiable form. This PIA covers IRSS v1.0.</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2.2  What Information Is Collected and Why</w:t>
      </w:r>
    </w:p>
    <w:p>
      <w:pPr>
        <w:spacing w:after="60" w:before="60"/>
        <w:jc w:val="left"/>
      </w:pPr>
      <w:r>
        <w:rPr>
          <w:rFonts w:ascii="Arial" w:cs="Arial" w:eastAsia="Arial" w:hAnsi="Arial"/>
          <w:b w:val="false"/>
          <w:bCs w:val="false"/>
          <w:i w:val="false"/>
          <w:iCs w:val="false"/>
          <w:color w:val="000000"/>
          <w:sz w:val="22"/>
          <w:szCs w:val="22"/>
        </w:rPr>
        <w:t xml:space="preserve">IRSS operates exclusively on 2023 U.S. Census Bureau American Community Survey Public Use Microdata Sample (ACS PUMS) data. ACS PUMS is a publicly available, de-identified microdata file released by the Census Bureau. No record corresponds to a uniquely identifiable individual.</w:t>
      </w:r>
    </w:p>
    <w:p>
      <w:pPr>
        <w:spacing w:after="40" w:before="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Data Element</w:t>
            </w:r>
          </w:p>
        </w:tc>
        <w:tc>
          <w:tcPr>
            <w:tcW w:type="dxa" w:w="6552"/>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Purpose and Privacy Consideration</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Age (continuous)</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feature — labor market income predictor. Non-sensitive in isolation.</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Education (categorical, encoded)</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feature — encoded ordinal. Non-sensitive in isolation.</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Occupation (categorical, encoded)</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feature — Census occupation code, encoded. Non-sensitive in isolation.</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Hours per week (continuous)</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feature — dominant income predictor. Non-sensitive in isolation.</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Class of worker (categorical, encoded)</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feature — employment class. Non-sensitive in isolation.</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Marital status (categorical, encoded)</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feature — potentially sensitive in combination; used solely as a labor market predictor.</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Person weight (continuous)</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Census sampling weight — used as XGBoost sample_weight only. Not a model feature. Excluded from all model inputs (DL-004, DL-007).</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Race (categorical)</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NOT a model feature. Physically separated at preprocessing. Used exclusively for post-prediction fairness audit. Never stored with model predictions.</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Sex (categorical)</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NOT a model feature. Physically separated at preprocessing. Used exclusively for post-prediction fairness audit. Never stored with model predictions.</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Nativity (native/foreign born)</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NOT a model feature. Physically separated at preprocessing. Used exclusively for post-prediction fairness audit. Never stored with model predictions.</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Wage income (binary target)</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Derived binary label — 1 if wage income &gt;= $75,000, else 0. Stored only in processed parquet files on the local development system.</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2.3  Is the Information Personally Identifiable?</w:t>
      </w:r>
    </w:p>
    <w:p>
      <w:pPr>
        <w:spacing w:after="60" w:before="60"/>
        <w:jc w:val="left"/>
      </w:pPr>
      <w:r>
        <w:rPr>
          <w:rFonts w:ascii="Arial" w:cs="Arial" w:eastAsia="Arial" w:hAnsi="Arial"/>
          <w:b w:val="false"/>
          <w:bCs w:val="false"/>
          <w:i w:val="false"/>
          <w:iCs w:val="false"/>
          <w:color w:val="000000"/>
          <w:sz w:val="22"/>
          <w:szCs w:val="22"/>
        </w:rPr>
        <w:t xml:space="preserve">ACS PUMS microdata is not PII as defined by OMB M-07-16. The Census Bureau removes direct identifiers (name, Social Security number, address) before release. Geographic identifiers in PUMS are limited to PUMA (Public Use Microarea) — areas with populations of at least 100,000 — preventing geographic identification of individuals.</w:t>
      </w:r>
    </w:p>
    <w:p>
      <w:pPr>
        <w:spacing w:after="60" w:before="60"/>
        <w:jc w:val="left"/>
      </w:pPr>
      <w:r>
        <w:rPr>
          <w:rFonts w:ascii="Arial" w:cs="Arial" w:eastAsia="Arial" w:hAnsi="Arial"/>
          <w:b w:val="false"/>
          <w:bCs w:val="false"/>
          <w:i w:val="false"/>
          <w:iCs w:val="false"/>
          <w:color w:val="000000"/>
          <w:sz w:val="22"/>
          <w:szCs w:val="22"/>
        </w:rPr>
        <w:t xml:space="preserve">However, the combination of demographic attributes could theoretically increase re-identification risk for individuals in small demographic strata. IRSS mitigates this through the following measures: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Sensitive features (race, sex, nativity) are never used as model inputs — they are physically separated from training data and used only for aggregate audit reporting.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Groups with fewer than 30 records in the test set are excluded from fairness reporting — metrics at very small sample sizes present higher re-identification risk.</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Model outputs are probability scores only — individual record predictions are not stored or logged.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No attempt is made to link PUMS records to external data sources.</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2.4  Data Minimization</w:t>
      </w:r>
    </w:p>
    <w:p>
      <w:pPr>
        <w:spacing w:after="60" w:before="60"/>
        <w:jc w:val="left"/>
      </w:pPr>
      <w:r>
        <w:rPr>
          <w:rFonts w:ascii="Arial" w:cs="Arial" w:eastAsia="Arial" w:hAnsi="Arial"/>
          <w:b w:val="false"/>
          <w:bCs w:val="false"/>
          <w:i w:val="false"/>
          <w:iCs w:val="false"/>
          <w:color w:val="000000"/>
          <w:sz w:val="22"/>
          <w:szCs w:val="22"/>
        </w:rPr>
        <w:t xml:space="preserve">IRSS ingests only the 9 variables required for training and fairness auditing, as defined in config.py, from a dataset of approximately 200 available variables per person record. All other variables are discarded at ingestion time and never written to disk. The raw wage income value is converted to a binary label at preprocessing — the continuous income value is not retained in processed artifacts.</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2.5  Data Retention and Disposal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Artifact</w:t>
            </w:r>
          </w:p>
        </w:tc>
        <w:tc>
          <w:tcPr>
            <w:tcW w:type="dxa" w:w="6552"/>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Retention Policy</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Raw parquet (data/raw/)</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Retained for active development cycle. Deleted when pipeline is decommissioned. S3 raw bucket cleared on terraform destroy.</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Processed parquet (data/processed/)</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Retained for active training cycle. Regenerated on each new ACS data release. Local only — not transmitted externally.</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Sensitive parquet (sensitive_*.parquet)</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Retained for active fairness audit cycle only. Contains race, sex, nativity — handled with heightened care. Deleted at end of each evaluation run.</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artifacts (models/*.joblib, *.json)</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Retained in MLflow registry for audit trail. S3 models bucket cleared on terraform destroy.</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Drift reports (reports/drift_report_*.html)</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Retained for 90 days from generation. Aggregate statistics only — no individual records.</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CloudWatch metrics</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Default AWS retention: 15 months. Aggregate statistics only — no individual records.</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2.6  Sensitive Attribute Handling</w:t>
      </w:r>
    </w:p>
    <w:p>
      <w:pPr>
        <w:spacing w:after="60" w:before="60"/>
        <w:jc w:val="left"/>
      </w:pPr>
      <w:r>
        <w:rPr>
          <w:rFonts w:ascii="Arial" w:cs="Arial" w:eastAsia="Arial" w:hAnsi="Arial"/>
          <w:b w:val="false"/>
          <w:bCs w:val="false"/>
          <w:i w:val="false"/>
          <w:iCs w:val="false"/>
          <w:color w:val="000000"/>
          <w:sz w:val="22"/>
          <w:szCs w:val="22"/>
        </w:rPr>
        <w:t xml:space="preserve">The handling of race, sex, and nativity in IRSS is explicitly designed to prevent protected attributes from influencing model predictions while enabling post-prediction fairness auditing. This design satisfies the intent of Executive Order 13985 (Advancing Racial Equity) and OMB AI guidance.</w:t>
      </w:r>
    </w:p>
    <w:p>
      <w:pPr>
        <w:spacing w:after="60" w:before="60"/>
        <w:jc w:val="left"/>
      </w:pPr>
      <w:r>
        <w:rPr>
          <w:rFonts w:ascii="Arial" w:cs="Arial" w:eastAsia="Arial" w:hAnsi="Arial"/>
          <w:b w:val="false"/>
          <w:bCs w:val="false"/>
          <w:i w:val="false"/>
          <w:iCs w:val="false"/>
          <w:color w:val="000000"/>
          <w:sz w:val="22"/>
          <w:szCs w:val="22"/>
        </w:rPr>
        <w:t xml:space="preserve">The separation is enforced in code (src/data/preprocess.py) and verified at the evaluation stage (src/training/evaluate.py). The sensitive parquet file is rejoined to predictions only in evaluate.py — the model itself never receives these attributes. This is documented in Decision Log DL-014 and mapped to NIST AI RMF GOVERN 1.7 in docs/nist_alignment.md.</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2.7  Privacy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4992"/>
      </w:tblGrid>
      <w:tr>
        <w:trPr>
          <w:tblHeader/>
        </w:trPr>
        <w:tc>
          <w:tcPr>
            <w:tcW w:type="dxa" w:w="2808"/>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Privacy Risk</w:t>
            </w:r>
          </w:p>
        </w:tc>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Risk Level</w:t>
            </w:r>
          </w:p>
        </w:tc>
        <w:tc>
          <w:tcPr>
            <w:tcW w:type="dxa" w:w="4992"/>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Mitigation</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Re-identification of individuals from PUMS microdata</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499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PUMS is de-identified public data. Geographic identifiers limited to PUMA (100K+ population). Small groups excluded from fairness reporting.</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outputs exposing sensitive inferences about individuals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499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Outputs are aggregate probability scores. No individual predictions stored or logged.</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Sensitive attributes influencing model decisions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 — Mitigated</w:t>
            </w:r>
          </w:p>
        </w:tc>
        <w:tc>
          <w:tcPr>
            <w:tcW w:type="dxa" w:w="499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Race, sex, nativity physically separated from model inputs in code. Audit-only rejoined in evaluate.py.</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Unauthorized access to sensitive parquet files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 — Mitigated</w:t>
            </w:r>
          </w:p>
        </w:tc>
        <w:tc>
          <w:tcPr>
            <w:tcW w:type="dxa" w:w="499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Files stored locally. S3 buckets private with IAM-enforced access and AES-256 encryption. Sensitive parquet deleted after each audit cycle.</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Data breach of AWS S3 artifacts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499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S3 buckets private by default. AES-256 SSE-S3 encryption. IAM least-privilege access. No PII in any S3 artifact.</w:t>
            </w:r>
          </w:p>
        </w:tc>
      </w:tr>
    </w:tbl>
    <w:p>
      <w:pPr>
        <w:pageBreakBefore/>
        <w:spacing w:after="0" w:before="0"/>
      </w:pPr>
      <w:r>
        <w:rPr>
          <w:rFonts w:ascii="Arial" w:cs="Arial" w:eastAsia="Arial" w:hAnsi="Arial"/>
          <w:sz w:val="22"/>
          <w:szCs w:val="22"/>
        </w:rPr>
        <w:t xml:space="preserve"/>
      </w:r>
    </w:p>
    <w:p>
      <w:pPr>
        <w:pStyle w:val="Heading1"/>
        <w:pBdr>
          <w:bottom w:val="single" w:color="888888" w:sz="6" w:space="4"/>
        </w:pBdr>
        <w:spacing w:after="160" w:before="320"/>
      </w:pPr>
      <w:r>
        <w:rPr>
          <w:rFonts w:ascii="Arial" w:cs="Arial" w:eastAsia="Arial" w:hAnsi="Arial"/>
          <w:b/>
          <w:bCs/>
          <w:color w:val="000000"/>
          <w:sz w:val="28"/>
          <w:szCs w:val="28"/>
        </w:rPr>
        <w:t xml:space="preserve">Part 3 — Risk Assessment Report (RAR)</w:t>
      </w:r>
    </w:p>
    <w:p>
      <w:pPr>
        <w:spacing w:after="100" w:before="40"/>
      </w:pPr>
      <w:r>
        <w:rPr>
          <w:rFonts w:ascii="Arial" w:cs="Arial" w:eastAsia="Arial" w:hAnsi="Arial"/>
          <w:b w:val="false"/>
          <w:bCs w:val="false"/>
          <w:i/>
          <w:iCs/>
          <w:color w:val="595959"/>
          <w:sz w:val="20"/>
          <w:szCs w:val="20"/>
        </w:rPr>
        <w:t xml:space="preserve">Reference: NIST SP 800-30 Rev. 1 — Guide for Conducting Risk Assessments</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3.1  Purpose and Scope</w:t>
      </w:r>
    </w:p>
    <w:p>
      <w:pPr>
        <w:spacing w:after="60" w:before="60"/>
        <w:jc w:val="left"/>
      </w:pPr>
      <w:r>
        <w:rPr>
          <w:rFonts w:ascii="Arial" w:cs="Arial" w:eastAsia="Arial" w:hAnsi="Arial"/>
          <w:b w:val="false"/>
          <w:bCs w:val="false"/>
          <w:i w:val="false"/>
          <w:iCs w:val="false"/>
          <w:color w:val="000000"/>
          <w:sz w:val="22"/>
          <w:szCs w:val="22"/>
        </w:rPr>
        <w:t xml:space="preserve">This Risk Assessment Report (RAR) is prepared in accordance with NIST SP 800-30 Rev. 1. It identifies threat sources and threat events relevant to IRSS, assesses the likelihood and impact of identified risks, documents existing controls and their effectiveness, and determines residual risk levels. The assessment covers the full IRSS pipeline and is bounded by the authorization boundary defined in SSP Section 1.4.</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3.2  System Characterization</w:t>
      </w:r>
    </w:p>
    <w:p>
      <w:pPr>
        <w:spacing w:after="60" w:before="60"/>
        <w:jc w:val="left"/>
      </w:pPr>
      <w:r>
        <w:rPr>
          <w:rFonts w:ascii="Arial" w:cs="Arial" w:eastAsia="Arial" w:hAnsi="Arial"/>
          <w:b w:val="false"/>
          <w:bCs w:val="false"/>
          <w:i w:val="false"/>
          <w:iCs w:val="false"/>
          <w:color w:val="000000"/>
          <w:sz w:val="22"/>
          <w:szCs w:val="22"/>
        </w:rPr>
        <w:t xml:space="preserve">IRSS is a Moderate-impact system (FIPS 199) operating on public microdata in a cloud environment. The system does not process classified information, PII in identifiable form, or financial transaction data. The primary asset requiring protection is the integrity of the trained model and its training pipeline — model tampering could produce biased or inaccurate predictions with downstream mission impact.</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3.3  Risk Determination</w:t>
      </w:r>
    </w:p>
    <w:p>
      <w:pPr>
        <w:spacing w:after="60" w:before="60"/>
        <w:jc w:val="left"/>
      </w:pPr>
      <w:r>
        <w:rPr>
          <w:rFonts w:ascii="Arial" w:cs="Arial" w:eastAsia="Arial" w:hAnsi="Arial"/>
          <w:b w:val="false"/>
          <w:bCs w:val="false"/>
          <w:i w:val="false"/>
          <w:iCs w:val="false"/>
          <w:color w:val="000000"/>
          <w:sz w:val="22"/>
          <w:szCs w:val="22"/>
        </w:rPr>
        <w:t xml:space="preserve">Risk ratings use a 3x3 matrix per NIST SP 800-30 Table I-2. Likelihood and Impact are rated Low, Medium, or High. Overall Risk = Likelihood x Impact.</w:t>
      </w:r>
    </w:p>
    <w:p>
      <w:pPr>
        <w:spacing w:after="40" w:before="4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3510"/>
      </w:tblGrid>
      <w:tr>
        <w:trPr>
          <w:tblHeader/>
        </w:trPr>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Threat Event</w:t>
            </w:r>
          </w:p>
        </w:tc>
        <w:tc>
          <w:tcPr>
            <w:tcW w:type="dxa" w:w="117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Likelihood</w:t>
            </w:r>
          </w:p>
        </w:tc>
        <w:tc>
          <w:tcPr>
            <w:tcW w:type="dxa" w:w="117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Impact</w:t>
            </w:r>
          </w:p>
        </w:tc>
        <w:tc>
          <w:tcPr>
            <w:tcW w:type="dxa" w:w="117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Risk</w:t>
            </w:r>
          </w:p>
        </w:tc>
        <w:tc>
          <w:tcPr>
            <w:tcW w:type="dxa" w:w="351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Controls and Residual Risk</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Data poisoning — adversarial manipulation of ACS PUMS source data</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High</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Low-Med</w:t>
            </w:r>
          </w:p>
        </w:tc>
        <w:tc>
          <w:tcPr>
            <w:tcW w:type="dxa" w:w="351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ACS PUMS published by U.S. Census Bureau — authoritative source with no direct write access. Annual ACS refresh provides natural re-validation. Residual risk: Low.</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Training data leakage — sensitive features contaminating model inputs</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High</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Low-Med</w:t>
            </w:r>
          </w:p>
        </w:tc>
        <w:tc>
          <w:tcPr>
            <w:tcW w:type="dxa" w:w="351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Sensitive features physically separated in preprocess.py before train/test split. Fairness audit in evaluate.py would detect systematic leakage. Code-enforced separation with audit trail. Residual risk: Low.</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inversion attack — reconstructing training data from model outputs</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351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Outputs are probability scores only — not model weights. Endpoint requires AWS authentication. Training data is public ACS PUMS — model inversion provides no private information gain. Residual risk: Negligible.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Adversarial input manipulation — crafted inputs to exploit model boundaries</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Medium</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351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IRSS is a decision-support tool with human review required. Adversarial inputs do not produce safety-critical outcomes. Input validation at preprocessing rejects out-of-range values. Residual risk: Low.</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Supply chain compromise — malicious dependency in requirements.txt</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Low-Med</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High</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Medium</w:t>
            </w:r>
          </w:p>
        </w:tc>
        <w:tc>
          <w:tcPr>
            <w:tcW w:type="dxa" w:w="351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Dependencies pinned to specific versions (DL-010). GitHub Dependabot monitors for known CVEs. SageMaker managed containers patched by AWS. Residual risk: Medium — mitigated but not eliminated.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MLflow registry tampering — unauthorized model version promotion</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High</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Low-Med</w:t>
            </w:r>
          </w:p>
        </w:tc>
        <w:tc>
          <w:tcPr>
            <w:tcW w:type="dxa" w:w="351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MLflow runs locally with no network exposure. No automated production promotion path. Human sign-off required before any deployment (Runbook Section 7). Residual risk: Low.</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drift — degradation of prediction accuracy over time</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Medium</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Medium</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Medium</w:t>
            </w:r>
          </w:p>
        </w:tc>
        <w:tc>
          <w:tcPr>
            <w:tcW w:type="dxa" w:w="351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Evidently AI detects input distribution shift. CloudWatch alarm fires when drift_share &gt; 0.20. Retraining triggered manually after human review (DL-015). Model performance drift (requires ground truth labels) not yet monitored — tracked in POA-001. Residual risk: Medium.</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Fairness degradation — demographic disparity exceeding gate threshold</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High</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Low-Med</w:t>
            </w:r>
          </w:p>
        </w:tc>
        <w:tc>
          <w:tcPr>
            <w:tcW w:type="dxa" w:w="351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Fairness gate in evaluate.py blocks deployment on failure. Monthly monitoring with ±0.15 early warning threshold. Recovery procedure in DL-016 and Runbook Section 4. Residual risk: Low.</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Unauthorized SageMaker endpoint access</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Medium</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351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Endpoint requires AWS Signature Version 4 authentication. IAM role scoped to least-privilege. No public endpoint exposure. Residual risk: Low.</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S3 artifact exfiltration</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351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S3 buckets private by default. IAM-enforced access. AES-256 SSE encryption. Artifacts are public ACS PUMS data and model weights — no PII. Residual risk: Negligible.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CI/CD pipeline compromise — malicious code injected via pull request</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Medium</w:t>
            </w:r>
          </w:p>
        </w:tc>
        <w:tc>
          <w:tcPr>
            <w:tcW w:type="dxa" w:w="117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351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GitHub branch protection on main requires pull request review. CI/CD runs lint and structure validation only — no deployment authority in the automated pipeline. Residual risk: Low.</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3.4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Risk Level</w:t>
            </w:r>
          </w:p>
        </w:tc>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Count</w:t>
            </w:r>
          </w:p>
        </w:tc>
        <w:tc>
          <w:tcPr>
            <w:tcW w:type="dxa" w:w="54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Items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High</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0</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None identified at this level given existing controls.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Medium</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2</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(1) Supply chain compromise — dependency vulnerabilities; (2) Model drift — ground truth not available for model performance monitoring (POA-001).</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 / Low-Medium</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9</w:t>
            </w:r>
          </w:p>
        </w:tc>
        <w:tc>
          <w:tcPr>
            <w:tcW w:type="dxa" w:w="5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All other identified threat events — mitigated to acceptable residual risk by existing controls.</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3.5  Risk Acceptance</w:t>
      </w:r>
    </w:p>
    <w:p>
      <w:pPr>
        <w:spacing w:after="60" w:before="60"/>
        <w:jc w:val="left"/>
      </w:pPr>
      <w:r>
        <w:rPr>
          <w:rFonts w:ascii="Arial" w:cs="Arial" w:eastAsia="Arial" w:hAnsi="Arial"/>
          <w:b w:val="false"/>
          <w:bCs w:val="false"/>
          <w:i w:val="false"/>
          <w:iCs w:val="false"/>
          <w:color w:val="000000"/>
          <w:sz w:val="22"/>
          <w:szCs w:val="22"/>
        </w:rPr>
        <w:t xml:space="preserve">The Authorizing Official (Raghunath Devayajanam, AI Architect) accepts the residual risk profile documented above for the Virginia (FIPS 51) pilot deployment of IRSS v1.0. The two Medium-risk items are tracked in the Plan of Action and Milestones (Part 4) with documented remediation timelines. This risk acceptance is contingent on the continuous monitoring controls described in SSP Section 1.7 remaining operational throughout the ATO period.</w:t>
      </w:r>
    </w:p>
    <w:p>
      <w:pPr>
        <w:pageBreakBefore/>
        <w:spacing w:after="0" w:before="0"/>
      </w:pPr>
      <w:r>
        <w:rPr>
          <w:rFonts w:ascii="Arial" w:cs="Arial" w:eastAsia="Arial" w:hAnsi="Arial"/>
          <w:sz w:val="22"/>
          <w:szCs w:val="22"/>
        </w:rPr>
        <w:t xml:space="preserve"/>
      </w:r>
    </w:p>
    <w:p>
      <w:pPr>
        <w:pStyle w:val="Heading1"/>
        <w:pBdr>
          <w:bottom w:val="single" w:color="888888" w:sz="6" w:space="4"/>
        </w:pBdr>
        <w:spacing w:after="160" w:before="320"/>
      </w:pPr>
      <w:r>
        <w:rPr>
          <w:rFonts w:ascii="Arial" w:cs="Arial" w:eastAsia="Arial" w:hAnsi="Arial"/>
          <w:b/>
          <w:bCs/>
          <w:color w:val="000000"/>
          <w:sz w:val="28"/>
          <w:szCs w:val="28"/>
        </w:rPr>
        <w:t xml:space="preserve">Part 4 — Plan of Action and Milestones (POA&amp;M)</w:t>
      </w:r>
    </w:p>
    <w:p>
      <w:pPr>
        <w:spacing w:after="100" w:before="40"/>
      </w:pPr>
      <w:r>
        <w:rPr>
          <w:rFonts w:ascii="Arial" w:cs="Arial" w:eastAsia="Arial" w:hAnsi="Arial"/>
          <w:b w:val="false"/>
          <w:bCs w:val="false"/>
          <w:i/>
          <w:iCs/>
          <w:color w:val="595959"/>
          <w:sz w:val="20"/>
          <w:szCs w:val="20"/>
        </w:rPr>
        <w:t xml:space="preserve">Reference: OMB M-02-01 | NIST SP 800-53 Rev. 5 CA-5</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4.1  Overview</w:t>
      </w:r>
    </w:p>
    <w:p>
      <w:pPr>
        <w:spacing w:after="60" w:before="60"/>
        <w:jc w:val="left"/>
      </w:pPr>
      <w:r>
        <w:rPr>
          <w:rFonts w:ascii="Arial" w:cs="Arial" w:eastAsia="Arial" w:hAnsi="Arial"/>
          <w:b w:val="false"/>
          <w:bCs w:val="false"/>
          <w:i w:val="false"/>
          <w:iCs w:val="false"/>
          <w:color w:val="000000"/>
          <w:sz w:val="22"/>
          <w:szCs w:val="22"/>
        </w:rPr>
        <w:t xml:space="preserve">The Plan of Action and Milestones (POA&amp;M) documents known weaknesses, gaps, and deferred items identified during the development, testing, and risk assessment of IRSS v1.0. Each item includes the source (decision log reference, risk assessment finding, or control gap), severity, remediation plan, and target completion date.</w:t>
      </w:r>
    </w:p>
    <w:p>
      <w:pPr>
        <w:spacing w:after="60" w:before="60"/>
        <w:jc w:val="left"/>
      </w:pPr>
      <w:r>
        <w:rPr>
          <w:rFonts w:ascii="Arial" w:cs="Arial" w:eastAsia="Arial" w:hAnsi="Arial"/>
          <w:b w:val="false"/>
          <w:bCs w:val="false"/>
          <w:i w:val="false"/>
          <w:iCs w:val="false"/>
          <w:color w:val="000000"/>
          <w:sz w:val="22"/>
          <w:szCs w:val="22"/>
        </w:rPr>
        <w:t xml:space="preserve">The POA&amp;M is reviewed at each quarterly checkpoint and before any system change that affects the authorization boundary. The Authorizing Official must concur on any new High-severity items before continued operation.</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4.2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808"/>
        <w:gridCol w:w="780"/>
        <w:gridCol w:w="1560"/>
        <w:gridCol w:w="3432"/>
      </w:tblGrid>
      <w:tr>
        <w:trPr>
          <w:tblHeader/>
        </w:trPr>
        <w:tc>
          <w:tcPr>
            <w:tcW w:type="dxa" w:w="78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ID</w:t>
            </w:r>
          </w:p>
        </w:tc>
        <w:tc>
          <w:tcPr>
            <w:tcW w:type="dxa" w:w="2808"/>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Weakness Description</w:t>
            </w:r>
          </w:p>
        </w:tc>
        <w:tc>
          <w:tcPr>
            <w:tcW w:type="dxa" w:w="78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Severity</w:t>
            </w:r>
          </w:p>
        </w:tc>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Source</w:t>
            </w:r>
          </w:p>
        </w:tc>
        <w:tc>
          <w:tcPr>
            <w:tcW w:type="dxa" w:w="3432"/>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Remediation Plan and Target Date</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POA-001</w:t>
            </w:r>
          </w:p>
        </w:tc>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performance drift not monitored. Ground truth labels are not collected post-deployment. Evidently AI monitors input distribution drift only — degradation in prediction accuracy cannot be detected without known outcomes.</w:t>
            </w:r>
          </w:p>
        </w:tc>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Medium</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RAR Sec. 3.3 | Architecture.md</w:t>
            </w:r>
          </w:p>
        </w:tc>
        <w:tc>
          <w:tcPr>
            <w:tcW w:type="dxa" w:w="343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 delayed label collection. Capture actual income outcomes after a defined lag period. Recompute AUC and fairness metrics against live predictions. Trigger retraining if AUC drops below 0.82. Target: National deployment phase.</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POA-002</w:t>
            </w:r>
          </w:p>
        </w:tc>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Client-side preprocessing contract. SageMaker endpoint receives preprocessed inputs. Callers must apply ACSPreprocessor before invocation. Mismatched preprocessing produces silent prediction errors with no endpoint-side validation.</w:t>
            </w:r>
          </w:p>
        </w:tc>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Low-Med</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DL-014 | Model Card</w:t>
            </w:r>
          </w:p>
        </w:tc>
        <w:tc>
          <w:tcPr>
            <w:tcW w:type="dxa" w:w="343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 schema validation at the preprocessing step — enforce feature order, type, and value range before inputs reach the endpoint. Evaluate moving preprocessing inside the container when SageMaker 3.x migration is completed (POA-004). Target: Q3 2026.</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POA-003</w:t>
            </w:r>
          </w:p>
        </w:tc>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Dual model format maintenance. Two model artifacts maintained: xgboost_native.json for SageMaker serving and full_pipeline_*.joblib for local inference. Risk of version drift between the two artifacts.</w:t>
            </w:r>
          </w:p>
        </w:tc>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DL-011 | Architecture.md</w:t>
            </w:r>
          </w:p>
        </w:tc>
        <w:tc>
          <w:tcPr>
            <w:tcW w:type="dxa" w:w="343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Consolidate to a single artifact when SageMaker 3.x ModelBuilder API is validated. Until then, register.py version-stamps both artifacts and MLflow provides a single audit trail linking both to the same training run. Target: SageMaker 3.x migration.</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POA-004</w:t>
            </w:r>
          </w:p>
        </w:tc>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SageMaker SDK pinned to 2.x, which will reach end of vendor support. Migration to SageMaker 3.x ModelBuilder API required — all framework-specific classes (XGBoostModel, SKLearnModel) are removed in 3.x.</w:t>
            </w:r>
          </w:p>
        </w:tc>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DL-010</w:t>
            </w:r>
          </w:p>
        </w:tc>
        <w:tc>
          <w:tcPr>
            <w:tcW w:type="dxa" w:w="343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Evaluate SageMaker 3.x ModelBuilder API when documentation matures. Run a parallel deployment test before migrating production. Update requirements.txt constraint and deploy.py implementation. Decision log entry required. Target: Q4 2026.</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POA-005</w:t>
            </w:r>
          </w:p>
        </w:tc>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Equalized odds not measured. Current fairness gate uses Positive Prediction Rate (PPR) delta only. Equal true positive rates and false positive rates across groups — the equalized odds criterion — are not computed or enforced.</w:t>
            </w:r>
          </w:p>
        </w:tc>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Low-Med</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DL-009 | NIST AI RMF MEASURE 2.5</w:t>
            </w:r>
          </w:p>
        </w:tc>
        <w:tc>
          <w:tcPr>
            <w:tcW w:type="dxa" w:w="343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Add equalized odds computation to evaluate.py. Compute TPR and FPR per demographic group. Determine whether a gate threshold is applied or metrics are reported only. Update fairness_report.md. Target: Q2 2026.</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POA-006</w:t>
            </w:r>
          </w:p>
        </w:tc>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SHAP per-record explanations not implemented. Feature importance reported at aggregate model level only. Per-record explanations using SHAP are documented as planned but not yet built.</w:t>
            </w:r>
          </w:p>
        </w:tc>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NIST AI RMF MEASURE 4.1 | Model Card</w:t>
            </w:r>
          </w:p>
        </w:tc>
        <w:tc>
          <w:tcPr>
            <w:tcW w:type="dxa" w:w="343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 SHAP explainer in the Streamlit demo (app.py). Display per-record feature contribution waterfall for each prediction. Evaluate logging SHAP values to MLflow alongside model artifacts. Target: Q2 2026.</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POA-007</w:t>
            </w:r>
          </w:p>
        </w:tc>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Retraining automation not implemented. Current retrain trigger is manual — a CloudWatch alarm notifies an engineer who initiates retraining after human review. EventBridge/Lambda infrastructure is referenced in architecture.md but retrain_trigger.py is not implemented.</w:t>
            </w:r>
          </w:p>
        </w:tc>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DL-015 | Architecture.md</w:t>
            </w:r>
          </w:p>
        </w:tc>
        <w:tc>
          <w:tcPr>
            <w:tcW w:type="dxa" w:w="343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 retrain_trigger.py — EventBridge rule fires on CloudWatch drift alarm, Lambda initiates the retraining pipeline. Human approval gate before production promotion is retained. Target: National deployment phase.</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POA-008</w:t>
            </w:r>
          </w:p>
        </w:tc>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American Indian demographic group — small sample size in Virginia data. Only 68 records in the test set. Fairness metrics for this group are unreliable. Model may over-predict high income for this group (Precision 0.375, Recall 0.90).</w:t>
            </w:r>
          </w:p>
        </w:tc>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Low-Med</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DL-009 | Fairness Report</w:t>
            </w:r>
          </w:p>
        </w:tc>
        <w:tc>
          <w:tcPr>
            <w:tcW w:type="dxa" w:w="343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Flag for priority review after national data pull (STATE_CODE='*'). National dataset will provide a substantially larger sample. Do not cite Virginia fairness results for this group as representative. Target: National deployment phase.</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4.3  Closed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808"/>
        <w:gridCol w:w="5772"/>
      </w:tblGrid>
      <w:tr>
        <w:trPr>
          <w:tblHeader/>
        </w:trPr>
        <w:tc>
          <w:tcPr>
            <w:tcW w:type="dxa" w:w="78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ID</w:t>
            </w:r>
          </w:p>
        </w:tc>
        <w:tc>
          <w:tcPr>
            <w:tcW w:type="dxa" w:w="2808"/>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Weakness</w:t>
            </w:r>
          </w:p>
        </w:tc>
        <w:tc>
          <w:tcPr>
            <w:tcW w:type="dxa" w:w="5772"/>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Resolution</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CLOSED-001</w:t>
            </w:r>
          </w:p>
        </w:tc>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AWS Account ID and SageMaker endpoint URLs exposed in source code</w:t>
            </w:r>
          </w:p>
        </w:tc>
        <w:tc>
          <w:tcPr>
            <w:tcW w:type="dxa" w:w="57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Scrubbed from all source files. Git history cleaned using git filter-repo. .env.example provides credential template without values. CI/CD updated to fail on missing required files. Verified clean.</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CLOSED-002</w:t>
            </w:r>
          </w:p>
        </w:tc>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person_weight passed through StandardScaler, producing negative values rejected by XGBoost</w:t>
            </w:r>
          </w:p>
        </w:tc>
        <w:tc>
          <w:tcPr>
            <w:tcW w:type="dxa" w:w="57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StandardScaler applied to age and hours_per_week only. person_weight passed as raw values to XGBoost sample_weight parameter. DL-007 documents decision and rationale.</w:t>
            </w:r>
          </w:p>
        </w:tc>
      </w:tr>
      <w:tr>
        <w:tc>
          <w:tcPr>
            <w:tcW w:type="dxa" w:w="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CLOSED-003</w:t>
            </w:r>
          </w:p>
        </w:tc>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SageMaker deployment failure — joblib artifact incompatible with XGBoost managed container</w:t>
            </w:r>
          </w:p>
        </w:tc>
        <w:tc>
          <w:tcPr>
            <w:tcW w:type="dxa" w:w="577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Root cause identified after 15 deployment attempts. Resolved by saving model in native XGBoost JSON format. Endpoint reached InService in 4 minutes. DL-011 documents the full root cause analysis.</w:t>
            </w:r>
          </w:p>
        </w:tc>
      </w:tr>
    </w:tbl>
    <w:p>
      <w:pPr>
        <w:pageBreakBefore/>
        <w:spacing w:after="0" w:before="0"/>
      </w:pPr>
      <w:r>
        <w:rPr>
          <w:rFonts w:ascii="Arial" w:cs="Arial" w:eastAsia="Arial" w:hAnsi="Arial"/>
          <w:sz w:val="22"/>
          <w:szCs w:val="22"/>
        </w:rPr>
        <w:t xml:space="preserve"/>
      </w:r>
    </w:p>
    <w:p>
      <w:pPr>
        <w:pStyle w:val="Heading1"/>
        <w:pBdr>
          <w:bottom w:val="single" w:color="888888" w:sz="6" w:space="4"/>
        </w:pBdr>
        <w:spacing w:after="160" w:before="320"/>
      </w:pPr>
      <w:r>
        <w:rPr>
          <w:rFonts w:ascii="Arial" w:cs="Arial" w:eastAsia="Arial" w:hAnsi="Arial"/>
          <w:b/>
          <w:bCs/>
          <w:color w:val="000000"/>
          <w:sz w:val="28"/>
          <w:szCs w:val="28"/>
        </w:rPr>
        <w:t xml:space="preserve">Part 5 — AI Impact Assessment</w:t>
      </w:r>
    </w:p>
    <w:p>
      <w:pPr>
        <w:spacing w:after="100" w:before="40"/>
      </w:pPr>
      <w:r>
        <w:rPr>
          <w:rFonts w:ascii="Arial" w:cs="Arial" w:eastAsia="Arial" w:hAnsi="Arial"/>
          <w:b w:val="false"/>
          <w:bCs w:val="false"/>
          <w:i/>
          <w:iCs/>
          <w:color w:val="595959"/>
          <w:sz w:val="20"/>
          <w:szCs w:val="20"/>
        </w:rPr>
        <w:t xml:space="preserve">Reference: Executive Order 13960 | OMB M-21-06 | NIST AI RMF 1.0 | NIST SP 800-53 Rev. 5</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5.1  Purpose</w:t>
      </w:r>
    </w:p>
    <w:p>
      <w:pPr>
        <w:spacing w:after="60" w:before="60"/>
        <w:jc w:val="left"/>
      </w:pPr>
      <w:r>
        <w:rPr>
          <w:rFonts w:ascii="Arial" w:cs="Arial" w:eastAsia="Arial" w:hAnsi="Arial"/>
          <w:b w:val="false"/>
          <w:bCs w:val="false"/>
          <w:i w:val="false"/>
          <w:iCs w:val="false"/>
          <w:color w:val="000000"/>
          <w:sz w:val="22"/>
          <w:szCs w:val="22"/>
        </w:rPr>
        <w:t xml:space="preserve">This AI Impact Assessment (AIIA) evaluates the specific risks, limitations, and governance requirements associated with the artificial intelligence components of IRSS. It supplements the SSP and RAR with AI-specific analysis required under Executive Order 13960 and OMB M-21-06.</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5.2  AI System Categorization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Attribute</w:t>
            </w:r>
          </w:p>
        </w:tc>
        <w:tc>
          <w:tcPr>
            <w:tcW w:type="dxa" w:w="6552"/>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Assessment</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AI System Type</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Supervised machine learning — binary classification (XGBoost gradient boosted trees)</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Decision Type</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Decision-support — probability scores only. Human review required before consequential action.</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Automation Level</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Semi-automated. Model produces a probability score; a human makes the final determination.</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Affected Population</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U.S. working-age adults (18+) represented in ACS PUMS Virginia data. National expansion planned.</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Consequential Use</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Low-to-Moderate. Model output is one input to a screening process — not the sole basis for adverse action.</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Domain</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Income classification / labor market analysis</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Training Data Source</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U.S. Census Bureau ACS PUMS 2023 — authoritative government microdata</w:t>
            </w:r>
          </w:p>
        </w:tc>
      </w:tr>
      <w:tr>
        <w:tc>
          <w:tcPr>
            <w:tcW w:type="dxa" w:w="280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Deployment Scope</w:t>
            </w:r>
          </w:p>
        </w:tc>
        <w:tc>
          <w:tcPr>
            <w:tcW w:type="dxa" w:w="6552"/>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Virginia (FIPS 51) pilot — 88,928 records. National expansion is a documented future enhancement.</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5.3  Human-in-the-Loop Documentation</w:t>
      </w:r>
    </w:p>
    <w:p>
      <w:pPr>
        <w:spacing w:after="60" w:before="60"/>
        <w:jc w:val="left"/>
      </w:pPr>
      <w:r>
        <w:rPr>
          <w:rFonts w:ascii="Arial" w:cs="Arial" w:eastAsia="Arial" w:hAnsi="Arial"/>
          <w:b w:val="false"/>
          <w:bCs w:val="false"/>
          <w:i w:val="false"/>
          <w:iCs w:val="false"/>
          <w:color w:val="000000"/>
          <w:sz w:val="22"/>
          <w:szCs w:val="22"/>
        </w:rPr>
        <w:t xml:space="preserve">IRSS is explicitly designed as a decision-support system. Human oversight is embedded at three distinct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Stage</w:t>
            </w:r>
          </w:p>
        </w:tc>
        <w:tc>
          <w:tcPr>
            <w:tcW w:type="dxa" w:w="702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Human Oversight Requirement</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Pre-deployment — Fairness Review</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The AI Architect or designated Responsible AI Reviewer must review per-group fairness results before any deployment. MLflow registry promotion requires explicit human action — no automated promotion path exists (NIST AI RMF MANAGE 1.3).</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Pre-deployment — Production Approval</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deploy.py requires explicit execution by an authorized engineer. The script presents a confirmation prompt before finalizing the endpoint, providing a final review window before the model is live.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Inference — Decision Application</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Card and Runbook explicitly state that model output is one input to a human review process. Any consequential action based on model output requires human determination. This constraint is documented in the model card intended use section.</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5.4  Explainability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Explainability Dimension</w:t>
            </w:r>
          </w:p>
        </w:tc>
        <w:tc>
          <w:tcPr>
            <w:tcW w:type="dxa" w:w="702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Current Implementation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Global feature importance</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XGBoost feature_importances_ logged to MLflow on every training run. Top features: hours_per_week (0.44), occupation (0.17), education (0.14), class_of_worker (0.11), age (0.07), marital_status (0.06).</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progression justification</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Three-stage progressive training (Logistic Regression, Ridge, XGBoost) documents the complexity narrative. XGBoost selected based on demonstrated AUC improvement of +0.0398 and F1 improvement of +0.1125 over the logistic regression baseline (DL-008).</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Decision audit trail</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DL-001 through DL-016 provide an auditable record of every design decision with explicit tradeoffs, available to oversight bodies on request.</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Per-record explanation (SHAP)</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Not yet implemented. Tracked in POA-006 with target completion Q2 2026.</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5.5  Bias and Fairness Risk Assessment</w:t>
      </w:r>
    </w:p>
    <w:p>
      <w:pPr>
        <w:spacing w:after="60" w:before="60"/>
        <w:jc w:val="left"/>
      </w:pPr>
      <w:r>
        <w:rPr>
          <w:rFonts w:ascii="Arial" w:cs="Arial" w:eastAsia="Arial" w:hAnsi="Arial"/>
          <w:b w:val="false"/>
          <w:bCs w:val="false"/>
          <w:i w:val="false"/>
          <w:iCs w:val="false"/>
          <w:color w:val="000000"/>
          <w:sz w:val="22"/>
          <w:szCs w:val="22"/>
        </w:rPr>
        <w:t xml:space="preserve">Bias is the primary AI-specific risk in IRSS. The system makes income predictions across demographic groups where historical income disparities exist in the underlying data. The model cannot be expected to eliminate underlying data disparities, but it must not introduce additional disparity beyond what exists in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Bias Risk Dimension</w:t>
            </w:r>
          </w:p>
        </w:tc>
        <w:tc>
          <w:tcPr>
            <w:tcW w:type="dxa" w:w="702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Assessment and Mitigation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Historical bias in training data</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ACS PUMS 2023 reflects actual income distributions in the Virginia labor market, including documented wage gaps by race and sex. The fairness audit distinguishes model-introduced disparity from data-reflected disparity by comparing per-group AUC (predictive quality) against PPR (prediction rate). Equal AUC across groups with different PPR indicates the model predicts with equivalent accuracy — the disparity is in the underlying data, not the model.</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Algorithmic amplification</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scale_pos_weight=2.43 addresses class imbalance (78/22 majority/minority split) without demographic weighting. Sensitive features are never model inputs — no direct path exists for protected attributes to influence predictions.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Disparate impact</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PPR delta gate (±0.20) enforced in CI/CD. Virginia audit result: PASSED. Largest inter-group gap: Black or African American (PPR 0.171) vs Asian (PPR 0.413) — 0.242 absolute gap. Both pass the gate individually. Gap reflects Virginia 2023 income distribution. Monitoring commitment: per-group PPR tracked monthly with ±0.15 early warning threshold.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Small group reliability</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American Indian group (N=68 in Virginia test set) flagged for unreliable metrics. Groups with fewer than 30 records excluded from fairness reporting. National data pull required for representative results (POA-008).</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5.6  NIST AI RMF 1.0 Control Summary</w:t>
      </w:r>
    </w:p>
    <w:p>
      <w:pPr>
        <w:spacing w:after="60" w:before="60"/>
        <w:jc w:val="left"/>
      </w:pPr>
      <w:r>
        <w:rPr>
          <w:rFonts w:ascii="Arial" w:cs="Arial" w:eastAsia="Arial" w:hAnsi="Arial"/>
          <w:b w:val="false"/>
          <w:bCs w:val="false"/>
          <w:i w:val="false"/>
          <w:iCs w:val="false"/>
          <w:color w:val="000000"/>
          <w:sz w:val="22"/>
          <w:szCs w:val="22"/>
        </w:rPr>
        <w:t xml:space="preserve">IRSS is aligned with the NIST AI Risk Management Framework 1.0 across the four framework functions: GOVERN, MAP, MEASURE, and MANAGE. Full implementation details are documented in docs/nist_alignment.md.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3900"/>
      </w:tblGrid>
      <w:tr>
        <w:trPr>
          <w:tblHeader/>
        </w:trPr>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Control ID</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Control Name</w:t>
            </w:r>
          </w:p>
        </w:tc>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Status</w:t>
            </w:r>
          </w:p>
        </w:tc>
        <w:tc>
          <w:tcPr>
            <w:tcW w:type="dxa" w:w="390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Key Implementation Evidence</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GOVERN 1.1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Policies and Procedures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Implemented</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Fairness gate in evaluate.py. Decision log DL-001 to DL-016.</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GOVERN 1.4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Model Versioning and Lineage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Implemented</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MLflow registry — income-risk-xgboost, alias staging. Full run lineage.</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GOVERN 1.7</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Sensitive Attribute Handling</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Implemented</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Physical separation in preprocess.py. Audit-only rejoined in evaluate.py.</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MAP 1.1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Use Case Scoping</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Implemented</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Income threshold documented in config.py and DL-002. Affected population defined.</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MAP 2.1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Risk Identification</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Implemented</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Risk table in nist_alignment.md. RAR Section 3.3 of this package.</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MAP 5.1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Impact Assessment</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Implemented</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Per-group fairness audit in fairness_report.md.</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MEASURE 2.5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Bias and Fairness Evaluation</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Implemented</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evaluate.py — PPR, AUC, F1 per demographic group. Virginia: PASSED.</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MEASURE 2.6</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Performance Monitoring</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Implemented</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drift_monitor.py — Evidently AI + CloudWatch. 9 metrics published per run.</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MEASURE 2.7</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Fairness Gate Enforcement</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Implemented</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evaluate.py exits code 1 on failure — blocks CI/CD pipeline.</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MEASURE 4.1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Explainability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Partial</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Global feature importance implemented. SHAP per-record pending — POA-006.</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MANAGE 1.3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Deployment Approval Gate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Implemented</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Multi-stage: AUC gate + fairness gate + manual MLflow promotion + explicit deploy.py.</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MANAGE 2.2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Risk Response Documentation</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Implemented</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fairness_report.md — findings and risk response commitments.</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MANAGE 2.4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Ongoing Monitoring</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Implemented</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drift_monitor.py + three CloudWatch alarms in Terraform.</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MANAGE 4.1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Retraining Triggers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Implemented</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DL-015 — drift_share &gt; 0.20, AUC &lt; 0.82, fairness drift &gt; ±0.15.</w:t>
            </w:r>
          </w:p>
        </w:tc>
      </w:tr>
    </w:tbl>
    <w:p>
      <w:pPr>
        <w:pageBreakBefore/>
        <w:spacing w:after="0" w:before="0"/>
      </w:pPr>
      <w:r>
        <w:rPr>
          <w:rFonts w:ascii="Arial" w:cs="Arial" w:eastAsia="Arial" w:hAnsi="Arial"/>
          <w:sz w:val="22"/>
          <w:szCs w:val="22"/>
        </w:rPr>
        <w:t xml:space="preserve"/>
      </w:r>
    </w:p>
    <w:p>
      <w:pPr>
        <w:pStyle w:val="Heading1"/>
        <w:pBdr>
          <w:bottom w:val="single" w:color="888888" w:sz="6" w:space="4"/>
        </w:pBdr>
        <w:spacing w:after="160" w:before="320"/>
      </w:pPr>
      <w:r>
        <w:rPr>
          <w:rFonts w:ascii="Arial" w:cs="Arial" w:eastAsia="Arial" w:hAnsi="Arial"/>
          <w:b/>
          <w:bCs/>
          <w:color w:val="000000"/>
          <w:sz w:val="28"/>
          <w:szCs w:val="28"/>
        </w:rPr>
        <w:t xml:space="preserve">Part 6 — Security Assessment Plan (SAP)</w:t>
      </w:r>
    </w:p>
    <w:p>
      <w:pPr>
        <w:spacing w:after="100" w:before="40"/>
      </w:pPr>
      <w:r>
        <w:rPr>
          <w:rFonts w:ascii="Arial" w:cs="Arial" w:eastAsia="Arial" w:hAnsi="Arial"/>
          <w:b w:val="false"/>
          <w:bCs w:val="false"/>
          <w:i/>
          <w:iCs/>
          <w:color w:val="595959"/>
          <w:sz w:val="20"/>
          <w:szCs w:val="20"/>
        </w:rPr>
        <w:t xml:space="preserve">Reference: NIST SP 800-53A Rev. 5 — Assessing Security and Privacy Controls in Information Systems and Organizations</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6.1  Purpose and Scope</w:t>
      </w:r>
    </w:p>
    <w:p>
      <w:pPr>
        <w:spacing w:after="60" w:before="60"/>
        <w:jc w:val="left"/>
      </w:pPr>
      <w:r>
        <w:rPr>
          <w:rFonts w:ascii="Arial" w:cs="Arial" w:eastAsia="Arial" w:hAnsi="Arial"/>
          <w:b w:val="false"/>
          <w:bCs w:val="false"/>
          <w:i w:val="false"/>
          <w:iCs w:val="false"/>
          <w:color w:val="000000"/>
          <w:sz w:val="22"/>
          <w:szCs w:val="22"/>
        </w:rPr>
        <w:t xml:space="preserve">This Security Assessment Plan (SAP) describes the approach, scope, and test procedures for assessing the security and privacy controls implemented in IRSS v1.0, prepared in accordance with NIST SP 800-53A Rev. 5. The assessment covers the controls documented in SSP Section 1.6 and the AI-specific controls documented in Part 5. Assessment methods include documentation examination, system owner interview, and automated control testing.</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6.2  Assessment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Role</w:t>
            </w:r>
          </w:p>
        </w:tc>
        <w:tc>
          <w:tcPr>
            <w:tcW w:type="dxa" w:w="702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Responsibilities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Lead Assessor</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Raghunath Devayajanam — System Owner and AI Architect. Conducts self-assessment for portfolio purposes. In a production ATO, this role would be filled by an independent assessor or third-party assessment organization (3PAO) per NIST SP 800-37 Rev. 2 Section 2.5.</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Technical Reviewer</w:t>
            </w:r>
          </w:p>
        </w:tc>
        <w:tc>
          <w:tcPr>
            <w:tcW w:type="dxa" w:w="70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Independent technical reviewer — reviews code, configuration, and documentation against stated controls. In a production ATO, this role would be filled by a security engineer independent of the development team.</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6.3  Assessment Methods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Examine — review of documentation: SSP, decision log, fairness report, model card, runbook, architecture.md, nist_alignment.md, Terraform configuration, requirements.txt, and GitHub Actions workflow.</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Interview — review of design decisions with the system owner against stated control intent.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Test — execution of automated controls: fairness gate, drift monitor, CI/CD pipeline, and CloudWatch alarms.</w:t>
      </w:r>
    </w:p>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6.4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W w:type="dxa" w:w="156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Control</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Assessment Objective</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Test Procedure</w:t>
            </w:r>
          </w:p>
        </w:tc>
        <w:tc>
          <w:tcPr>
            <w:tcW w:type="dxa" w:w="312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Expected Result</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AC-2 / AC-3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Verify IAM role is scoped to least privilege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Review IAM policy attached to the SageMaker execution role. Verify S3 permissions limited to specific bucket ARNs. Verify no wildcard (*) actions.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Policy grants only s3:GetObject and s3:PutObject on named buckets. CloudWatch PutMetricData on named namespace only. No administrative permissions.</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AU-2 / AU-12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Verify CloudWatch alarms are active and correctly configured</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Run: aws cloudwatch describe-alarms for the three named alarms. Verify thresholds match Terraform configuration in main.tf.</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Three alarms returned. State is OK or ALARM when endpoint is active. Thresholds match main.tf definitions exactly.</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CM-2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Verify all infrastructure is defined in Terraform — no unmanaged resources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Run terraform plan against current AWS state. Compare Terraform state against AWS console.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terraform plan output: No changes. All resources accounted for in Terraform state.</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CM-6</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Verify no hardcoded credentials or account IDs in source code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Run grep for known AWS Account ID pattern and AKIA key pattern across src/ and config.py. Verify .env is not committed to the repository.</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No matches found. AWS Account ID not present in any source file. .env is listed in .gitignore and absent from the repository.</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SC-8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Verify all data in transit uses HTTPS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Review ingest.py Census API call. Review deploy.py SageMaker invocation. Review AWS SDK calls.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All external calls use HTTPS. No http:// URLs in pipeline code. AWS SDK enforces TLS 1.2+ by default.</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SC-28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Verify S3 encryption at rest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Run: aws s3api get-bucket-encryption for each of the three S3 buckets.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All three buckets return ServerSideEncryptionConfiguration with AES256 rule. No unencrypted bucket policy.</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MEASURE 2.5 / 2.7</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Execute fairness gate and verify CI/CD blocking behavior</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Run evaluate.py on Virginia test set. Verify exit code 0 (PASSED). Then set FAIRNESS_THRESHOLD=0.001 in config.py and re-run. Verify exit code 1 (FAILED). Restore threshold.</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Normal run: exit code 0, PASSED message, per-group results printed. Threshold=0.001 run: exit code 1, FAILED message with flagged groups. GitHub Actions treats exit code 1 as pipeline failure.</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MEASURE 2.6 / MANAGE 2.4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Execute drift monitor and verify CloudWatch publication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Run drift_monitor.py. Verify HTML report generated in reports/. Query CloudWatch for DriftShare metric.</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HTML report saved to reports/drift_report_TIMESTAMP.html. CloudWatch returns DriftShare data point from the current run. 9 metrics visible in the ResponsibleRiskEngine/Drift namespace.</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MANAGE 1.3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Verify no automated production promotion path exists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Review GitHub Actions workflow file. Review register.py — confirm model is promoted to staging only. Confirm deploy.py requires explicit execution.</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No deploy step in GitHub Actions workflow. register.py sets alias to staging only. deploy.py must be run manually. No EventBridge, Lambda, or scheduled trigger for deployment.</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GOVERN 1.7</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Verify sensitive feature separation at preprocessing</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Review preprocess.py — confirm race, sex, nativity are removed from X_train and X_test before model training. Review evaluate.py — confirm sensitive_df is only rejoined for audit, not passed to model.predict.</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preprocess.py creates separate sensitive_*.parquet before train/test split. X_train and X_test columns do not include race, sex, or nativity. evaluate.py never passes sensitive_df to model.predict_proba.</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GOVERN 1.4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Verify MLflow model lineage is complete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Open MLflow UI. Navigate to income-risk-xgboost experiment. Verify hyperparameters, metrics, fairness metrics, and artifacts are logged and model is registered with alias staging.</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All hyperparameters logged. AUC, F1, per-group PPR and AUC logged. Model artifact and full_pipeline artifact attached. Registered as income-risk-xgboost with alias staging.</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POA-005 (open)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Confirm equalized odds gap — document control gap</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Review evaluate.py — verify TPR and FPR per group are not computed. Confirm POA-005 is tracked.</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evaluate.py does not compute equalized odds metrics. POA-005 is documented with Q2 2026 target. Control gap confirmed and tracked.</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6.5  Assessment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Assessment Activity</w:t>
            </w:r>
          </w:p>
        </w:tc>
        <w:tc>
          <w:tcPr>
            <w:tcW w:type="dxa" w:w="23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Target Date</w:t>
            </w:r>
          </w:p>
        </w:tc>
        <w:tc>
          <w:tcPr>
            <w:tcW w:type="dxa" w:w="468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Status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Documentation review (SSP, PIA, RAR, POA&amp;M, AIIA)</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March 2026</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Complete — incorporated into this package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Technical control testing (CM, AC, SC, AU)</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March 2026</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Complete — results documented in Section 6.4</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Fairness gate test execution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March 2026</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Complete — Virginia audit PASSED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Drift monitor test execution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March 2026</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Complete — baseline drift_share 0.0</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POA&amp;M open item verification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Quarterly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Ongoing — next review Q2 2026</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Annual ATO re-assessment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March 2027</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Scheduled — coincides with ACS 2024 data release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National deployment assessment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TBD — prior to national rollout</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Pending — requires national fairness audit and updated RAR</w:t>
            </w:r>
          </w:p>
        </w:tc>
      </w:tr>
    </w:tbl>
    <w:p>
      <w:pPr>
        <w:spacing w:after="40" w:before="40"/>
      </w:pPr>
      <w:r>
        <w:rPr>
          <w:rFonts w:ascii="Arial" w:cs="Arial" w:eastAsia="Arial" w:hAnsi="Arial"/>
          <w:b w:val="false"/>
          <w:bCs w:val="false"/>
          <w:i w:val="false"/>
          <w:iCs w:val="false"/>
          <w:color w:val="000000"/>
          <w:sz w:val="22"/>
          <w:szCs w:val="22"/>
        </w:rPr>
        <w:t xml:space="preserve"/>
      </w:r>
    </w:p>
    <w:p>
      <w:pPr>
        <w:pStyle w:val="Heading2"/>
        <w:spacing w:after="100" w:before="240"/>
      </w:pPr>
      <w:r>
        <w:rPr>
          <w:rFonts w:ascii="Arial" w:cs="Arial" w:eastAsia="Arial" w:hAnsi="Arial"/>
          <w:b/>
          <w:bCs/>
          <w:color w:val="000000"/>
          <w:sz w:val="24"/>
          <w:szCs w:val="24"/>
        </w:rPr>
        <w:t xml:space="preserve">6.6  Authorization Recommendation</w:t>
      </w:r>
    </w:p>
    <w:p>
      <w:pPr>
        <w:spacing w:after="60" w:before="60"/>
        <w:jc w:val="left"/>
      </w:pPr>
      <w:r>
        <w:rPr>
          <w:rFonts w:ascii="Arial" w:cs="Arial" w:eastAsia="Arial" w:hAnsi="Arial"/>
          <w:b w:val="false"/>
          <w:bCs w:val="false"/>
          <w:i w:val="false"/>
          <w:iCs w:val="false"/>
          <w:color w:val="000000"/>
          <w:sz w:val="22"/>
          <w:szCs w:val="22"/>
        </w:rPr>
        <w:t xml:space="preserve">Based on the security assessment results documented in this plan, the following findings support an Authorization to Operate recommendation for IRSS v1.0 under the Virginia pilot deployment scope: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All High-priority controls are implemented and verified.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No High-risk findings identified in the Risk Assessment Report.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Fairness gate passed for Virginia development deployment — 0 of 10 demographic groups exceeded the ±0.20 PPR threshold.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Eight open POA&amp;M items identified — all rated Low or Low-Medium severity. No open items block ATO issuance. Remediation timelines are defined and tracked.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Continuous monitoring controls are operational — CloudWatch alarms, Evidently AI drift monitoring, and monthly fairness drift review are in place.</w:t>
      </w:r>
    </w:p>
    <w:p>
      <w:pPr>
        <w:spacing w:after="40" w:before="40"/>
      </w:pPr>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Authorization condition: The ATO is issued for the Virginia (FIPS 51) pilot deployment only. National deployment (STATE_CODE='*') requires a separate authorization action, including a full national fairness audit, updated risk assessment, and Authorizing Official concurrence.</w:t>
      </w:r>
    </w:p>
    <w:p>
      <w:pPr>
        <w:spacing w:after="40" w:before="40"/>
      </w:pPr>
      <w:r>
        <w:rPr>
          <w:rFonts w:ascii="Arial" w:cs="Arial" w:eastAsia="Arial" w:hAnsi="Arial"/>
          <w:b w:val="false"/>
          <w:bCs w:val="false"/>
          <w:i w:val="false"/>
          <w:iCs w:val="false"/>
          <w:color w:val="000000"/>
          <w:sz w:val="22"/>
          <w:szCs w:val="22"/>
        </w:rPr>
        <w:t xml:space="preserve"/>
      </w:r>
    </w:p>
    <w:p>
      <w:pPr>
        <w:spacing w:after="120" w:before="240"/>
      </w:pPr>
      <w:r>
        <w:rPr>
          <w:rFonts w:ascii="Arial" w:cs="Arial" w:eastAsia="Arial" w:hAnsi="Arial"/>
          <w:b/>
          <w:bCs/>
          <w:i w:val="false"/>
          <w:iCs w:val="false"/>
          <w:color w:val="000000"/>
          <w:sz w:val="22"/>
          <w:szCs w:val="22"/>
        </w:rPr>
        <w:t xml:space="preserve">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Field</w:t>
            </w:r>
          </w:p>
        </w:tc>
        <w:tc>
          <w:tcPr>
            <w:tcW w:type="dxa" w:w="6240"/>
            <w:tcBorders>
              <w:top w:val="single" w:color="888888" w:sz="1"/>
              <w:left w:val="single" w:color="888888" w:sz="1"/>
              <w:bottom w:val="single" w:color="888888" w:sz="1"/>
              <w:right w:val="single" w:color="888888" w:sz="1"/>
            </w:tcBorders>
            <w:shd w:fill="D9D9D9" w:val="clear"/>
            <w:tcMar>
              <w:top w:type="dxa" w:w="80"/>
              <w:left w:type="dxa" w:w="120"/>
              <w:bottom w:type="dxa" w:w="80"/>
              <w:right w:type="dxa" w:w="120"/>
            </w:tcMar>
            <w:vAlign w:val="center"/>
          </w:tcPr>
          <w:p>
            <w:pPr>
              <w:spacing w:after="0" w:before="0"/>
            </w:pPr>
            <w:r>
              <w:rPr>
                <w:rFonts w:ascii="Arial" w:cs="Arial" w:eastAsia="Arial" w:hAnsi="Arial"/>
                <w:b/>
                <w:bCs/>
                <w:i w:val="false"/>
                <w:iCs w:val="false"/>
                <w:color w:val="000000"/>
                <w:sz w:val="20"/>
                <w:szCs w:val="20"/>
              </w:rPr>
              <w:t xml:space="preserve">Value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Authorizing Official</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Raghunath Devayajanam</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Title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AI Architect</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Authorization Date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March 2026</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ATO Expiration</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March 2028</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Authorization Scope</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Virginia (FIPS 51) pilot deployment only</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Conditions</w:t>
            </w:r>
          </w:p>
        </w:tc>
        <w:tc>
          <w:tcPr>
            <w:tcW w:type="dxa" w:w="6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i w:val="false"/>
                <w:iCs w:val="false"/>
                <w:color w:val="000000"/>
                <w:sz w:val="20"/>
                <w:szCs w:val="20"/>
              </w:rPr>
              <w:t xml:space="preserve">Continuous monitoring controls must remain operational. POA&amp;M reviewed quarterly. National deployment requires separate authorization action.</w:t>
            </w:r>
          </w:p>
        </w:tc>
      </w:tr>
    </w:tbl>
    <w:p>
      <w:pPr>
        <w:spacing w:after="40" w:before="40"/>
      </w:pPr>
      <w:r>
        <w:rPr>
          <w:rFonts w:ascii="Arial" w:cs="Arial" w:eastAsia="Arial" w:hAnsi="Arial"/>
          <w:b w:val="false"/>
          <w:bCs w:val="false"/>
          <w:i w:val="false"/>
          <w:iCs w:val="false"/>
          <w:color w:val="000000"/>
          <w:sz w:val="22"/>
          <w:szCs w:val="22"/>
        </w:rPr>
        <w:t xml:space="preserve"/>
      </w:r>
    </w:p>
    <w:p>
      <w:pPr>
        <w:spacing w:after="40" w:before="40"/>
      </w:pPr>
      <w:r>
        <w:rPr>
          <w:rFonts w:ascii="Arial" w:cs="Arial" w:eastAsia="Arial" w:hAnsi="Arial"/>
          <w:b w:val="false"/>
          <w:bCs w:val="false"/>
          <w:i w:val="false"/>
          <w:iCs w:val="false"/>
          <w:color w:val="000000"/>
          <w:sz w:val="22"/>
          <w:szCs w:val="22"/>
        </w:rPr>
        <w:t xml:space="preserve"/>
      </w:r>
    </w:p>
    <w:p>
      <w:pPr>
        <w:spacing w:after="60" w:before="240"/>
      </w:pPr>
      <w:r>
        <w:rPr>
          <w:rFonts w:ascii="Arial" w:cs="Arial" w:eastAsia="Arial" w:hAnsi="Arial"/>
          <w:b w:val="false"/>
          <w:bCs w:val="false"/>
          <w:i w:val="false"/>
          <w:iCs w:val="false"/>
          <w:color w:val="000000"/>
          <w:sz w:val="22"/>
          <w:szCs w:val="22"/>
        </w:rPr>
        <w:t xml:space="preserve">______________________________________</w:t>
      </w:r>
    </w:p>
    <w:p>
      <w:pPr>
        <w:spacing w:after="0" w:before="0"/>
      </w:pPr>
      <w:r>
        <w:rPr>
          <w:rFonts w:ascii="Arial" w:cs="Arial" w:eastAsia="Arial" w:hAnsi="Arial"/>
          <w:b w:val="false"/>
          <w:bCs w:val="false"/>
          <w:i/>
          <w:iCs/>
          <w:color w:val="595959"/>
          <w:sz w:val="20"/>
          <w:szCs w:val="20"/>
        </w:rPr>
        <w:t xml:space="preserve">Authorizing Official Signature |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after="0" w:before="120"/>
      <w:jc w:val="center"/>
    </w:pPr>
    <w:r>
      <w:rPr>
        <w:rFonts w:ascii="Arial" w:cs="Arial" w:eastAsia="Arial" w:hAnsi="Arial"/>
        <w:b w:val="false"/>
        <w:bCs w:val="false"/>
        <w:i w:val="false"/>
        <w:iCs w:val="false"/>
        <w:color w:val="595959"/>
        <w:sz w:val="18"/>
        <w:szCs w:val="18"/>
      </w:rPr>
      <w:t xml:space="preserve">SAMPLE — Portfolio Demonstration Artifact | Fictional Agency | </w:t>
    </w:r>
    <w:r>
      <w:rPr>
        <w:rFonts w:ascii="Arial" w:cs="Arial" w:eastAsia="Arial" w:hAnsi="Arial"/>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spacing w:after="120" w:before="0"/>
      <w:jc w:val="right"/>
    </w:pPr>
    <w:r>
      <w:rPr>
        <w:rFonts w:ascii="Arial" w:cs="Arial" w:eastAsia="Arial" w:hAnsi="Arial"/>
        <w:b w:val="false"/>
        <w:bCs w:val="false"/>
        <w:i w:val="false"/>
        <w:iCs w:val="false"/>
        <w:color w:val="595959"/>
        <w:sz w:val="18"/>
        <w:szCs w:val="18"/>
      </w:rPr>
      <w:t xml:space="preserve">Income Risk Scoring System v1.0  |  Authority to Operate Package  |  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0000"/>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2026-04-01T03:15:31.336Z</dcterms:created>
  <dcterms:modified xsi:type="dcterms:W3CDTF">2026-04-01T03:15:31.337Z</dcterms:modified>
</cp:coreProperties>
</file>

<file path=docProps/custom.xml><?xml version="1.0" encoding="utf-8"?>
<Properties xmlns="http://schemas.openxmlformats.org/officeDocument/2006/custom-properties" xmlns:vt="http://schemas.openxmlformats.org/officeDocument/2006/docPropsVTypes"/>
</file>