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54"/>
          <w:szCs w:val="54"/>
        </w:rPr>
        <w:t xml:space="preserve">Perinatal Health Information Needs</w:t>
      </w:r>
    </w:p>
    <w:p>
      <w:pPr>
        <w:spacing w:after="80" w:before="0"/>
        <w:jc w:val="center"/>
      </w:pPr>
      <w:r>
        <w:rPr>
          <w:rFonts w:ascii="Arial" w:cs="Arial" w:eastAsia="Arial" w:hAnsi="Arial"/>
          <w:color w:val="2E5FA3"/>
          <w:sz w:val="28"/>
          <w:szCs w:val="28"/>
        </w:rPr>
        <w:t xml:space="preserve">A Comprehensive Evidence-Based Resource for AI Model Training</w:t>
      </w:r>
    </w:p>
    <w:p>
      <w:pPr>
        <w:spacing w:after="120" w:before="0"/>
        <w:jc w:val="center"/>
      </w:pPr>
      <w:r>
        <w:rPr>
          <w:rFonts w:ascii="Arial" w:cs="Arial" w:eastAsia="Arial" w:hAnsi="Arial"/>
          <w:i/>
          <w:iCs/>
          <w:color w:val="888888"/>
          <w:sz w:val="21"/>
          <w:szCs w:val="21"/>
        </w:rPr>
        <w:t xml:space="preserve">Merged &amp; Revised Edition — Integrating All Four Domains, the Fourth Trimester, and Family Planning | April 2026</w:t>
      </w:r>
    </w:p>
    <w:p>
      <w:pPr>
        <w:pBdr>
          <w:bottom w:val="single" w:color="2E5FA3" w:sz="12" w:space="4"/>
        </w:pBdr>
        <w:spacing w:after="80" w:before="0"/>
        <w:jc w:val="center"/>
      </w:pPr>
    </w:p>
    <w:p>
      <w:pPr>
        <w:spacing w:after="80" w:before="80"/>
      </w:pPr>
      <w:r>
        <w:t xml:space="preserve"/>
      </w:r>
    </w:p>
    <w:p>
      <w:pPr>
        <w:shd w:fill="D6E4F7" w:val="clear"/>
        <w:spacing w:after="120" w:before="100"/>
        <w:ind w:left="240" w:right="240"/>
      </w:pPr>
      <w:r>
        <w:rPr>
          <w:rFonts w:ascii="Arial" w:cs="Arial" w:eastAsia="Arial" w:hAnsi="Arial"/>
          <w:color w:val="1B3A6B"/>
          <w:sz w:val="21"/>
          <w:szCs w:val="21"/>
        </w:rPr>
        <w:t xml:space="preserve">SCOPE: The perinatal period is defined as pregnancy confirmation through 12 months postpartum. This document provides a merged, comprehensive evidence base across four domains: (1) Patient Concerns &amp; Questions, (2) Clinical Encounters &amp; Care Engagement, (3) Social Support, and (4) External Information Sources. The fourth trimester (first 12 weeks postpartum) and family planning/contraception are integrated throughout each domain rather than treated as isolated topics. Guideline bodies integrated throughout: ACOG · ACNM · AWHONN · AAP · SMFM · SFP · NAF · USPSTF · CDC · WHO · AHRQ · MedlinePlus.</w:t>
      </w:r>
    </w:p>
    <w:p>
      <w:pPr>
        <w:spacing w:after="80" w:before="80"/>
      </w:pPr>
      <w:r>
        <w:t xml:space="preserve"/>
      </w:r>
    </w:p>
    <w:p>
      <w:pPr>
        <w:shd w:fill="FDF3DC" w:val="clear"/>
        <w:spacing w:after="120" w:before="100"/>
        <w:ind w:left="240" w:right="240"/>
      </w:pPr>
      <w:r>
        <w:rPr>
          <w:rFonts w:ascii="Arial" w:cs="Arial" w:eastAsia="Arial" w:hAnsi="Arial"/>
          <w:color w:val="1B3A6B"/>
          <w:sz w:val="21"/>
          <w:szCs w:val="21"/>
        </w:rPr>
        <w:t xml:space="preserve">GUIDELINE BODY QUICK REFERENCE: ACOG=American College of Obstetricians and Gynecologists | ACNM=American College of Nurse-Midwives | AWHONN=Association of Women's Health, Obstetric and Neonatal Nurses | AAP=American Academy of Pediatrics | SMFM=Society for Maternal-Fetal Medicine | SFP=Society of Family Planning | NAF=National Abortion Federation | USPSTF=U.S. Preventive Services Task Force | CDC=Centers for Disease Control and Prevention | AHRQ=Agency for Healthcare Research and Quality | WHO=World Health Organization | MedlinePlus=National Library of Medicine patient resource (NLM/NIH)</w:t>
      </w:r>
    </w:p>
    <w:p>
      <w:pPr>
        <w:spacing w:after="80" w:before="80"/>
      </w:pPr>
      <w:r>
        <w:t xml:space="preserve"/>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PART I: Authoritative Guideline Bodies — Reference Guide</w:t>
      </w:r>
    </w:p>
    <w:p>
      <w:pPr>
        <w:shd w:fill="D6E4F7" w:val="clear"/>
        <w:spacing w:after="120" w:before="100"/>
        <w:ind w:left="240" w:right="240"/>
      </w:pPr>
      <w:r>
        <w:rPr>
          <w:rFonts w:ascii="Arial" w:cs="Arial" w:eastAsia="Arial" w:hAnsi="Arial"/>
          <w:color w:val="1B3A6B"/>
          <w:sz w:val="21"/>
          <w:szCs w:val="21"/>
        </w:rPr>
        <w:t xml:space="preserve">Understanding which body speaks authoritatively to each topic is foundational for a quality-detection model. This section profiles the primary clinical organisations, federal bodies, and consumer-facing resources whose guidance is woven throughout all four domains.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I.A. Clinical Professional Organisations</w:t>
      </w:r>
    </w:p>
    <w:p>
      <w:pPr>
        <w:pStyle w:val="Heading3"/>
        <w:spacing w:after="80" w:before="260"/>
      </w:pPr>
      <w:r>
        <w:rPr>
          <w:rFonts w:ascii="Arial" w:cs="Arial" w:eastAsia="Arial" w:hAnsi="Arial"/>
          <w:b/>
          <w:bCs/>
          <w:color w:val="444444"/>
          <w:sz w:val="24"/>
          <w:szCs w:val="24"/>
        </w:rPr>
        <w:t xml:space="preserve">ACOG — American College of Obstetricians and Gynecologists</w:t>
      </w:r>
    </w:p>
    <w:p>
      <w:pPr>
        <w:spacing w:after="100" w:before="60"/>
      </w:pPr>
      <w:r>
        <w:rPr>
          <w:rFonts w:ascii="Arial" w:cs="Arial" w:eastAsia="Arial" w:hAnsi="Arial"/>
          <w:color w:val="444444"/>
          <w:sz w:val="22"/>
          <w:szCs w:val="22"/>
        </w:rPr>
        <w:t xml:space="preserve">ACOG is the largest OB-GYN professional organisation in the United States and the primary standard-setting body for obstetric and gynaecologic clinical practice. Publication types: Clinical Practice Guidelines (CPGs, e.g., CPG #4 and #5 on perinatal mental health, 2023); Practice Bulletins (evidence-based recommendations on specific conditions); Committee Opinions (rapid guidance); Obstetric Care Consensus documents (co-authored with SMFM); Clinical Consensus documents (e.g., PATH Framework, 2025).</w:t>
      </w:r>
    </w:p>
    <w:p>
      <w:pPr>
        <w:pStyle w:val="ListParagraph"/>
        <w:numPr>
          <w:ilvl w:val="0"/>
          <w:numId w:val="2"/>
        </w:numPr>
        <w:spacing w:after="40" w:before="40"/>
      </w:pPr>
      <w:r>
        <w:rPr>
          <w:rFonts w:ascii="Arial" w:cs="Arial" w:eastAsia="Arial" w:hAnsi="Arial"/>
          <w:sz w:val="22"/>
          <w:szCs w:val="22"/>
        </w:rPr>
        <w:t xml:space="preserve">Key perinatal domains: prenatal care structure, gestational diabetes, hypertensive disorders, mental health screening/treatment, induction, cesarean, VBAC, postpartum care, fetal surveillance, genetic counselling, shared decision-making, breastfeeding, postpartum contraception</w:t>
      </w:r>
    </w:p>
    <w:p>
      <w:pPr>
        <w:pStyle w:val="ListParagraph"/>
        <w:numPr>
          <w:ilvl w:val="0"/>
          <w:numId w:val="2"/>
        </w:numPr>
        <w:spacing w:after="40" w:before="40"/>
      </w:pPr>
      <w:r>
        <w:rPr>
          <w:rFonts w:ascii="Arial" w:cs="Arial" w:eastAsia="Arial" w:hAnsi="Arial"/>
          <w:sz w:val="22"/>
          <w:szCs w:val="22"/>
        </w:rPr>
        <w:t xml:space="preserve">Website: acog.org | Patient resource: patient.acog.org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ACNM — American College of Nurse-Midwives</w:t>
      </w:r>
    </w:p>
    <w:p>
      <w:pPr>
        <w:spacing w:after="100" w:before="60"/>
      </w:pPr>
      <w:r>
        <w:rPr>
          <w:rFonts w:ascii="Arial" w:cs="Arial" w:eastAsia="Arial" w:hAnsi="Arial"/>
          <w:color w:val="444444"/>
          <w:sz w:val="22"/>
          <w:szCs w:val="22"/>
        </w:rPr>
        <w:t xml:space="preserve">ACNM represents approximately 14,000 Certified Nurse-Midwives (CNMs) and Certified Midwives (CMs) who attend 10.9% of U.S. births. The 2022 Standards update replaced mandatory CPG language with evidence-informed practice, shared decision-making, and the hallmarks of midwifery. ACNM distinctively emphasises physiologic birth, relationship-centred care, and independent practice for low-risk pregnancies. Key outputs: Position Statements, Standards for Practice (2022), collaborative statements with ACOG, Journal of Midwifery &amp; Women's Health.</w:t>
      </w:r>
    </w:p>
    <w:p>
      <w:pPr>
        <w:pStyle w:val="ListParagraph"/>
        <w:numPr>
          <w:ilvl w:val="0"/>
          <w:numId w:val="2"/>
        </w:numPr>
        <w:spacing w:after="40" w:before="40"/>
      </w:pPr>
      <w:r>
        <w:rPr>
          <w:rFonts w:ascii="Arial" w:cs="Arial" w:eastAsia="Arial" w:hAnsi="Arial"/>
          <w:sz w:val="22"/>
          <w:szCs w:val="22"/>
        </w:rPr>
        <w:t xml:space="preserve">Website: midwife.org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AWHONN — Association of Women's Health, Obstetric and Neonatal Nurses</w:t>
      </w:r>
    </w:p>
    <w:p>
      <w:pPr>
        <w:spacing w:after="100" w:before="60"/>
      </w:pPr>
      <w:r>
        <w:rPr>
          <w:rFonts w:ascii="Arial" w:cs="Arial" w:eastAsia="Arial" w:hAnsi="Arial"/>
          <w:color w:val="444444"/>
          <w:sz w:val="22"/>
          <w:szCs w:val="22"/>
        </w:rPr>
        <w:t xml:space="preserve">AWHONN represents 25,000+ perinatal nurses and is the standard-bearer for nursing practice across the perinatal continuum. Key publications: Standards for Professional Nursing Practice, 9th Ed. (JOGNN, 2024); evidence-based CPGs on fetal monitoring, second-stage management, late preterm infant care, neonatal skin care, breastfeeding, safe sleep; Save Your Life maternal warning-signs programme; Newborn Warning Signs programme.</w:t>
      </w:r>
    </w:p>
    <w:p>
      <w:pPr>
        <w:pStyle w:val="ListParagraph"/>
        <w:numPr>
          <w:ilvl w:val="0"/>
          <w:numId w:val="2"/>
        </w:numPr>
        <w:spacing w:after="40" w:before="40"/>
      </w:pPr>
      <w:r>
        <w:rPr>
          <w:rFonts w:ascii="Arial" w:cs="Arial" w:eastAsia="Arial" w:hAnsi="Arial"/>
          <w:sz w:val="22"/>
          <w:szCs w:val="22"/>
        </w:rPr>
        <w:t xml:space="preserve">Website: awhonn.org | Journals: JOGNN; Nursing for Women's Health</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AAP — American Academy of Pediatrics</w:t>
      </w:r>
    </w:p>
    <w:p>
      <w:pPr>
        <w:spacing w:after="100" w:before="60"/>
      </w:pPr>
      <w:r>
        <w:rPr>
          <w:rFonts w:ascii="Arial" w:cs="Arial" w:eastAsia="Arial" w:hAnsi="Arial"/>
          <w:color w:val="444444"/>
          <w:sz w:val="22"/>
          <w:szCs w:val="22"/>
        </w:rPr>
        <w:t xml:space="preserve">The AAP (67,000 members) governs paediatric and newborn care. Its guidance is essential for the fourth trimester from the infant's perspective and for postpartum parenting. Key outputs: Safe Sleep Policy Statement (2022, updated 2025, 159 scientific studies); Breastfeeding Policy Statement (2022, exclusive human milk ~6 months); Well-Child Bright Futures guidelines; maternal PPD screening at 1, 2, 4, and 6-month well-baby visits; vitamin K, hepatitis B, and ophthalmic prophylaxis policy statements; HealthyChildren.org (patient-facing).</w:t>
      </w:r>
    </w:p>
    <w:p>
      <w:pPr>
        <w:pStyle w:val="ListParagraph"/>
        <w:numPr>
          <w:ilvl w:val="0"/>
          <w:numId w:val="2"/>
        </w:numPr>
        <w:spacing w:after="40" w:before="40"/>
      </w:pPr>
      <w:r>
        <w:rPr>
          <w:rFonts w:ascii="Arial" w:cs="Arial" w:eastAsia="Arial" w:hAnsi="Arial"/>
          <w:sz w:val="22"/>
          <w:szCs w:val="22"/>
        </w:rPr>
        <w:t xml:space="preserve">Website: aap.org | Patient resource: healthychildren.org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SMFM — Society for Maternal-Fetal Medicine</w:t>
      </w:r>
    </w:p>
    <w:p>
      <w:pPr>
        <w:spacing w:after="100" w:before="60"/>
      </w:pPr>
      <w:r>
        <w:rPr>
          <w:rFonts w:ascii="Arial" w:cs="Arial" w:eastAsia="Arial" w:hAnsi="Arial"/>
          <w:color w:val="444444"/>
          <w:sz w:val="22"/>
          <w:szCs w:val="22"/>
        </w:rPr>
        <w:t xml:space="preserve">SMFM (6,500+ members) is the subspecialty body for high-risk pregnancy. It now publishes in its open-access journal PREGNANCY (launched 2025, replacing AJOG affiliation). Key areas: preeclampsia, fetal growth restriction, preterm birth, periviable birth (22–25 weeks), multiple gestations, cardiac disease in pregnancy, immediate postpartum LARC (Consult #48), interpregnancy care (OCC #8 with ACOG, reaffirmed 2025), placenta accreta spectrum.</w:t>
      </w:r>
    </w:p>
    <w:p>
      <w:pPr>
        <w:pStyle w:val="ListParagraph"/>
        <w:numPr>
          <w:ilvl w:val="0"/>
          <w:numId w:val="2"/>
        </w:numPr>
        <w:spacing w:after="40" w:before="40"/>
      </w:pPr>
      <w:r>
        <w:rPr>
          <w:rFonts w:ascii="Arial" w:cs="Arial" w:eastAsia="Arial" w:hAnsi="Arial"/>
          <w:sz w:val="22"/>
          <w:szCs w:val="22"/>
        </w:rPr>
        <w:t xml:space="preserve">Website: smfm.org | Journal: pregnancy.smfm.org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SFP — Society of Family Planning</w:t>
      </w:r>
    </w:p>
    <w:p>
      <w:pPr>
        <w:spacing w:after="100" w:before="60"/>
      </w:pPr>
      <w:r>
        <w:rPr>
          <w:rFonts w:ascii="Arial" w:cs="Arial" w:eastAsia="Arial" w:hAnsi="Arial"/>
          <w:color w:val="444444"/>
          <w:sz w:val="22"/>
          <w:szCs w:val="22"/>
        </w:rPr>
        <w:t xml:space="preserve">SFP is the primary clinical academic society for abortion and contraception science. Key outputs: US Medical Eligibility Criteria for Contraceptive Use (US MEC, 2024 — includes postpartum, breastfeeding, and post-abortion eligibility tables for all methods); Clinical Recommendations (annual); joint publications with SMFM on medication abortion and fetal asystole.</w:t>
      </w:r>
    </w:p>
    <w:p>
      <w:pPr>
        <w:pStyle w:val="ListParagraph"/>
        <w:numPr>
          <w:ilvl w:val="0"/>
          <w:numId w:val="2"/>
        </w:numPr>
        <w:spacing w:after="40" w:before="40"/>
      </w:pPr>
      <w:r>
        <w:rPr>
          <w:rFonts w:ascii="Arial" w:cs="Arial" w:eastAsia="Arial" w:hAnsi="Arial"/>
          <w:sz w:val="22"/>
          <w:szCs w:val="22"/>
        </w:rPr>
        <w:t xml:space="preserve">Website: societyfp.org | Journal: Contraception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NAF — National Abortion Federation</w:t>
      </w:r>
    </w:p>
    <w:p>
      <w:pPr>
        <w:spacing w:after="100" w:before="60"/>
      </w:pPr>
      <w:r>
        <w:rPr>
          <w:rFonts w:ascii="Arial" w:cs="Arial" w:eastAsia="Arial" w:hAnsi="Arial"/>
          <w:color w:val="444444"/>
          <w:sz w:val="22"/>
          <w:szCs w:val="22"/>
        </w:rPr>
        <w:t xml:space="preserve">NAF publishes Clinical Policy Guidelines for Abortion Care (CPGs, annual, 2024 ed.), the comprehensive clinical standard for abortion facility practice. Relevant to perinatal care for: unintended pregnancy counselling, therapeutic termination for medical indications, post-abortion contraception, and pregnancy loss management.</w:t>
      </w:r>
    </w:p>
    <w:p>
      <w:pPr>
        <w:pStyle w:val="ListParagraph"/>
        <w:numPr>
          <w:ilvl w:val="0"/>
          <w:numId w:val="2"/>
        </w:numPr>
        <w:spacing w:after="40" w:before="40"/>
      </w:pPr>
      <w:r>
        <w:rPr>
          <w:rFonts w:ascii="Arial" w:cs="Arial" w:eastAsia="Arial" w:hAnsi="Arial"/>
          <w:sz w:val="22"/>
          <w:szCs w:val="22"/>
        </w:rPr>
        <w:t xml:space="preserve">Website: prochoice.org</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I.B. Federal and Regulatory Bodies</w:t>
      </w:r>
    </w:p>
    <w:p>
      <w:pPr>
        <w:pStyle w:val="Heading3"/>
        <w:spacing w:after="80" w:before="260"/>
      </w:pPr>
      <w:r>
        <w:rPr>
          <w:rFonts w:ascii="Arial" w:cs="Arial" w:eastAsia="Arial" w:hAnsi="Arial"/>
          <w:b/>
          <w:bCs/>
          <w:color w:val="444444"/>
          <w:sz w:val="24"/>
          <w:szCs w:val="24"/>
        </w:rPr>
        <w:t xml:space="preserve">USPSTF</w:t>
      </w:r>
    </w:p>
    <w:p>
      <w:pPr>
        <w:spacing w:after="100" w:before="60"/>
      </w:pPr>
      <w:r>
        <w:rPr>
          <w:rFonts w:ascii="Arial" w:cs="Arial" w:eastAsia="Arial" w:hAnsi="Arial"/>
          <w:color w:val="444444"/>
          <w:sz w:val="22"/>
          <w:szCs w:val="22"/>
        </w:rPr>
        <w:t xml:space="preserve">Issues Grade A/B recommendations that ACA mandates insurers cover. Perinatal recommendations: Perinatal Depression screening (Grade B, 2019); Aspirin for preeclampsia prevention (Grade B, 2021); Gestational Diabetes Mellitus screening (Grade B, 2021); Tobacco cessation (Grade A); Healthy gestational weight counselling (Grade B); HIV screening (Grade A); Folic acid supplementation (Grade A). Website: uspreventiveservicestaskforce.org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CDC — Division of Reproductive Health</w:t>
      </w:r>
    </w:p>
    <w:p>
      <w:pPr>
        <w:spacing w:after="100" w:before="60"/>
      </w:pPr>
      <w:r>
        <w:rPr>
          <w:rFonts w:ascii="Arial" w:cs="Arial" w:eastAsia="Arial" w:hAnsi="Arial"/>
          <w:color w:val="444444"/>
          <w:sz w:val="22"/>
          <w:szCs w:val="22"/>
        </w:rPr>
        <w:t xml:space="preserve">Key resources: Pregnancy Mortality Surveillance System; Maternal Mortality Review Committees; Hear Her campaign; Safe Sleep endorsement of AAP 2022 guidelines; US SPR for Contraceptive Use (2024, MMWR 73/RR-3); immunisation in pregnancy guidance; Alliance for Innovation on Maternal Health (AIM) patient safety bundles; Perinatal Quality Collaboratives. Website: cdc.gov/maternal-infant-health</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AHRQ — Agency for Healthcare Research and Quality</w:t>
      </w:r>
    </w:p>
    <w:p>
      <w:pPr>
        <w:spacing w:after="100" w:before="60"/>
      </w:pPr>
      <w:r>
        <w:rPr>
          <w:rFonts w:ascii="Arial" w:cs="Arial" w:eastAsia="Arial" w:hAnsi="Arial"/>
          <w:color w:val="444444"/>
          <w:sz w:val="22"/>
          <w:szCs w:val="22"/>
        </w:rPr>
        <w:t xml:space="preserve">Key outputs: Postpartum Care Up to 1 Year After Pregnancy: Systematic Review and Meta-Analysis (2023, Report AHRQ 23-EHC010) — the most comprehensive evidence synthesis on postpartum care; Toolkit for Improving Perinatal Safety. Website: ahrq.gov</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HRSA — Maternal and Child Health Bureau</w:t>
      </w:r>
    </w:p>
    <w:p>
      <w:pPr>
        <w:spacing w:after="100" w:before="60"/>
      </w:pPr>
      <w:r>
        <w:rPr>
          <w:rFonts w:ascii="Arial" w:cs="Arial" w:eastAsia="Arial" w:hAnsi="Arial"/>
          <w:color w:val="444444"/>
          <w:sz w:val="22"/>
          <w:szCs w:val="22"/>
        </w:rPr>
        <w:t xml:space="preserve">Key programmes: National Maternal Mental Health Hotline (1-833-TLC-MAMA, launched 2022, 24/7, 60+ languages, licensed clinicians + peer specialists); Title V MCH Block Grants; Health Center QI Fund. Website: mchb.hrsa.gov</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WHO — World Health Organization</w:t>
      </w:r>
    </w:p>
    <w:p>
      <w:pPr>
        <w:spacing w:after="100" w:before="60"/>
      </w:pPr>
      <w:r>
        <w:rPr>
          <w:rFonts w:ascii="Arial" w:cs="Arial" w:eastAsia="Arial" w:hAnsi="Arial"/>
          <w:color w:val="444444"/>
          <w:sz w:val="22"/>
          <w:szCs w:val="22"/>
        </w:rPr>
        <w:t xml:space="preserve">Key guidance: Recommendations on Antenatal Care for a Positive Pregnancy Experience; all maternal/perinatal guidelines now on MAGICapp (2025, living guideline platform); exclusive breastfeeding for 6 months + continuation through 2 years; Ten Steps to Successful Breastfeeding (Baby-Friendly Hospital Initiative); birth spacing recommendation (≥24 months after live birth, ≥6 months after pregnancy loss). Website: who.int</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I.C. Patient-Facing Authoritative Resources</w:t>
      </w:r>
    </w:p>
    <w:p>
      <w:pPr>
        <w:pStyle w:val="Heading3"/>
        <w:spacing w:after="80" w:before="260"/>
      </w:pPr>
      <w:r>
        <w:rPr>
          <w:rFonts w:ascii="Arial" w:cs="Arial" w:eastAsia="Arial" w:hAnsi="Arial"/>
          <w:b/>
          <w:bCs/>
          <w:color w:val="444444"/>
          <w:sz w:val="24"/>
          <w:szCs w:val="24"/>
        </w:rPr>
        <w:t xml:space="preserve">MedlinePlus — National Library of Medicine / NIH</w:t>
      </w:r>
    </w:p>
    <w:p>
      <w:pPr>
        <w:spacing w:after="100" w:before="60"/>
      </w:pPr>
      <w:r>
        <w:rPr>
          <w:rFonts w:ascii="Arial" w:cs="Arial" w:eastAsia="Arial" w:hAnsi="Arial"/>
          <w:color w:val="444444"/>
          <w:sz w:val="22"/>
          <w:szCs w:val="22"/>
        </w:rPr>
        <w:t xml:space="preserve">MedlinePlus is the U.S. government's primary consumer health information website, curated by NLM medical librarians. It links exclusively to government and evidence-based non-commercial sources; contains no advertising or product endorsement; is available in 40+ languages. It is explicitly endorsed by NICHD as the authoritative patient-facing resource for pregnancy and perinatal information. Key perinatal topic pages: Pregnancy, Prenatal Care, Postpartum Care, Postpartum Depression, Breastfeeding, Safe Baby Sleep, Birth Control, Preeclampsia, Gestational Diabetes, Miscarriage, Premature Babies, Newborn Screening, LactMed. Website: medlineplus.gov</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HealthyChildren.org (AAP) · CDC.gov · womenshealth.gov (OWH)</w:t>
      </w:r>
    </w:p>
    <w:p>
      <w:pPr>
        <w:spacing w:after="100" w:before="60"/>
      </w:pPr>
      <w:r>
        <w:rPr>
          <w:rFonts w:ascii="Arial" w:cs="Arial" w:eastAsia="Arial" w:hAnsi="Arial"/>
          <w:color w:val="444444"/>
          <w:sz w:val="22"/>
          <w:szCs w:val="22"/>
        </w:rPr>
        <w:t xml:space="preserve">HealthyChildren.org: AAP's patient-facing site; all content reflects current AAP policy; primary reference for safe sleep, newborn care, and infant development. CDC.gov: government-sourced patient information aligned with CDC recommendations; Hear Her campaign; safe sleep materials. womenshealth.gov (HHS Office on Women's Health): stages of pregnancy, prenatal care, complications; evidence-aligned. Other endorsed resources: March of Dimes (marchofdimes.org); Postpartum Support International (postpartum.net); LactMed (drug safety in breastfeeding, NLM).</w:t>
      </w:r>
    </w:p>
    <w:p>
      <w:pPr>
        <w:spacing w:after="80" w:before="80"/>
      </w:pPr>
      <w:r>
        <w:t xml:space="preserve"/>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1: Patient Concerns &amp; Questions</w:t>
      </w:r>
    </w:p>
    <w:p>
      <w:pPr>
        <w:shd w:fill="D6E4F7" w:val="clear"/>
        <w:spacing w:after="120" w:before="100"/>
        <w:ind w:left="240" w:right="240"/>
      </w:pPr>
      <w:r>
        <w:rPr>
          <w:rFonts w:ascii="Arial" w:cs="Arial" w:eastAsia="Arial" w:hAnsi="Arial"/>
          <w:color w:val="1B3A6B"/>
          <w:sz w:val="21"/>
          <w:szCs w:val="21"/>
        </w:rPr>
        <w:t xml:space="preserve">This domain covers the evidence-based landscape of what perinatal people most want and need to know, across pregnancy, birth, the fourth trimester, and the full postpartum year. 90–97% of pregnant people use the internet for perinatal information (Henrich et al., JMIR, 2024). The most frequently sought topics are labour and delivery, laboratory tests, medication safety, and newborn care. Three structural barriers recur across studies: information is absent, not readily accessible, or cannot be interpreted by lay readers (Jackson GP, AHRQ, 2019).</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1.1 Antenatal Physical Health</w:t>
      </w:r>
    </w:p>
    <w:p>
      <w:pPr>
        <w:pStyle w:val="Heading3"/>
        <w:spacing w:after="80" w:before="260"/>
      </w:pPr>
      <w:r>
        <w:rPr>
          <w:rFonts w:ascii="Arial" w:cs="Arial" w:eastAsia="Arial" w:hAnsi="Arial"/>
          <w:b/>
          <w:bCs/>
          <w:color w:val="444444"/>
          <w:sz w:val="24"/>
          <w:szCs w:val="24"/>
        </w:rPr>
        <w:t xml:space="preserve">Pregnancy symptoms and physiology</w:t>
      </w:r>
    </w:p>
    <w:p>
      <w:pPr>
        <w:spacing w:after="100" w:before="60"/>
      </w:pPr>
      <w:r>
        <w:rPr>
          <w:rFonts w:ascii="Arial" w:cs="Arial" w:eastAsia="Arial" w:hAnsi="Arial"/>
          <w:color w:val="444444"/>
          <w:sz w:val="22"/>
          <w:szCs w:val="22"/>
        </w:rPr>
        <w:t xml:space="preserve">Women actively seek information about normal vs. abnormal symptoms. Key topics: nausea and vomiting (management, antiemetics, hyperemesis gravidarum thresholds); fatigue and differentiation from anaemia or mood disorder; fetal movement expectations and kick-count guidance; weight gain evidence-based ranges (IOM/NAS guidelines, endorsed by ACOG/USPSTF); round ligament pain, Braxton-Hicks contractions, back pain, pelvic girdle pain; bleeding and spotting (when to seek care; implantation vs. threatened miscarriage vs. placenta previa). The 2025 JMIR scoping review (Li et al.) found that alarming 'horror stories' about perinatal events are among the most criticised features of online content — directly relevant to quality detection.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Nutrition, supplements, and food safety</w:t>
      </w:r>
    </w:p>
    <w:p>
      <w:pPr>
        <w:pStyle w:val="ListParagraph"/>
        <w:numPr>
          <w:ilvl w:val="0"/>
          <w:numId w:val="2"/>
        </w:numPr>
        <w:spacing w:after="40" w:before="40"/>
      </w:pPr>
      <w:r>
        <w:rPr>
          <w:rFonts w:ascii="Arial" w:cs="Arial" w:eastAsia="Arial" w:hAnsi="Arial"/>
          <w:sz w:val="22"/>
          <w:szCs w:val="22"/>
        </w:rPr>
        <w:t xml:space="preserve">Folic acid: USPSTF Grade A — 0.4–0.8 mg/day for all persons who could become pregnant; 4 mg/day for prior NTD-affected pregnancy</w:t>
      </w:r>
    </w:p>
    <w:p>
      <w:pPr>
        <w:pStyle w:val="ListParagraph"/>
        <w:numPr>
          <w:ilvl w:val="0"/>
          <w:numId w:val="2"/>
        </w:numPr>
        <w:spacing w:after="40" w:before="40"/>
      </w:pPr>
      <w:r>
        <w:rPr>
          <w:rFonts w:ascii="Arial" w:cs="Arial" w:eastAsia="Arial" w:hAnsi="Arial"/>
          <w:sz w:val="22"/>
          <w:szCs w:val="22"/>
        </w:rPr>
        <w:t xml:space="preserve">Iron, vitamin D, omega-3 DHA, iodine: ACOG addresses each; no specific USPSTF Grade A/B recommendation for individual supplementation beyond standard prenatal vitamins</w:t>
      </w:r>
    </w:p>
    <w:p>
      <w:pPr>
        <w:pStyle w:val="ListParagraph"/>
        <w:numPr>
          <w:ilvl w:val="0"/>
          <w:numId w:val="2"/>
        </w:numPr>
        <w:spacing w:after="40" w:before="40"/>
      </w:pPr>
      <w:r>
        <w:rPr>
          <w:rFonts w:ascii="Arial" w:cs="Arial" w:eastAsia="Arial" w:hAnsi="Arial"/>
          <w:sz w:val="22"/>
          <w:szCs w:val="22"/>
        </w:rPr>
        <w:t xml:space="preserve">Caffeine: ACOG &lt;200 mg/day; WHO &lt;300 mg/day — both contradict the myth of total elimination</w:t>
      </w:r>
    </w:p>
    <w:p>
      <w:pPr>
        <w:pStyle w:val="ListParagraph"/>
        <w:numPr>
          <w:ilvl w:val="0"/>
          <w:numId w:val="2"/>
        </w:numPr>
        <w:spacing w:after="40" w:before="40"/>
      </w:pPr>
      <w:r>
        <w:rPr>
          <w:rFonts w:ascii="Arial" w:cs="Arial" w:eastAsia="Arial" w:hAnsi="Arial"/>
          <w:sz w:val="22"/>
          <w:szCs w:val="22"/>
        </w:rPr>
        <w:t xml:space="preserve">Food safety: listeria risk (deli meats, soft cheeses), mercury in fish (FDA/ACOG: 2–3 servings/week of low-mercury fish is beneficial), peanuts (AAP supports maternal peanut consumption; early peanut introduction for infant allergy prevention)</w:t>
      </w:r>
    </w:p>
    <w:p>
      <w:pPr>
        <w:pStyle w:val="ListParagraph"/>
        <w:numPr>
          <w:ilvl w:val="0"/>
          <w:numId w:val="2"/>
        </w:numPr>
        <w:spacing w:after="40" w:before="40"/>
      </w:pPr>
      <w:r>
        <w:rPr>
          <w:rFonts w:ascii="Arial" w:cs="Arial" w:eastAsia="Arial" w:hAnsi="Arial"/>
          <w:sz w:val="22"/>
          <w:szCs w:val="22"/>
        </w:rPr>
        <w:t xml:space="preserve">Alcohol: ACOG, AAP, SMFM, and WHO all state no established safe level; USPSTF recommends screening and brief intervention (AUDIT-C/AUDIT)</w:t>
      </w:r>
    </w:p>
    <w:p>
      <w:pPr>
        <w:pStyle w:val="ListParagraph"/>
        <w:numPr>
          <w:ilvl w:val="0"/>
          <w:numId w:val="2"/>
        </w:numPr>
        <w:spacing w:after="40" w:before="40"/>
      </w:pPr>
      <w:r>
        <w:rPr>
          <w:rFonts w:ascii="Arial" w:cs="Arial" w:eastAsia="Arial" w:hAnsi="Arial"/>
          <w:sz w:val="22"/>
          <w:szCs w:val="22"/>
        </w:rPr>
        <w:t xml:space="preserve">Weight gain: IOM/NAS gestational weight gain guidelines remain standard; endorsed by ACOG; USPSTF Grade B behavioural counselling recommendation</w:t>
      </w:r>
    </w:p>
    <w:p>
      <w:pPr>
        <w:pStyle w:val="ListParagraph"/>
        <w:numPr>
          <w:ilvl w:val="0"/>
          <w:numId w:val="2"/>
        </w:numPr>
        <w:spacing w:after="40" w:before="40"/>
      </w:pPr>
      <w:r>
        <w:rPr>
          <w:rFonts w:ascii="Arial" w:cs="Arial" w:eastAsia="Arial" w:hAnsi="Arial"/>
          <w:sz w:val="22"/>
          <w:szCs w:val="22"/>
        </w:rPr>
        <w:t xml:space="preserve">Herbal supplements: FDA does not regulate; many unstudied in pregnancy; ACOG advises caution; specific documented risks: blue cohosh, pennyroyal, high-dose saffron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Prenatal screening and testing — with edge cases</w:t>
      </w:r>
    </w:p>
    <w:p>
      <w:pPr>
        <w:spacing w:after="100" w:before="60"/>
      </w:pPr>
      <w:r>
        <w:rPr>
          <w:rFonts w:ascii="Arial" w:cs="Arial" w:eastAsia="Arial" w:hAnsi="Arial"/>
          <w:color w:val="444444"/>
          <w:sz w:val="22"/>
          <w:szCs w:val="22"/>
        </w:rPr>
        <w:t xml:space="preserve">Primary authorities: ACOG (cfDNA, anatomy scan, GBS, GDM), SMFM (complex fetal conditions, fetal growth restriction), USPSTF (GDM Grade B, HIV Grade A). MedlinePlus Prenatal Testing page provides patient-facing explanations.</w:t>
      </w:r>
    </w:p>
    <w:p>
      <w:pPr>
        <w:pStyle w:val="ListParagraph"/>
        <w:numPr>
          <w:ilvl w:val="0"/>
          <w:numId w:val="2"/>
        </w:numPr>
        <w:spacing w:after="40" w:before="40"/>
      </w:pPr>
      <w:r>
        <w:rPr>
          <w:rFonts w:ascii="Arial" w:cs="Arial" w:eastAsia="Arial" w:hAnsi="Arial"/>
          <w:sz w:val="22"/>
          <w:szCs w:val="22"/>
        </w:rPr>
        <w:t xml:space="preserve">Cell-free fetal DNA (cfDNA/NIPT): ACOG and SMFM — cfDNA is a SCREENING test, not diagnostic; all positive screens require confirmatory diagnostic testing. This distinction is frequently misrepresented online.</w:t>
      </w:r>
    </w:p>
    <w:p>
      <w:pPr>
        <w:pStyle w:val="ListParagraph"/>
        <w:numPr>
          <w:ilvl w:val="0"/>
          <w:numId w:val="2"/>
        </w:numPr>
        <w:spacing w:after="40" w:before="40"/>
      </w:pPr>
      <w:r>
        <w:rPr>
          <w:rFonts w:ascii="Arial" w:cs="Arial" w:eastAsia="Arial" w:hAnsi="Arial"/>
          <w:sz w:val="22"/>
          <w:szCs w:val="22"/>
        </w:rPr>
        <w:t xml:space="preserve">Anatomy scan soft markers: SMFM guidance documents that clinical significance of isolated soft markers (echogenic intracardiac focus, choroid plexus cysts, renal pyelectasis) has changed substantially — older information circulating online may overstate concern</w:t>
      </w:r>
    </w:p>
    <w:p>
      <w:pPr>
        <w:pStyle w:val="ListParagraph"/>
        <w:numPr>
          <w:ilvl w:val="0"/>
          <w:numId w:val="2"/>
        </w:numPr>
        <w:spacing w:after="40" w:before="40"/>
      </w:pPr>
      <w:r>
        <w:rPr>
          <w:rFonts w:ascii="Arial" w:cs="Arial" w:eastAsia="Arial" w:hAnsi="Arial"/>
          <w:sz w:val="22"/>
          <w:szCs w:val="22"/>
        </w:rPr>
        <w:t xml:space="preserve">GBS screening (35–37 weeks): ACOG; intrapartum antibiotic prophylaxis prevents early-onset neonatal GBS disease; refusal is an informed decision right but risks must be communicated</w:t>
      </w:r>
    </w:p>
    <w:p>
      <w:pPr>
        <w:pStyle w:val="ListParagraph"/>
        <w:numPr>
          <w:ilvl w:val="0"/>
          <w:numId w:val="2"/>
        </w:numPr>
        <w:spacing w:after="40" w:before="40"/>
      </w:pPr>
      <w:r>
        <w:rPr>
          <w:rFonts w:ascii="Arial" w:cs="Arial" w:eastAsia="Arial" w:hAnsi="Arial"/>
          <w:sz w:val="22"/>
          <w:szCs w:val="22"/>
        </w:rPr>
        <w:t xml:space="preserve">Advanced maternal age (35+): SMFM Consult (2022) recommends individualized risk assessment; the term 'geriatric pregnancy' is discouraged by SMFM</w:t>
      </w:r>
    </w:p>
    <w:p>
      <w:pPr>
        <w:pStyle w:val="ListParagraph"/>
        <w:numPr>
          <w:ilvl w:val="0"/>
          <w:numId w:val="2"/>
        </w:numPr>
        <w:spacing w:after="40" w:before="40"/>
      </w:pPr>
      <w:r>
        <w:rPr>
          <w:rFonts w:ascii="Arial" w:cs="Arial" w:eastAsia="Arial" w:hAnsi="Arial"/>
          <w:sz w:val="22"/>
          <w:szCs w:val="22"/>
        </w:rPr>
        <w:t xml:space="preserve">Periviable birth counselling (22–25 weeks): ACOG-SMFM OCC #6 — complex shared decision-making with parents; both comfort-focused and resuscitative approaches ethically appropriate depending on gestational age</w:t>
      </w:r>
    </w:p>
    <w:p>
      <w:pPr>
        <w:pStyle w:val="ListParagraph"/>
        <w:numPr>
          <w:ilvl w:val="0"/>
          <w:numId w:val="2"/>
        </w:numPr>
        <w:spacing w:after="40" w:before="40"/>
      </w:pPr>
      <w:r>
        <w:rPr>
          <w:rFonts w:ascii="Arial" w:cs="Arial" w:eastAsia="Arial" w:hAnsi="Arial"/>
          <w:sz w:val="22"/>
          <w:szCs w:val="22"/>
        </w:rPr>
        <w:t xml:space="preserve">Preeclampsia risk assessment: USPSTF Grade B for low-dose aspirin (81 mg/day from 12 weeks) for high-risk patients; SMFM has updated preeclampsia risk screening tools (2026)</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Medications in pregnancy</w:t>
      </w:r>
    </w:p>
    <w:p>
      <w:pPr>
        <w:spacing w:after="100" w:before="60"/>
      </w:pPr>
      <w:r>
        <w:rPr>
          <w:rFonts w:ascii="Arial" w:cs="Arial" w:eastAsia="Arial" w:hAnsi="Arial"/>
          <w:color w:val="444444"/>
          <w:sz w:val="22"/>
          <w:szCs w:val="22"/>
        </w:rPr>
        <w:t xml:space="preserve">Primary authorities: ACOG, SMFM, FDA (Pregnancy Labeling Rule 2015), LactMed. The FDA 2015 rule replaced letter categories (A/B/C/D/X) with narrative labelling; many patients and some providers still reference the outdated system.</w:t>
      </w:r>
    </w:p>
    <w:p>
      <w:pPr>
        <w:pStyle w:val="ListParagraph"/>
        <w:numPr>
          <w:ilvl w:val="0"/>
          <w:numId w:val="2"/>
        </w:numPr>
        <w:spacing w:after="40" w:before="40"/>
      </w:pPr>
      <w:r>
        <w:rPr>
          <w:rFonts w:ascii="Arial" w:cs="Arial" w:eastAsia="Arial" w:hAnsi="Arial"/>
          <w:sz w:val="22"/>
          <w:szCs w:val="22"/>
        </w:rPr>
        <w:t xml:space="preserve">SSRIs/SNRIs: ACOG CPG #5 (2023) provides specific drug-level guidance; sertraline and escitalopram have the most reassuring profiles; discontinuing antidepressants carries relapse risk up to 68% without treatment</w:t>
      </w:r>
    </w:p>
    <w:p>
      <w:pPr>
        <w:pStyle w:val="ListParagraph"/>
        <w:numPr>
          <w:ilvl w:val="0"/>
          <w:numId w:val="2"/>
        </w:numPr>
        <w:spacing w:after="40" w:before="40"/>
      </w:pPr>
      <w:r>
        <w:rPr>
          <w:rFonts w:ascii="Arial" w:cs="Arial" w:eastAsia="Arial" w:hAnsi="Arial"/>
          <w:sz w:val="22"/>
          <w:szCs w:val="22"/>
        </w:rPr>
        <w:t xml:space="preserve">Neonatal Adaptation Syndrome from antidepressants: ACOG CPG #5 addresses; typically mild and self-limiting; does not change treatment recommendations</w:t>
      </w:r>
    </w:p>
    <w:p>
      <w:pPr>
        <w:pStyle w:val="ListParagraph"/>
        <w:numPr>
          <w:ilvl w:val="0"/>
          <w:numId w:val="2"/>
        </w:numPr>
        <w:spacing w:after="40" w:before="40"/>
      </w:pPr>
      <w:r>
        <w:rPr>
          <w:rFonts w:ascii="Arial" w:cs="Arial" w:eastAsia="Arial" w:hAnsi="Arial"/>
          <w:sz w:val="22"/>
          <w:szCs w:val="22"/>
        </w:rPr>
        <w:t xml:space="preserve">Opioid use disorder: ACOG and SMFM both recommend medication-assisted treatment (buprenorphine or methadone); withdrawal ('going cold turkey') is associated with adverse fetal outcomes and is not recommended</w:t>
      </w:r>
    </w:p>
    <w:p>
      <w:pPr>
        <w:pStyle w:val="ListParagraph"/>
        <w:numPr>
          <w:ilvl w:val="0"/>
          <w:numId w:val="2"/>
        </w:numPr>
        <w:spacing w:after="40" w:before="40"/>
      </w:pPr>
      <w:r>
        <w:rPr>
          <w:rFonts w:ascii="Arial" w:cs="Arial" w:eastAsia="Arial" w:hAnsi="Arial"/>
          <w:sz w:val="22"/>
          <w:szCs w:val="22"/>
        </w:rPr>
        <w:t xml:space="preserve">Cannabis: ACOG and AAP both recommend against; adverse neurodevelopmental outcomes documented; AAP breastfeeding statement specifically addresses cannabis</w:t>
      </w:r>
    </w:p>
    <w:p>
      <w:pPr>
        <w:pStyle w:val="ListParagraph"/>
        <w:numPr>
          <w:ilvl w:val="0"/>
          <w:numId w:val="2"/>
        </w:numPr>
        <w:spacing w:after="40" w:before="40"/>
      </w:pPr>
      <w:r>
        <w:rPr>
          <w:rFonts w:ascii="Arial" w:cs="Arial" w:eastAsia="Arial" w:hAnsi="Arial"/>
          <w:sz w:val="22"/>
          <w:szCs w:val="22"/>
        </w:rPr>
        <w:t xml:space="preserve">Anticoagulation: SMFM guidance on heparin/LMWH for thrombophilia, mechanical heart valves, DVT/PE; warfarin generally contraindicated in first trimester</w:t>
      </w:r>
    </w:p>
    <w:p>
      <w:pPr>
        <w:pStyle w:val="ListParagraph"/>
        <w:numPr>
          <w:ilvl w:val="0"/>
          <w:numId w:val="2"/>
        </w:numPr>
        <w:spacing w:after="40" w:before="40"/>
      </w:pPr>
      <w:r>
        <w:rPr>
          <w:rFonts w:ascii="Arial" w:cs="Arial" w:eastAsia="Arial" w:hAnsi="Arial"/>
          <w:sz w:val="22"/>
          <w:szCs w:val="22"/>
        </w:rPr>
        <w:t xml:space="preserve">Vaccines: ACIP/CDC/ACOG/ACNM/AAP/WHO all recommend flu (inactivated), Tdap (27–36 weeks), and COVID-19 in pregnancy; hepatitis B series for susceptible individuals; Rsv mAb (nirsevimab) available for infants; travel vaccines assessed individually</w:t>
      </w:r>
    </w:p>
    <w:p>
      <w:pPr>
        <w:pStyle w:val="ListParagraph"/>
        <w:numPr>
          <w:ilvl w:val="0"/>
          <w:numId w:val="2"/>
        </w:numPr>
        <w:spacing w:after="40" w:before="40"/>
      </w:pPr>
      <w:r>
        <w:rPr>
          <w:rFonts w:ascii="Arial" w:cs="Arial" w:eastAsia="Arial" w:hAnsi="Arial"/>
          <w:sz w:val="22"/>
          <w:szCs w:val="22"/>
        </w:rPr>
        <w:t xml:space="preserve">Medications in breastfeeding: LactMed is the definitive evidence-based database; ACOG CPG #5 and AAP breastfeeding policy address psychotropic medications specifically; the claim that all psychiatric medications require breastfeeding cessation is not evidence-based</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Physical activity across the full perinatal period</w:t>
      </w:r>
    </w:p>
    <w:p>
      <w:pPr>
        <w:spacing w:after="100" w:before="60"/>
      </w:pPr>
      <w:r>
        <w:rPr>
          <w:rFonts w:ascii="Arial" w:cs="Arial" w:eastAsia="Arial" w:hAnsi="Arial"/>
          <w:color w:val="444444"/>
          <w:sz w:val="22"/>
          <w:szCs w:val="22"/>
        </w:rPr>
        <w:t xml:space="preserve">Primary authority: ACOG Committee Opinion on Physical Activity and Exercise During Pregnancy and the Postpartum Period (2020, reaffirmed 2023). ACNM supports evidence-based exercise counselling. AWHONN addresses postpartum return-to-exercise assessment.</w:t>
      </w:r>
    </w:p>
    <w:p>
      <w:pPr>
        <w:pStyle w:val="ListParagraph"/>
        <w:numPr>
          <w:ilvl w:val="0"/>
          <w:numId w:val="2"/>
        </w:numPr>
        <w:spacing w:after="40" w:before="40"/>
      </w:pPr>
      <w:r>
        <w:rPr>
          <w:rFonts w:ascii="Arial" w:cs="Arial" w:eastAsia="Arial" w:hAnsi="Arial"/>
          <w:sz w:val="22"/>
          <w:szCs w:val="22"/>
        </w:rPr>
        <w:t xml:space="preserve">Pregnancy: 150 min/week moderate-intensity aerobic activity for uncomplicated pregnancies; specific contraindications identified (placenta praevia, preterm labour risk, etc.)</w:t>
      </w:r>
    </w:p>
    <w:p>
      <w:pPr>
        <w:pStyle w:val="ListParagraph"/>
        <w:numPr>
          <w:ilvl w:val="0"/>
          <w:numId w:val="2"/>
        </w:numPr>
        <w:spacing w:after="40" w:before="40"/>
      </w:pPr>
      <w:r>
        <w:rPr>
          <w:rFonts w:ascii="Arial" w:cs="Arial" w:eastAsia="Arial" w:hAnsi="Arial"/>
          <w:sz w:val="22"/>
          <w:szCs w:val="22"/>
        </w:rPr>
        <w:t xml:space="preserve">Postpartum return to exercise: ACOG 2020 opinion supports gradual, individualised return based on individual recovery — not a fixed 6-week prohibition. A systematic review (IJSPT, 2022) found &gt;1/3 of postpartum runners experience pain or incontinence on return, supporting physiotherapy assessment before high-impact activity.</w:t>
      </w:r>
    </w:p>
    <w:p>
      <w:pPr>
        <w:pStyle w:val="ListParagraph"/>
        <w:numPr>
          <w:ilvl w:val="0"/>
          <w:numId w:val="2"/>
        </w:numPr>
        <w:spacing w:after="40" w:before="40"/>
      </w:pPr>
      <w:r>
        <w:rPr>
          <w:rFonts w:ascii="Arial" w:cs="Arial" w:eastAsia="Arial" w:hAnsi="Arial"/>
          <w:sz w:val="22"/>
          <w:szCs w:val="22"/>
        </w:rPr>
        <w:t xml:space="preserve">Pelvic floor prerequisite: Pelvic floor physiotherapy assessment before running or high-impact exercise is supported by evidence and endorsed by AWHONN nursing standards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1.2 Birth Planning and Intrapartum Decisions</w:t>
      </w:r>
    </w:p>
    <w:p>
      <w:pPr>
        <w:shd w:fill="D4EDE8" w:val="clear"/>
        <w:spacing w:after="120" w:before="100"/>
        <w:ind w:left="240" w:right="240"/>
      </w:pPr>
      <w:r>
        <w:rPr>
          <w:rFonts w:ascii="Arial" w:cs="Arial" w:eastAsia="Arial" w:hAnsi="Arial"/>
          <w:color w:val="1B3A6B"/>
          <w:sz w:val="21"/>
          <w:szCs w:val="21"/>
        </w:rPr>
        <w:t xml:space="preserve">The intrapartum period is the most information-saturated and emotionally charged phase of the perinatal experience. Social media disproportionately distorts decision-making by framing clinical interventions as assaults on autonomy rather than evidence-based options. The ARRIVE trial finding — that elective induction at 39 weeks REDUCES (not increases) caesarean risk — is one of the most frequently misrepresented findings in online birth content.</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Labour and delivery options</w:t>
      </w:r>
    </w:p>
    <w:p>
      <w:pPr>
        <w:pStyle w:val="ListParagraph"/>
        <w:numPr>
          <w:ilvl w:val="0"/>
          <w:numId w:val="2"/>
        </w:numPr>
        <w:spacing w:after="40" w:before="40"/>
      </w:pPr>
      <w:r>
        <w:rPr>
          <w:rFonts w:ascii="Arial" w:cs="Arial" w:eastAsia="Arial" w:hAnsi="Arial"/>
          <w:sz w:val="22"/>
          <w:szCs w:val="22"/>
        </w:rPr>
        <w:t xml:space="preserve">Place of birth: Hospital, birth centre, home birth — safety evidence differs by risk level; ACOG and ACNM have different positions on planned home birth; ACNM supports planned home birth for low-risk patients with specific criteria</w:t>
      </w:r>
    </w:p>
    <w:p>
      <w:pPr>
        <w:pStyle w:val="ListParagraph"/>
        <w:numPr>
          <w:ilvl w:val="0"/>
          <w:numId w:val="2"/>
        </w:numPr>
        <w:spacing w:after="40" w:before="40"/>
      </w:pPr>
      <w:r>
        <w:rPr>
          <w:rFonts w:ascii="Arial" w:cs="Arial" w:eastAsia="Arial" w:hAnsi="Arial"/>
          <w:sz w:val="22"/>
          <w:szCs w:val="22"/>
        </w:rPr>
        <w:t xml:space="preserve">Support in labour: Cochrane Review (enduring) documents continuous labour support (doulas) reduces caesarean rates, shortens labour, improves satisfaction; ACOG CO endorses doulas; ACNM supports doula role</w:t>
      </w:r>
    </w:p>
    <w:p>
      <w:pPr>
        <w:pStyle w:val="ListParagraph"/>
        <w:numPr>
          <w:ilvl w:val="0"/>
          <w:numId w:val="2"/>
        </w:numPr>
        <w:spacing w:after="40" w:before="40"/>
      </w:pPr>
      <w:r>
        <w:rPr>
          <w:rFonts w:ascii="Arial" w:cs="Arial" w:eastAsia="Arial" w:hAnsi="Arial"/>
          <w:sz w:val="22"/>
          <w:szCs w:val="22"/>
        </w:rPr>
        <w:t xml:space="preserve">Labour positions: Evidence supports upright, movement-based positions for labour progress; AWHONN evidence-based guideline on second-stage management addresses positioning</w:t>
      </w:r>
    </w:p>
    <w:p>
      <w:pPr>
        <w:pStyle w:val="ListParagraph"/>
        <w:numPr>
          <w:ilvl w:val="0"/>
          <w:numId w:val="2"/>
        </w:numPr>
        <w:spacing w:after="40" w:before="40"/>
      </w:pPr>
      <w:r>
        <w:rPr>
          <w:rFonts w:ascii="Arial" w:cs="Arial" w:eastAsia="Arial" w:hAnsi="Arial"/>
          <w:sz w:val="22"/>
          <w:szCs w:val="22"/>
        </w:rPr>
        <w:t xml:space="preserve">Water birth: ACNM supports hydrotherapy/water immersion for pain relief in labour; ACOG/AAP oppose underwater delivery specifically due to infection risk; distinction between labouring in water and giving birth in water is clinically important</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Pain management</w:t>
      </w:r>
    </w:p>
    <w:p>
      <w:pPr>
        <w:pStyle w:val="ListParagraph"/>
        <w:numPr>
          <w:ilvl w:val="0"/>
          <w:numId w:val="2"/>
        </w:numPr>
        <w:spacing w:after="40" w:before="40"/>
      </w:pPr>
      <w:r>
        <w:rPr>
          <w:rFonts w:ascii="Arial" w:cs="Arial" w:eastAsia="Arial" w:hAnsi="Arial"/>
          <w:sz w:val="22"/>
          <w:szCs w:val="22"/>
        </w:rPr>
        <w:t xml:space="preserve">Epidural: Most effective pain relief in labour; ACOG affirms patient right to effective pain management; Cochrane Review confirms no significant increase in caesarean risk in low-risk pregnancies (despite widespread social media myth)</w:t>
      </w:r>
    </w:p>
    <w:p>
      <w:pPr>
        <w:pStyle w:val="ListParagraph"/>
        <w:numPr>
          <w:ilvl w:val="0"/>
          <w:numId w:val="2"/>
        </w:numPr>
        <w:spacing w:after="40" w:before="40"/>
      </w:pPr>
      <w:r>
        <w:rPr>
          <w:rFonts w:ascii="Arial" w:cs="Arial" w:eastAsia="Arial" w:hAnsi="Arial"/>
          <w:sz w:val="22"/>
          <w:szCs w:val="22"/>
        </w:rPr>
        <w:t xml:space="preserve">Nitrous oxide: Available at some institutions; mild analgesia and anxiolysis; different safety profile from epidural; often conflated with anaesthesia in online misinformation</w:t>
      </w:r>
    </w:p>
    <w:p>
      <w:pPr>
        <w:pStyle w:val="ListParagraph"/>
        <w:numPr>
          <w:ilvl w:val="0"/>
          <w:numId w:val="2"/>
        </w:numPr>
        <w:spacing w:after="40" w:before="40"/>
      </w:pPr>
      <w:r>
        <w:rPr>
          <w:rFonts w:ascii="Arial" w:cs="Arial" w:eastAsia="Arial" w:hAnsi="Arial"/>
          <w:sz w:val="22"/>
          <w:szCs w:val="22"/>
        </w:rPr>
        <w:t xml:space="preserve">Non-pharmacological: Hypnobirthing, massage, TENS, breathing techniques — evidence supports benefit for satisfaction and pain perception but not equivalent to epidural efficacy</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Induction</w:t>
      </w:r>
    </w:p>
    <w:p>
      <w:pPr>
        <w:pStyle w:val="ListParagraph"/>
        <w:numPr>
          <w:ilvl w:val="0"/>
          <w:numId w:val="2"/>
        </w:numPr>
        <w:spacing w:after="40" w:before="40"/>
      </w:pPr>
      <w:r>
        <w:rPr>
          <w:rFonts w:ascii="Arial" w:cs="Arial" w:eastAsia="Arial" w:hAnsi="Arial"/>
          <w:sz w:val="22"/>
          <w:szCs w:val="22"/>
        </w:rPr>
        <w:t xml:space="preserve">Elective induction at 39 weeks: ARRIVE trial (NEJM, 2018; n=6,106, Grobman et al.) — reduced caesarean rate (19.4% vs 22.2%) and hypertensive disorders in low-risk nulliparous women; ACOG endorses discussion of elective induction at 39 weeks as a reasonable option</w:t>
      </w:r>
    </w:p>
    <w:p>
      <w:pPr>
        <w:pStyle w:val="ListParagraph"/>
        <w:numPr>
          <w:ilvl w:val="0"/>
          <w:numId w:val="2"/>
        </w:numPr>
        <w:spacing w:after="40" w:before="40"/>
      </w:pPr>
      <w:r>
        <w:rPr>
          <w:rFonts w:ascii="Arial" w:cs="Arial" w:eastAsia="Arial" w:hAnsi="Arial"/>
          <w:sz w:val="22"/>
          <w:szCs w:val="22"/>
        </w:rPr>
        <w:t xml:space="preserve">Medical indications: Post-dates, hypertension, IUGR, GDM, prelabour rupture of membranes — each has specific ACOG and SMFM guidance</w:t>
      </w:r>
    </w:p>
    <w:p>
      <w:pPr>
        <w:pStyle w:val="ListParagraph"/>
        <w:numPr>
          <w:ilvl w:val="0"/>
          <w:numId w:val="2"/>
        </w:numPr>
        <w:spacing w:after="40" w:before="40"/>
      </w:pPr>
      <w:r>
        <w:rPr>
          <w:rFonts w:ascii="Arial" w:cs="Arial" w:eastAsia="Arial" w:hAnsi="Arial"/>
          <w:sz w:val="22"/>
          <w:szCs w:val="22"/>
        </w:rPr>
        <w:t xml:space="preserve">Methods: Cervical ripening agents (misoprostol, dinoprostone, balloon catheter), oxytocin augmentation, membrane sweep — ACOG PB on labour induction covers all</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Caesarean section and VBAC</w:t>
      </w:r>
    </w:p>
    <w:p>
      <w:pPr>
        <w:pStyle w:val="ListParagraph"/>
        <w:numPr>
          <w:ilvl w:val="0"/>
          <w:numId w:val="2"/>
        </w:numPr>
        <w:spacing w:after="40" w:before="40"/>
      </w:pPr>
      <w:r>
        <w:rPr>
          <w:rFonts w:ascii="Arial" w:cs="Arial" w:eastAsia="Arial" w:hAnsi="Arial"/>
          <w:sz w:val="22"/>
          <w:szCs w:val="22"/>
        </w:rPr>
        <w:t xml:space="preserve">VBAC: ACOG-SMFM OCC on Safe Prevention of Primary Caesarean defines evidence-based criteria; VBAC success 60–80% in appropriate candidates; uterine rupture risk 0.5–1%</w:t>
      </w:r>
    </w:p>
    <w:p>
      <w:pPr>
        <w:pStyle w:val="ListParagraph"/>
        <w:numPr>
          <w:ilvl w:val="0"/>
          <w:numId w:val="2"/>
        </w:numPr>
        <w:spacing w:after="40" w:before="40"/>
      </w:pPr>
      <w:r>
        <w:rPr>
          <w:rFonts w:ascii="Arial" w:cs="Arial" w:eastAsia="Arial" w:hAnsi="Arial"/>
          <w:sz w:val="22"/>
          <w:szCs w:val="22"/>
        </w:rPr>
        <w:t xml:space="preserve">SMFM Consult on Caesarean Scar Ectopic (2022): Prior caesarean creates risk for CSE in subsequent pregnancies; relevant to contraceptive counselling (SFP US MEC 2024 includes CSE considerations)</w:t>
      </w:r>
    </w:p>
    <w:p>
      <w:pPr>
        <w:pStyle w:val="ListParagraph"/>
        <w:numPr>
          <w:ilvl w:val="0"/>
          <w:numId w:val="2"/>
        </w:numPr>
        <w:spacing w:after="40" w:before="40"/>
      </w:pPr>
      <w:r>
        <w:rPr>
          <w:rFonts w:ascii="Arial" w:cs="Arial" w:eastAsia="Arial" w:hAnsi="Arial"/>
          <w:sz w:val="22"/>
          <w:szCs w:val="22"/>
        </w:rPr>
        <w:t xml:space="preserve">Delayed cord clamping: WHO and ACOG recommend 1–3 minutes for term infants; ACNM supports as standard of care</w:t>
      </w:r>
    </w:p>
    <w:p>
      <w:pPr>
        <w:pStyle w:val="ListParagraph"/>
        <w:numPr>
          <w:ilvl w:val="0"/>
          <w:numId w:val="2"/>
        </w:numPr>
        <w:spacing w:after="40" w:before="40"/>
      </w:pPr>
      <w:r>
        <w:rPr>
          <w:rFonts w:ascii="Arial" w:cs="Arial" w:eastAsia="Arial" w:hAnsi="Arial"/>
          <w:sz w:val="22"/>
          <w:szCs w:val="22"/>
        </w:rPr>
        <w:t xml:space="preserve">Newborn procedures: Vitamin K (AAP — mandatory; prevents VKDB); hepatitis B vaccine at birth (AAP/CDC — prevents perinatal transmission); erythromycin eye ointment (prophylaxis against ophthalmia neonatorum)</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Intrapartum edge cases</w:t>
      </w:r>
    </w:p>
    <w:p>
      <w:pPr>
        <w:pStyle w:val="ListParagraph"/>
        <w:numPr>
          <w:ilvl w:val="0"/>
          <w:numId w:val="2"/>
        </w:numPr>
        <w:spacing w:after="40" w:before="40"/>
      </w:pPr>
      <w:r>
        <w:rPr>
          <w:rFonts w:ascii="Arial" w:cs="Arial" w:eastAsia="Arial" w:hAnsi="Arial"/>
          <w:sz w:val="22"/>
          <w:szCs w:val="22"/>
        </w:rPr>
        <w:t xml:space="preserve">Periviable birth (22–24 weeks): ACOG-SMFM OCC #6 — complex SDM process; outcomes depend on gestational age; comfort-focused and resuscitative approaches both ethically appropriate</w:t>
      </w:r>
    </w:p>
    <w:p>
      <w:pPr>
        <w:pStyle w:val="ListParagraph"/>
        <w:numPr>
          <w:ilvl w:val="0"/>
          <w:numId w:val="2"/>
        </w:numPr>
        <w:spacing w:after="40" w:before="40"/>
      </w:pPr>
      <w:r>
        <w:rPr>
          <w:rFonts w:ascii="Arial" w:cs="Arial" w:eastAsia="Arial" w:hAnsi="Arial"/>
          <w:sz w:val="22"/>
          <w:szCs w:val="22"/>
        </w:rPr>
        <w:t xml:space="preserve">Placenta accreta spectrum (PAS): SMFM patient safety bundle (2024) — life-threatening; requires multidisciplinary pre-delivery planning; hospital readiness criteria specified</w:t>
      </w:r>
    </w:p>
    <w:p>
      <w:pPr>
        <w:pStyle w:val="ListParagraph"/>
        <w:numPr>
          <w:ilvl w:val="0"/>
          <w:numId w:val="2"/>
        </w:numPr>
        <w:spacing w:after="40" w:before="40"/>
      </w:pPr>
      <w:r>
        <w:rPr>
          <w:rFonts w:ascii="Arial" w:cs="Arial" w:eastAsia="Arial" w:hAnsi="Arial"/>
          <w:sz w:val="22"/>
          <w:szCs w:val="22"/>
        </w:rPr>
        <w:t xml:space="preserve">Postpartum haemorrhage: ACOG PB and AIM patient safety bundle; first-line uterotonics (oxytocin); bimanual compression; escalation to surgical intervention; second most common cause of maternal mortality; delayed treatment a documented cause of preventable death</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1.3 Postpartum Physical Health and the Fourth Trimester</w:t>
      </w:r>
    </w:p>
    <w:p>
      <w:pPr>
        <w:shd w:fill="D4EDE8" w:val="clear"/>
        <w:spacing w:after="120" w:before="100"/>
        <w:ind w:left="240" w:right="240"/>
      </w:pPr>
      <w:r>
        <w:rPr>
          <w:rFonts w:ascii="Arial" w:cs="Arial" w:eastAsia="Arial" w:hAnsi="Arial"/>
          <w:color w:val="1B3A6B"/>
          <w:sz w:val="21"/>
          <w:szCs w:val="21"/>
        </w:rPr>
        <w:t xml:space="preserve">The fourth trimester — ACOG's formal term for the 12 weeks following birth (CO #736, 2018, reaffirmed 2022) — is a period of simultaneous physical recovery, hormonal reorganisation, identity reconstruction, and heightened vulnerability to preventable mortality. One third of all pregnancy-related deaths occur from one week to one year postpartum; more than half are preventable (Columbia World Projects / Health Affairs, 2023). The BUBBLE-LE nursing assessment framework (Breasts, Uterus, Bladder, Bowels, Lochia, Episiotomy/perineum, Legs, Emotional status) provides a systematic structure for physical fourth-trimester assessment (Duke Nursing/AWHONN, Nursing Clinics of North America, 2024).</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Postpartum care structure and guideline anchors</w:t>
      </w:r>
    </w:p>
    <w:p>
      <w:pPr>
        <w:pStyle w:val="ListParagraph"/>
        <w:numPr>
          <w:ilvl w:val="0"/>
          <w:numId w:val="2"/>
        </w:numPr>
        <w:spacing w:after="40" w:before="40"/>
      </w:pPr>
      <w:r>
        <w:rPr>
          <w:rFonts w:ascii="Arial" w:cs="Arial" w:eastAsia="Arial" w:hAnsi="Arial"/>
          <w:sz w:val="22"/>
          <w:szCs w:val="22"/>
        </w:rPr>
        <w:t xml:space="preserve">ACOG CO #736 (2018, reaffirmed 2022): Initial provider contact within 3 weeks; comprehensive visit by 12 weeks; replaces historical single 6-week visit with an ongoing process model</w:t>
      </w:r>
    </w:p>
    <w:p>
      <w:pPr>
        <w:pStyle w:val="ListParagraph"/>
        <w:numPr>
          <w:ilvl w:val="0"/>
          <w:numId w:val="2"/>
        </w:numPr>
        <w:spacing w:after="40" w:before="40"/>
      </w:pPr>
      <w:r>
        <w:rPr>
          <w:rFonts w:ascii="Arial" w:cs="Arial" w:eastAsia="Arial" w:hAnsi="Arial"/>
          <w:sz w:val="22"/>
          <w:szCs w:val="22"/>
        </w:rPr>
        <w:t xml:space="preserve">SMFM 'Postpartum Visits for Normal and Complicated Pregnancies' (2022): Reinforces early contact; patients with hypertensive disorders should have BP checked within 3–10 days postpartum</w:t>
      </w:r>
    </w:p>
    <w:p>
      <w:pPr>
        <w:pStyle w:val="ListParagraph"/>
        <w:numPr>
          <w:ilvl w:val="0"/>
          <w:numId w:val="2"/>
        </w:numPr>
        <w:spacing w:after="40" w:before="40"/>
      </w:pPr>
      <w:r>
        <w:rPr>
          <w:rFonts w:ascii="Arial" w:cs="Arial" w:eastAsia="Arial" w:hAnsi="Arial"/>
          <w:sz w:val="22"/>
          <w:szCs w:val="22"/>
        </w:rPr>
        <w:t xml:space="preserve">AHRQ SR (2023, AHRQ 23-EHC010): Most comprehensive evidence synthesis on postpartum care; documents fragmentation across providers and inadequate holistic care models</w:t>
      </w:r>
    </w:p>
    <w:p>
      <w:pPr>
        <w:pStyle w:val="ListParagraph"/>
        <w:numPr>
          <w:ilvl w:val="0"/>
          <w:numId w:val="2"/>
        </w:numPr>
        <w:spacing w:after="40" w:before="40"/>
      </w:pPr>
      <w:r>
        <w:rPr>
          <w:rFonts w:ascii="Arial" w:cs="Arial" w:eastAsia="Arial" w:hAnsi="Arial"/>
          <w:sz w:val="22"/>
          <w:szCs w:val="22"/>
        </w:rPr>
        <w:t xml:space="preserve">AWHONN Save Your Life programme: Patient-facing warning signs for life-threatening postpartum complications; distributed at hospital discharge</w:t>
      </w:r>
    </w:p>
    <w:p>
      <w:pPr>
        <w:pStyle w:val="ListParagraph"/>
        <w:numPr>
          <w:ilvl w:val="0"/>
          <w:numId w:val="2"/>
        </w:numPr>
        <w:spacing w:after="40" w:before="40"/>
      </w:pPr>
      <w:r>
        <w:rPr>
          <w:rFonts w:ascii="Arial" w:cs="Arial" w:eastAsia="Arial" w:hAnsi="Arial"/>
          <w:sz w:val="22"/>
          <w:szCs w:val="22"/>
        </w:rPr>
        <w:t xml:space="preserve">MedlinePlus Postpartum Care page (medlineplus.gov/postpartumcare.html): Consumer-facing, ACOG-aligned information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Physical recovery: uterine, perineal, and pelvic</w:t>
      </w:r>
    </w:p>
    <w:p>
      <w:pPr>
        <w:pStyle w:val="ListParagraph"/>
        <w:numPr>
          <w:ilvl w:val="0"/>
          <w:numId w:val="2"/>
        </w:numPr>
        <w:spacing w:after="40" w:before="40"/>
      </w:pPr>
      <w:r>
        <w:rPr>
          <w:rFonts w:ascii="Arial" w:cs="Arial" w:eastAsia="Arial" w:hAnsi="Arial"/>
          <w:sz w:val="22"/>
          <w:szCs w:val="22"/>
        </w:rPr>
        <w:t xml:space="preserve">Uterine involution: Begins immediately; returns to pre-pregnancy size by ~6 weeks; afterbirth cramps (oxytocin-driven, stronger in multiparous/breastfeeding women)</w:t>
      </w:r>
    </w:p>
    <w:p>
      <w:pPr>
        <w:pStyle w:val="ListParagraph"/>
        <w:numPr>
          <w:ilvl w:val="0"/>
          <w:numId w:val="2"/>
        </w:numPr>
        <w:spacing w:after="40" w:before="40"/>
      </w:pPr>
      <w:r>
        <w:rPr>
          <w:rFonts w:ascii="Arial" w:cs="Arial" w:eastAsia="Arial" w:hAnsi="Arial"/>
          <w:sz w:val="22"/>
          <w:szCs w:val="22"/>
        </w:rPr>
        <w:t xml:space="preserve">Lochia: Rubra (days 1–3, bright red), serosa (days 3–10, pink-brown), alba (up to 6 weeks, yellow-white). Warning signs: soaking &gt;1 pad/hour, clots &gt;golf ball, foul odour, sudden return to heavy bleeding (AWHONN/ACOG/CDC Hear Her)</w:t>
      </w:r>
    </w:p>
    <w:p>
      <w:pPr>
        <w:pStyle w:val="ListParagraph"/>
        <w:numPr>
          <w:ilvl w:val="0"/>
          <w:numId w:val="2"/>
        </w:numPr>
        <w:spacing w:after="40" w:before="40"/>
      </w:pPr>
      <w:r>
        <w:rPr>
          <w:rFonts w:ascii="Arial" w:cs="Arial" w:eastAsia="Arial" w:hAnsi="Arial"/>
          <w:sz w:val="22"/>
          <w:szCs w:val="22"/>
        </w:rPr>
        <w:t xml:space="preserve">Perineal trauma: 1st–4th degree lacerations, episiotomy scars, instrumental delivery impacts on pelvic floor; healing and pain management require individualised assessment</w:t>
      </w:r>
    </w:p>
    <w:p>
      <w:pPr>
        <w:pStyle w:val="ListParagraph"/>
        <w:numPr>
          <w:ilvl w:val="0"/>
          <w:numId w:val="2"/>
        </w:numPr>
        <w:spacing w:after="40" w:before="40"/>
      </w:pPr>
      <w:r>
        <w:rPr>
          <w:rFonts w:ascii="Arial" w:cs="Arial" w:eastAsia="Arial" w:hAnsi="Arial"/>
          <w:sz w:val="22"/>
          <w:szCs w:val="22"/>
        </w:rPr>
        <w:t xml:space="preserve">Pelvic floor dysfunction: Urinary incontinence affects 30–40% at 3 months; anal incontinence ~25% after vaginal delivery (ACOG CO); pelvic floor physiotherapy has Grade A evidence for improvement (NICE/ACOG); normalising incontinence without offering treatment is a clinical failure</w:t>
      </w:r>
    </w:p>
    <w:p>
      <w:pPr>
        <w:pStyle w:val="ListParagraph"/>
        <w:numPr>
          <w:ilvl w:val="0"/>
          <w:numId w:val="2"/>
        </w:numPr>
        <w:spacing w:after="40" w:before="40"/>
      </w:pPr>
      <w:r>
        <w:rPr>
          <w:rFonts w:ascii="Arial" w:cs="Arial" w:eastAsia="Arial" w:hAnsi="Arial"/>
          <w:sz w:val="22"/>
          <w:szCs w:val="22"/>
        </w:rPr>
        <w:t xml:space="preserve">Diastasis recti: Up to 60% prevalence at 6 weeks; most respond to targeted physiotherapy; surgical repair reserved for severe cases</w:t>
      </w:r>
    </w:p>
    <w:p>
      <w:pPr>
        <w:pStyle w:val="ListParagraph"/>
        <w:numPr>
          <w:ilvl w:val="0"/>
          <w:numId w:val="2"/>
        </w:numPr>
        <w:spacing w:after="40" w:before="40"/>
      </w:pPr>
      <w:r>
        <w:rPr>
          <w:rFonts w:ascii="Arial" w:cs="Arial" w:eastAsia="Arial" w:hAnsi="Arial"/>
          <w:sz w:val="22"/>
          <w:szCs w:val="22"/>
        </w:rPr>
        <w:t xml:space="preserve">Caesarean recovery: 4–6 weeks activity restriction; wound healing; caesarean scar defect (niche) can cause abnormal bleeding and affect future fertility</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Hormonal cascade of the fourth trimester</w:t>
      </w:r>
    </w:p>
    <w:p>
      <w:pPr>
        <w:pStyle w:val="ListParagraph"/>
        <w:numPr>
          <w:ilvl w:val="0"/>
          <w:numId w:val="2"/>
        </w:numPr>
        <w:spacing w:after="40" w:before="40"/>
      </w:pPr>
      <w:r>
        <w:rPr>
          <w:rFonts w:ascii="Arial" w:cs="Arial" w:eastAsia="Arial" w:hAnsi="Arial"/>
          <w:sz w:val="22"/>
          <w:szCs w:val="22"/>
        </w:rPr>
        <w:t xml:space="preserve">Estrogen and progesterone: Precipitous drop at delivery (from pregnancy-high to postpartum-low in days); primary hormonal trigger for baby blues; drives vaginal dryness, reduced libido, mood instability</w:t>
      </w:r>
    </w:p>
    <w:p>
      <w:pPr>
        <w:pStyle w:val="ListParagraph"/>
        <w:numPr>
          <w:ilvl w:val="0"/>
          <w:numId w:val="2"/>
        </w:numPr>
        <w:spacing w:after="40" w:before="40"/>
      </w:pPr>
      <w:r>
        <w:rPr>
          <w:rFonts w:ascii="Arial" w:cs="Arial" w:eastAsia="Arial" w:hAnsi="Arial"/>
          <w:sz w:val="22"/>
          <w:szCs w:val="22"/>
        </w:rPr>
        <w:t xml:space="preserve">Prolactin: Rises sharply with breastfeeding; suppresses ovulation (basis of LAM); in non-breastfeeding women, drops rapidly — ovulation can return as early as 25 days postpartum</w:t>
      </w:r>
    </w:p>
    <w:p>
      <w:pPr>
        <w:pStyle w:val="ListParagraph"/>
        <w:numPr>
          <w:ilvl w:val="0"/>
          <w:numId w:val="2"/>
        </w:numPr>
        <w:spacing w:after="40" w:before="40"/>
      </w:pPr>
      <w:r>
        <w:rPr>
          <w:rFonts w:ascii="Arial" w:cs="Arial" w:eastAsia="Arial" w:hAnsi="Arial"/>
          <w:sz w:val="22"/>
          <w:szCs w:val="22"/>
        </w:rPr>
        <w:t xml:space="preserve">Postpartum thyroiditis (PPT): Affects 5–10% of women; typically presents 1–6 months postpartum; hyperthyroid phase followed by hypothyroid phase; frequently misattributed to PPD or normal adjustment; ACOG recommends TSH if persistent mood symptoms unresponsive to standard PPD treatment</w:t>
      </w:r>
    </w:p>
    <w:p>
      <w:pPr>
        <w:pStyle w:val="ListParagraph"/>
        <w:numPr>
          <w:ilvl w:val="0"/>
          <w:numId w:val="2"/>
        </w:numPr>
        <w:spacing w:after="40" w:before="40"/>
      </w:pPr>
      <w:r>
        <w:rPr>
          <w:rFonts w:ascii="Arial" w:cs="Arial" w:eastAsia="Arial" w:hAnsi="Arial"/>
          <w:sz w:val="22"/>
          <w:szCs w:val="22"/>
        </w:rPr>
        <w:t xml:space="preserve">HPA axis: Sleep deprivation drives chronic cortisol elevation contributing to immune suppression, worsened mood, impaired wound healing, and glucose dysregulation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Cardiometabolic surveillance in the fourth trimester</w:t>
      </w:r>
    </w:p>
    <w:p>
      <w:pPr>
        <w:pStyle w:val="ListParagraph"/>
        <w:numPr>
          <w:ilvl w:val="0"/>
          <w:numId w:val="2"/>
        </w:numPr>
        <w:spacing w:after="40" w:before="40"/>
      </w:pPr>
      <w:r>
        <w:rPr>
          <w:rFonts w:ascii="Arial" w:cs="Arial" w:eastAsia="Arial" w:hAnsi="Arial"/>
          <w:sz w:val="22"/>
          <w:szCs w:val="22"/>
        </w:rPr>
        <w:t xml:space="preserve">Postpartum preeclampsia: Can develop de novo in first 6 weeks, even without prenatal hypertension; severe-range BP (≥160/110) is an obstetric emergency (ACOG/SMFM patient safety bundle); symptoms: severe headache, visual changes, RUQ pain, rapid oedema</w:t>
      </w:r>
    </w:p>
    <w:p>
      <w:pPr>
        <w:pStyle w:val="ListParagraph"/>
        <w:numPr>
          <w:ilvl w:val="0"/>
          <w:numId w:val="2"/>
        </w:numPr>
        <w:spacing w:after="40" w:before="40"/>
      </w:pPr>
      <w:r>
        <w:rPr>
          <w:rFonts w:ascii="Arial" w:cs="Arial" w:eastAsia="Arial" w:hAnsi="Arial"/>
          <w:sz w:val="22"/>
          <w:szCs w:val="22"/>
        </w:rPr>
        <w:t xml:space="preserve">Gestational diabetes follow-up: Postpartum glucose screening 4–12 weeks after delivery (75g OGTT, ACOG/ADA); 50% of women with GDM develop type 2 DM within 5–10 years</w:t>
      </w:r>
    </w:p>
    <w:p>
      <w:pPr>
        <w:pStyle w:val="ListParagraph"/>
        <w:numPr>
          <w:ilvl w:val="0"/>
          <w:numId w:val="2"/>
        </w:numPr>
        <w:spacing w:after="40" w:before="40"/>
      </w:pPr>
      <w:r>
        <w:rPr>
          <w:rFonts w:ascii="Arial" w:cs="Arial" w:eastAsia="Arial" w:hAnsi="Arial"/>
          <w:sz w:val="22"/>
          <w:szCs w:val="22"/>
        </w:rPr>
        <w:t xml:space="preserve">Long-term CVD risk: Women with preeclampsia or GDM face 2–4x lifetime CVD risk; should be counselled at the postpartum visit; 73% of women unaware (cross-sectional study, PMC 2025)</w:t>
      </w:r>
    </w:p>
    <w:p>
      <w:pPr>
        <w:pStyle w:val="ListParagraph"/>
        <w:numPr>
          <w:ilvl w:val="0"/>
          <w:numId w:val="2"/>
        </w:numPr>
        <w:spacing w:after="40" w:before="40"/>
      </w:pPr>
      <w:r>
        <w:rPr>
          <w:rFonts w:ascii="Arial" w:cs="Arial" w:eastAsia="Arial" w:hAnsi="Arial"/>
          <w:sz w:val="22"/>
          <w:szCs w:val="22"/>
        </w:rPr>
        <w:t xml:space="preserve">Peripartum cardiomyopathy (PPCM): Rare (1:1,000–4,000); onset last month of pregnancy to 5 months postpartum; heart failure presentation; urgent cardiology referral required; SFP US MEC 2024 includes specific contraceptive eligibility for PPCM</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Postpartum sexual health and intimacy</w:t>
      </w:r>
    </w:p>
    <w:p>
      <w:pPr>
        <w:spacing w:after="100" w:before="60"/>
      </w:pPr>
      <w:r>
        <w:rPr>
          <w:rFonts w:ascii="Arial" w:cs="Arial" w:eastAsia="Arial" w:hAnsi="Arial"/>
          <w:color w:val="444444"/>
          <w:sz w:val="22"/>
          <w:szCs w:val="22"/>
        </w:rPr>
        <w:t xml:space="preserve">Research consistently documents significant worsening in all sexual domains postpartum, yet sexual health is one of the least-addressed topics in postpartum clinical care. Primary evidence base: Sexual Medicine (Oxford, 2020); systematic review (PMC, 2025; 15 studies, PRISMA 2020); Current Sexual Health Reports (Springer, 2022); qualitative SR (PMC, 2022); Medicine SR (2024, 41 studies, FSFI measurement review).</w:t>
      </w:r>
    </w:p>
    <w:p>
      <w:pPr>
        <w:pStyle w:val="ListParagraph"/>
        <w:numPr>
          <w:ilvl w:val="0"/>
          <w:numId w:val="2"/>
        </w:numPr>
        <w:spacing w:after="40" w:before="40"/>
      </w:pPr>
      <w:r>
        <w:rPr>
          <w:rFonts w:ascii="Arial" w:cs="Arial" w:eastAsia="Arial" w:hAnsi="Arial"/>
          <w:sz w:val="22"/>
          <w:szCs w:val="22"/>
        </w:rPr>
        <w:t xml:space="preserve">Prevalence: 89% of women resume sexual activity within 6 months; average time to resumption: 7.1 weeks (minor trauma) vs 9.3 weeks (severe trauma; p&lt;0.001)</w:t>
      </w:r>
    </w:p>
    <w:p>
      <w:pPr>
        <w:pStyle w:val="ListParagraph"/>
        <w:numPr>
          <w:ilvl w:val="0"/>
          <w:numId w:val="2"/>
        </w:numPr>
        <w:spacing w:after="40" w:before="40"/>
      </w:pPr>
      <w:r>
        <w:rPr>
          <w:rFonts w:ascii="Arial" w:cs="Arial" w:eastAsia="Arial" w:hAnsi="Arial"/>
          <w:sz w:val="22"/>
          <w:szCs w:val="22"/>
        </w:rPr>
        <w:t xml:space="preserve">Dyspareunia: 40% at 3 months; 28% at 12 months; 1 in 5 at 18 months. Mode of delivery: vaginal delivery associated with higher 3-month dyspareunia (45% vs 12% caesarean); no long-term FSFI difference at 6 or 12 months</w:t>
      </w:r>
    </w:p>
    <w:p>
      <w:pPr>
        <w:pStyle w:val="ListParagraph"/>
        <w:numPr>
          <w:ilvl w:val="0"/>
          <w:numId w:val="2"/>
        </w:numPr>
        <w:spacing w:after="40" w:before="40"/>
      </w:pPr>
      <w:r>
        <w:rPr>
          <w:rFonts w:ascii="Arial" w:cs="Arial" w:eastAsia="Arial" w:hAnsi="Arial"/>
          <w:sz w:val="22"/>
          <w:szCs w:val="22"/>
        </w:rPr>
        <w:t xml:space="preserve">Systematic review (PMC, 2025; PRISMA; 15 studies, n=1,127): Perineal morbidity and early pain consistently predict worse sexual outcomes; assisted vaginal birth OR 2.5 for 6-month dyspareunia; breastfeeding independently associated with sexual dysfunction at 6 and 12 months</w:t>
      </w:r>
    </w:p>
    <w:p>
      <w:pPr>
        <w:pStyle w:val="ListParagraph"/>
        <w:numPr>
          <w:ilvl w:val="0"/>
          <w:numId w:val="2"/>
        </w:numPr>
        <w:spacing w:after="40" w:before="40"/>
      </w:pPr>
      <w:r>
        <w:rPr>
          <w:rFonts w:ascii="Arial" w:cs="Arial" w:eastAsia="Arial" w:hAnsi="Arial"/>
          <w:sz w:val="22"/>
          <w:szCs w:val="22"/>
        </w:rPr>
        <w:t xml:space="preserve">Mechanisms: Hypoestrogenism (vaginal dryness, reduced arousal; similar to menopausal state in breastfeeding women); perineal trauma; pelvic floor muscle tension; sleep deprivation; body image changes; relational context</w:t>
      </w:r>
    </w:p>
    <w:p>
      <w:pPr>
        <w:pStyle w:val="ListParagraph"/>
        <w:numPr>
          <w:ilvl w:val="0"/>
          <w:numId w:val="2"/>
        </w:numPr>
        <w:spacing w:after="40" w:before="40"/>
      </w:pPr>
      <w:r>
        <w:rPr>
          <w:rFonts w:ascii="Arial" w:cs="Arial" w:eastAsia="Arial" w:hAnsi="Arial"/>
          <w:sz w:val="22"/>
          <w:szCs w:val="22"/>
        </w:rPr>
        <w:t xml:space="preserve">Management: Topical oestrogen (safe in breastfeeding at low doses; LactMed confirms minimal absorption); water-based lubricants (first-line non-hormonal); pelvic floor physiotherapy (strong evidence for dyspareunia and incontinence); validated assessment with FSFI or FSFI-6</w:t>
      </w:r>
    </w:p>
    <w:p>
      <w:pPr>
        <w:pStyle w:val="ListParagraph"/>
        <w:numPr>
          <w:ilvl w:val="0"/>
          <w:numId w:val="2"/>
        </w:numPr>
        <w:spacing w:after="40" w:before="40"/>
      </w:pPr>
      <w:r>
        <w:rPr>
          <w:rFonts w:ascii="Arial" w:cs="Arial" w:eastAsia="Arial" w:hAnsi="Arial"/>
          <w:sz w:val="22"/>
          <w:szCs w:val="22"/>
        </w:rPr>
        <w:t xml:space="preserve">The 6-week rule: Traditional 6-week abstinence recommendation is based on historical tissue healing estimates, not trial evidence; current guidance supports individualised, symptom-guided return</w:t>
      </w:r>
    </w:p>
    <w:p>
      <w:pPr>
        <w:pBdr>
          <w:left w:val="single" w:color="2E5FA3" w:sz="10" w:space="10"/>
        </w:pBdr>
        <w:spacing w:after="80" w:before="40"/>
        <w:ind w:left="400"/>
      </w:pPr>
      <w:r>
        <w:rPr>
          <w:rFonts w:ascii="Arial" w:cs="Arial" w:eastAsia="Arial" w:hAnsi="Arial"/>
          <w:i/>
          <w:iCs/>
          <w:color w:val="888888"/>
          <w:sz w:val="20"/>
          <w:szCs w:val="20"/>
        </w:rPr>
        <w:t xml:space="preserve">Current Sexual Health Reports (Springer, 2022): 'Breastfeeding and pre-existing sexual health issues are strongly predictive of sexual health issues at 6 and 12 months after birth. Women have described discordance in sexual desire to that of their partner; for couples who communicated openly, this was not necessarily associated with greater distress.' Calls for a holistic approach encompassing emotional, relational, and psychological dimensions.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Sleep deprivation in the fourth trimester</w:t>
      </w:r>
    </w:p>
    <w:p>
      <w:pPr>
        <w:pStyle w:val="ListParagraph"/>
        <w:numPr>
          <w:ilvl w:val="0"/>
          <w:numId w:val="2"/>
        </w:numPr>
        <w:spacing w:after="40" w:before="40"/>
      </w:pPr>
      <w:r>
        <w:rPr>
          <w:rFonts w:ascii="Arial" w:cs="Arial" w:eastAsia="Arial" w:hAnsi="Arial"/>
          <w:sz w:val="22"/>
          <w:szCs w:val="22"/>
        </w:rPr>
        <w:t xml:space="preserve">Extent: Breastfeeding women average ~252 min total sleep/day in early postpartum (prospective cohort study, PMC 2022); sleep deprivation at postpartum levels is equivalent to legal intoxication (&gt;24 hours continuous deprivation studies)</w:t>
      </w:r>
    </w:p>
    <w:p>
      <w:pPr>
        <w:pStyle w:val="ListParagraph"/>
        <w:numPr>
          <w:ilvl w:val="0"/>
          <w:numId w:val="2"/>
        </w:numPr>
        <w:spacing w:after="40" w:before="40"/>
      </w:pPr>
      <w:r>
        <w:rPr>
          <w:rFonts w:ascii="Arial" w:cs="Arial" w:eastAsia="Arial" w:hAnsi="Arial"/>
          <w:sz w:val="22"/>
          <w:szCs w:val="22"/>
        </w:rPr>
        <w:t xml:space="preserve">Consequences: Impaired cognition; immune suppression; exacerbated PPD/anxiety; impaired wound healing; increased pain sensitivity; glucose dysregulation</w:t>
      </w:r>
    </w:p>
    <w:p>
      <w:pPr>
        <w:pStyle w:val="ListParagraph"/>
        <w:numPr>
          <w:ilvl w:val="0"/>
          <w:numId w:val="2"/>
        </w:numPr>
        <w:spacing w:after="40" w:before="40"/>
      </w:pPr>
      <w:r>
        <w:rPr>
          <w:rFonts w:ascii="Arial" w:cs="Arial" w:eastAsia="Arial" w:hAnsi="Arial"/>
          <w:sz w:val="22"/>
          <w:szCs w:val="22"/>
        </w:rPr>
        <w:t xml:space="preserve">AAP patient safety guidance: Warns against driving while severely sleep-deprived with a newborn</w:t>
      </w:r>
    </w:p>
    <w:p>
      <w:pPr>
        <w:pStyle w:val="ListParagraph"/>
        <w:numPr>
          <w:ilvl w:val="0"/>
          <w:numId w:val="2"/>
        </w:numPr>
        <w:spacing w:after="40" w:before="40"/>
      </w:pPr>
      <w:r>
        <w:rPr>
          <w:rFonts w:ascii="Arial" w:cs="Arial" w:eastAsia="Arial" w:hAnsi="Arial"/>
          <w:sz w:val="22"/>
          <w:szCs w:val="22"/>
        </w:rPr>
        <w:t xml:space="preserve">Safe sleep tension: The evidence-based gap between AAP safe sleep (room-sharing without bed-sharing) and the reality of exhausted parents breastfeeding in bed requires harm-reduction education rather than blame</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1.4 Family Planning, Contraception, and Interpregnancy Interval</w:t>
      </w:r>
    </w:p>
    <w:p>
      <w:pPr>
        <w:shd w:fill="D4EDE8" w:val="clear"/>
        <w:spacing w:after="120" w:before="100"/>
        <w:ind w:left="240" w:right="240"/>
      </w:pPr>
      <w:r>
        <w:rPr>
          <w:rFonts w:ascii="Arial" w:cs="Arial" w:eastAsia="Arial" w:hAnsi="Arial"/>
          <w:color w:val="1B3A6B"/>
          <w:sz w:val="21"/>
          <w:szCs w:val="21"/>
        </w:rPr>
        <w:t xml:space="preserve">Family planning intersects the perinatal period at multiple points: preconception planning, prenatal contraception counselling, immediate postpartum contraception, and interpregnancy interval (IPI) optimisation for future pregnancies. Primary guideline authorities: SFP (US MEC 2024), CDC (US SPR 2024), ACOG, SMFM (Consult #48 on immediate postpartum LARC), ACOG-SMFM OCC #8 (Interpregnancy Care, reaffirmed 2025), WHO (birth spacing recommendation). Consumer resource: MedlinePlus Birth Control page.</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Why postpartum contraception matters clinically</w:t>
      </w:r>
    </w:p>
    <w:p>
      <w:pPr>
        <w:pStyle w:val="ListParagraph"/>
        <w:numPr>
          <w:ilvl w:val="0"/>
          <w:numId w:val="2"/>
        </w:numPr>
        <w:spacing w:after="40" w:before="40"/>
      </w:pPr>
      <w:r>
        <w:rPr>
          <w:rFonts w:ascii="Arial" w:cs="Arial" w:eastAsia="Arial" w:hAnsi="Arial"/>
          <w:sz w:val="22"/>
          <w:szCs w:val="22"/>
        </w:rPr>
        <w:t xml:space="preserve">Ovulation returns as early as 25 days postpartum in non-breastfeeding women; before the first postpartum menstrual period returns</w:t>
      </w:r>
    </w:p>
    <w:p>
      <w:pPr>
        <w:pStyle w:val="ListParagraph"/>
        <w:numPr>
          <w:ilvl w:val="0"/>
          <w:numId w:val="2"/>
        </w:numPr>
        <w:spacing w:after="40" w:before="40"/>
      </w:pPr>
      <w:r>
        <w:rPr>
          <w:rFonts w:ascii="Arial" w:cs="Arial" w:eastAsia="Arial" w:hAnsi="Arial"/>
          <w:sz w:val="22"/>
          <w:szCs w:val="22"/>
        </w:rPr>
        <w:t xml:space="preserve">Short interpregnancy intervals (IPI &lt;6 months) are associated with significant adverse outcomes (see IPI section below)</w:t>
      </w:r>
    </w:p>
    <w:p>
      <w:pPr>
        <w:pStyle w:val="ListParagraph"/>
        <w:numPr>
          <w:ilvl w:val="0"/>
          <w:numId w:val="2"/>
        </w:numPr>
        <w:spacing w:after="40" w:before="40"/>
      </w:pPr>
      <w:r>
        <w:rPr>
          <w:rFonts w:ascii="Arial" w:cs="Arial" w:eastAsia="Arial" w:hAnsi="Arial"/>
          <w:sz w:val="22"/>
          <w:szCs w:val="22"/>
        </w:rPr>
        <w:t xml:space="preserve">Many patients do not return for the traditional 6-week visit — the only historical contraceptive provision opportunity — reinforcing the case for prenatal integration and immediate postpartum provision</w:t>
      </w:r>
    </w:p>
    <w:p>
      <w:pPr>
        <w:pStyle w:val="ListParagraph"/>
        <w:numPr>
          <w:ilvl w:val="0"/>
          <w:numId w:val="2"/>
        </w:numPr>
        <w:spacing w:after="40" w:before="40"/>
      </w:pPr>
      <w:r>
        <w:rPr>
          <w:rFonts w:ascii="Arial" w:cs="Arial" w:eastAsia="Arial" w:hAnsi="Arial"/>
          <w:sz w:val="22"/>
          <w:szCs w:val="22"/>
        </w:rPr>
        <w:t xml:space="preserve">Counselling at BOTH prenatal AND postpartum timepoints: Associated with 4.25x higher odds of LARC use vs. no counselling (AOR 4.25; 95% CI 2.32–7.77; Ann Intern Med SR/meta-analysis, 2022, 5 trials)</w:t>
      </w:r>
    </w:p>
    <w:p>
      <w:pPr>
        <w:pStyle w:val="ListParagraph"/>
        <w:numPr>
          <w:ilvl w:val="0"/>
          <w:numId w:val="2"/>
        </w:numPr>
        <w:spacing w:after="40" w:before="40"/>
      </w:pPr>
      <w:r>
        <w:rPr>
          <w:rFonts w:ascii="Arial" w:cs="Arial" w:eastAsia="Arial" w:hAnsi="Arial"/>
          <w:sz w:val="22"/>
          <w:szCs w:val="22"/>
        </w:rPr>
        <w:t xml:space="preserve">Brief prenatal counselling: Increased postpartum LARC acceptability from 34.5% to 74.5% in Hispanic women (JGOH RCT, 2022, n=198)</w:t>
      </w:r>
    </w:p>
    <w:p>
      <w:pPr>
        <w:pStyle w:val="ListParagraph"/>
        <w:numPr>
          <w:ilvl w:val="0"/>
          <w:numId w:val="2"/>
        </w:numPr>
        <w:spacing w:after="40" w:before="40"/>
      </w:pPr>
      <w:r>
        <w:rPr>
          <w:rFonts w:ascii="Arial" w:cs="Arial" w:eastAsia="Arial" w:hAnsi="Arial"/>
          <w:sz w:val="22"/>
          <w:szCs w:val="22"/>
        </w:rPr>
        <w:t xml:space="preserve">Partner discussion: Associated with PPFP uptake (log OR=1.39; BMJ Open SR/meta-analysis, 2024, 6 studies, n=2,856)</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Method-specific postpartum guidance (SFP US MEC 2024 / CDC US SPR 2024)</w:t>
      </w:r>
    </w:p>
    <w:p>
      <w:pPr>
        <w:spacing w:after="100" w:before="60"/>
      </w:pPr>
      <w:r>
        <w:rPr>
          <w:rFonts w:ascii="Arial" w:cs="Arial" w:eastAsia="Arial" w:hAnsi="Arial"/>
          <w:color w:val="444444"/>
          <w:sz w:val="22"/>
          <w:szCs w:val="22"/>
        </w:rPr>
        <w:t xml:space="preserve">The SFP US MEC 2024 (MMWR 73/RR-3) is the definitive eligibility reference. The 2024 update added chronic kidney disease guidance, new method formulations, and expanded postpartum/breastfeeding tables. Cochrane SR (2022, Sothornwit et al., CD011913) confirms safety and high continuation rates for immediate postpartum LARC insertion.</w:t>
      </w:r>
    </w:p>
    <w:p>
      <w:pPr>
        <w:pStyle w:val="ListParagraph"/>
        <w:numPr>
          <w:ilvl w:val="0"/>
          <w:numId w:val="2"/>
        </w:numPr>
        <w:spacing w:after="40" w:before="40"/>
      </w:pPr>
      <w:r>
        <w:rPr>
          <w:rFonts w:ascii="Arial" w:cs="Arial" w:eastAsia="Arial" w:hAnsi="Arial"/>
          <w:sz w:val="22"/>
          <w:szCs w:val="22"/>
        </w:rPr>
        <w:t xml:space="preserve">Combined hormonal (pill/patch/ring): Avoid first 3 weeks (elevated VTE risk postpartum); with additional risk factors (prior DVT, smoking, obesity), avoid to 6 weeks. SFP US MEC Category 4 (&lt;3 weeks), Category 3 (3–6 weeks with risk factors).</w:t>
      </w:r>
    </w:p>
    <w:p>
      <w:pPr>
        <w:pStyle w:val="ListParagraph"/>
        <w:numPr>
          <w:ilvl w:val="0"/>
          <w:numId w:val="2"/>
        </w:numPr>
        <w:spacing w:after="40" w:before="40"/>
      </w:pPr>
      <w:r>
        <w:rPr>
          <w:rFonts w:ascii="Arial" w:cs="Arial" w:eastAsia="Arial" w:hAnsi="Arial"/>
          <w:sz w:val="22"/>
          <w:szCs w:val="22"/>
        </w:rPr>
        <w:t xml:space="preserve">Progestin-only pill (POP/mini-pill): Can start immediately postpartum; SFP US MEC Category 1 at all postpartum timepoints including breastfeeding; no established adverse effect on milk supply</w:t>
      </w:r>
    </w:p>
    <w:p>
      <w:pPr>
        <w:pStyle w:val="ListParagraph"/>
        <w:numPr>
          <w:ilvl w:val="0"/>
          <w:numId w:val="2"/>
        </w:numPr>
        <w:spacing w:after="40" w:before="40"/>
      </w:pPr>
      <w:r>
        <w:rPr>
          <w:rFonts w:ascii="Arial" w:cs="Arial" w:eastAsia="Arial" w:hAnsi="Arial"/>
          <w:sz w:val="22"/>
          <w:szCs w:val="22"/>
        </w:rPr>
        <w:t xml:space="preserve">DMPA (Depo-Provera): Can be given before hospital discharge; SFP US MEC Category 1 during breastfeeding; important counselling: return to fertility may be delayed 12–18 months after last injection</w:t>
      </w:r>
    </w:p>
    <w:p>
      <w:pPr>
        <w:pStyle w:val="ListParagraph"/>
        <w:numPr>
          <w:ilvl w:val="0"/>
          <w:numId w:val="2"/>
        </w:numPr>
        <w:spacing w:after="40" w:before="40"/>
      </w:pPr>
      <w:r>
        <w:rPr>
          <w:rFonts w:ascii="Arial" w:cs="Arial" w:eastAsia="Arial" w:hAnsi="Arial"/>
          <w:sz w:val="22"/>
          <w:szCs w:val="22"/>
        </w:rPr>
        <w:t xml:space="preserve">Copper IUD: SFP US MEC Category 1/2; can be placed immediately postpartum (within 10 minutes of placenta delivery) or at any time thereafter; expulsion rate ~20% with immediate insertion vs ~5% interval (must be disclosed in counselling); also most effective emergency contraceptive (&lt;1% failure)</w:t>
      </w:r>
    </w:p>
    <w:p>
      <w:pPr>
        <w:pStyle w:val="ListParagraph"/>
        <w:numPr>
          <w:ilvl w:val="0"/>
          <w:numId w:val="2"/>
        </w:numPr>
        <w:spacing w:after="40" w:before="40"/>
      </w:pPr>
      <w:r>
        <w:rPr>
          <w:rFonts w:ascii="Arial" w:cs="Arial" w:eastAsia="Arial" w:hAnsi="Arial"/>
          <w:sz w:val="22"/>
          <w:szCs w:val="22"/>
        </w:rPr>
        <w:t xml:space="preserve">Levonorgestrel IUD (Mirena/Kyleena/Liletta/Skyla): Same immediate postpartum option as copper; SFP US MEC Category 1 during breastfeeding; minimal systemic LNG absorption</w:t>
      </w:r>
    </w:p>
    <w:p>
      <w:pPr>
        <w:pStyle w:val="ListParagraph"/>
        <w:numPr>
          <w:ilvl w:val="0"/>
          <w:numId w:val="2"/>
        </w:numPr>
        <w:spacing w:after="40" w:before="40"/>
      </w:pPr>
      <w:r>
        <w:rPr>
          <w:rFonts w:ascii="Arial" w:cs="Arial" w:eastAsia="Arial" w:hAnsi="Arial"/>
          <w:sz w:val="22"/>
          <w:szCs w:val="22"/>
        </w:rPr>
        <w:t xml:space="preserve">Subdermal implant (Nexplanon): Can be inserted before hospital discharge; SFP US MEC Category 1 during breastfeeding; &gt;99.9% effective; lasts 3 years; no expulsion concern; suitable for those with oestrogen contraindications</w:t>
      </w:r>
    </w:p>
    <w:p>
      <w:pPr>
        <w:pStyle w:val="ListParagraph"/>
        <w:numPr>
          <w:ilvl w:val="0"/>
          <w:numId w:val="2"/>
        </w:numPr>
        <w:spacing w:after="40" w:before="40"/>
      </w:pPr>
      <w:r>
        <w:rPr>
          <w:rFonts w:ascii="Arial" w:cs="Arial" w:eastAsia="Arial" w:hAnsi="Arial"/>
          <w:sz w:val="22"/>
          <w:szCs w:val="22"/>
        </w:rPr>
        <w:t xml:space="preserve">Lactational Amenorrhoea Method (LAM): Effective only when ALL THREE criteria simultaneously met: exclusive on-demand breastfeeding day and night, amenorrhoea, and infant under 6 months. Failure rate rises sharply if any criterion is absent. Must transition to another method by 6 months or when any criterion is no longer met.</w:t>
      </w:r>
    </w:p>
    <w:p>
      <w:pPr>
        <w:pStyle w:val="ListParagraph"/>
        <w:numPr>
          <w:ilvl w:val="0"/>
          <w:numId w:val="2"/>
        </w:numPr>
        <w:spacing w:after="40" w:before="40"/>
      </w:pPr>
      <w:r>
        <w:rPr>
          <w:rFonts w:ascii="Arial" w:cs="Arial" w:eastAsia="Arial" w:hAnsi="Arial"/>
          <w:sz w:val="22"/>
          <w:szCs w:val="22"/>
        </w:rPr>
        <w:t xml:space="preserve">Emergency contraception: Levonorgestrel (Plan B) safe in breastfeeding; ulipristal acetate (ella): pump-and-discard for 24 hours recommended. Important: EC does not cause abortion; it prevents ovulation (KFF Monitor, 2024)</w:t>
      </w:r>
    </w:p>
    <w:p>
      <w:pPr>
        <w:pStyle w:val="ListParagraph"/>
        <w:numPr>
          <w:ilvl w:val="0"/>
          <w:numId w:val="2"/>
        </w:numPr>
        <w:spacing w:after="40" w:before="40"/>
      </w:pPr>
      <w:r>
        <w:rPr>
          <w:rFonts w:ascii="Arial" w:cs="Arial" w:eastAsia="Arial" w:hAnsi="Arial"/>
          <w:sz w:val="22"/>
          <w:szCs w:val="22"/>
        </w:rPr>
        <w:t xml:space="preserve">Tubal ligation: Can be performed immediately postpartum (minilaparotomy) or as interval laparoscopy; informed consent must be obtained before labour (ACOG); Medicaid 30-day waiting period applies in some states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Immediate postpartum LARC (IPP LARC)</w:t>
      </w:r>
    </w:p>
    <w:p>
      <w:pPr>
        <w:pStyle w:val="ListParagraph"/>
        <w:numPr>
          <w:ilvl w:val="0"/>
          <w:numId w:val="2"/>
        </w:numPr>
        <w:spacing w:after="40" w:before="40"/>
      </w:pPr>
      <w:r>
        <w:rPr>
          <w:rFonts w:ascii="Arial" w:cs="Arial" w:eastAsia="Arial" w:hAnsi="Arial"/>
          <w:sz w:val="22"/>
          <w:szCs w:val="22"/>
        </w:rPr>
        <w:t xml:space="preserve">SMFM Consult #48: Establishes IPP LARC as safe, effective, and evidence-based; high continuation rates</w:t>
      </w:r>
    </w:p>
    <w:p>
      <w:pPr>
        <w:pStyle w:val="ListParagraph"/>
        <w:numPr>
          <w:ilvl w:val="0"/>
          <w:numId w:val="2"/>
        </w:numPr>
        <w:spacing w:after="40" w:before="40"/>
      </w:pPr>
      <w:r>
        <w:rPr>
          <w:rFonts w:ascii="Arial" w:cs="Arial" w:eastAsia="Arial" w:hAnsi="Arial"/>
          <w:sz w:val="22"/>
          <w:szCs w:val="22"/>
        </w:rPr>
        <w:t xml:space="preserve">Counselling ethics: Given the history of coercive sterilisation of women of colour in the United States, non-coercive, patient-centred counselling is an ethical requirement — not optional; ACOG and SFP guidelines both specify this</w:t>
      </w:r>
    </w:p>
    <w:p>
      <w:pPr>
        <w:pStyle w:val="ListParagraph"/>
        <w:numPr>
          <w:ilvl w:val="0"/>
          <w:numId w:val="2"/>
        </w:numPr>
        <w:spacing w:after="40" w:before="40"/>
      </w:pPr>
      <w:r>
        <w:rPr>
          <w:rFonts w:ascii="Arial" w:cs="Arial" w:eastAsia="Arial" w:hAnsi="Arial"/>
          <w:sz w:val="22"/>
          <w:szCs w:val="22"/>
        </w:rPr>
        <w:t xml:space="preserve">Medicaid unbundling: Most states have adopted policies separating IPP LARC payment from the global obstetric payment; access varies by hospital and state</w:t>
      </w:r>
    </w:p>
    <w:p>
      <w:pPr>
        <w:pStyle w:val="ListParagraph"/>
        <w:numPr>
          <w:ilvl w:val="0"/>
          <w:numId w:val="2"/>
        </w:numPr>
        <w:spacing w:after="40" w:before="40"/>
      </w:pPr>
      <w:r>
        <w:rPr>
          <w:rFonts w:ascii="Arial" w:cs="Arial" w:eastAsia="Arial" w:hAnsi="Arial"/>
          <w:sz w:val="22"/>
          <w:szCs w:val="22"/>
        </w:rPr>
        <w:t xml:space="preserve">ACOG Postpartum Contraception Access Initiative: Training programme for providers to deliver immediate postpartum contraception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Interpregnancy interval (IPI) and birth spacing</w:t>
      </w:r>
    </w:p>
    <w:p>
      <w:pPr>
        <w:spacing w:after="100" w:before="60"/>
      </w:pPr>
      <w:r>
        <w:rPr>
          <w:rFonts w:ascii="Arial" w:cs="Arial" w:eastAsia="Arial" w:hAnsi="Arial"/>
          <w:color w:val="444444"/>
          <w:sz w:val="22"/>
          <w:szCs w:val="22"/>
        </w:rPr>
        <w:t xml:space="preserve">The IPI is the time from delivery to conception of the next pregnancy. Both very short and very long intervals carry adverse outcome risks, making the IPI directly relevant to fourth-trimester contraceptive counselling.</w:t>
      </w:r>
    </w:p>
    <w:p>
      <w:pPr>
        <w:pStyle w:val="ListParagraph"/>
        <w:numPr>
          <w:ilvl w:val="0"/>
          <w:numId w:val="2"/>
        </w:numPr>
        <w:spacing w:after="40" w:before="40"/>
      </w:pPr>
      <w:r>
        <w:rPr>
          <w:rFonts w:ascii="Arial" w:cs="Arial" w:eastAsia="Arial" w:hAnsi="Arial"/>
          <w:sz w:val="22"/>
          <w:szCs w:val="22"/>
        </w:rPr>
        <w:t xml:space="preserve">Optimal reference interval: 18–23 months (used as reference in most dose-response meta-analyses)</w:t>
      </w:r>
    </w:p>
    <w:p>
      <w:pPr>
        <w:pStyle w:val="ListParagraph"/>
        <w:numPr>
          <w:ilvl w:val="0"/>
          <w:numId w:val="2"/>
        </w:numPr>
        <w:spacing w:after="40" w:before="40"/>
      </w:pPr>
      <w:r>
        <w:rPr>
          <w:rFonts w:ascii="Arial" w:cs="Arial" w:eastAsia="Arial" w:hAnsi="Arial"/>
          <w:sz w:val="22"/>
          <w:szCs w:val="22"/>
        </w:rPr>
        <w:t xml:space="preserve">Short IPI (&lt;6 months): Ni et al. SR/meta-analysis (Acta Obstet Gynecol Scand, 2023; 129 studies, n=46.8 million pregnancies) — 40% higher odds of preterm birth, 61% higher odds of LBW, 26% higher odds of SGA vs 18–23 months</w:t>
      </w:r>
    </w:p>
    <w:p>
      <w:pPr>
        <w:pStyle w:val="ListParagraph"/>
        <w:numPr>
          <w:ilvl w:val="0"/>
          <w:numId w:val="2"/>
        </w:numPr>
        <w:spacing w:after="40" w:before="40"/>
      </w:pPr>
      <w:r>
        <w:rPr>
          <w:rFonts w:ascii="Arial" w:cs="Arial" w:eastAsia="Arial" w:hAnsi="Arial"/>
          <w:sz w:val="22"/>
          <w:szCs w:val="22"/>
        </w:rPr>
        <w:t xml:space="preserve">Long IPI (≥60 months): Associated with increased preeclampsia (OR 1.35), GDM (OR 1.37), PIH (OR 1.47), miscarriage (OR 1.23) (Ni et al., 2023)</w:t>
      </w:r>
    </w:p>
    <w:p>
      <w:pPr>
        <w:pStyle w:val="ListParagraph"/>
        <w:numPr>
          <w:ilvl w:val="0"/>
          <w:numId w:val="2"/>
        </w:numPr>
        <w:spacing w:after="40" w:before="40"/>
      </w:pPr>
      <w:r>
        <w:rPr>
          <w:rFonts w:ascii="Arial" w:cs="Arial" w:eastAsia="Arial" w:hAnsi="Arial"/>
          <w:sz w:val="22"/>
          <w:szCs w:val="22"/>
        </w:rPr>
        <w:t xml:space="preserve">International cohort (PLOS One, 2021; 5.5M births, Australia/Finland/Norway/California): Within-women analyses attenuate but do not eliminate IPI associations, suggesting at least partial causal effect</w:t>
      </w:r>
    </w:p>
    <w:p>
      <w:pPr>
        <w:pStyle w:val="ListParagraph"/>
        <w:numPr>
          <w:ilvl w:val="0"/>
          <w:numId w:val="2"/>
        </w:numPr>
        <w:spacing w:after="40" w:before="40"/>
      </w:pPr>
      <w:r>
        <w:rPr>
          <w:rFonts w:ascii="Arial" w:cs="Arial" w:eastAsia="Arial" w:hAnsi="Arial"/>
          <w:sz w:val="22"/>
          <w:szCs w:val="22"/>
        </w:rPr>
        <w:t xml:space="preserve">WHO recommendation: ≥24 months after live birth; ≥6 months after early pregnancy loss</w:t>
      </w:r>
    </w:p>
    <w:p>
      <w:pPr>
        <w:pStyle w:val="ListParagraph"/>
        <w:numPr>
          <w:ilvl w:val="0"/>
          <w:numId w:val="2"/>
        </w:numPr>
        <w:spacing w:after="40" w:before="40"/>
      </w:pPr>
      <w:r>
        <w:rPr>
          <w:rFonts w:ascii="Arial" w:cs="Arial" w:eastAsia="Arial" w:hAnsi="Arial"/>
          <w:sz w:val="22"/>
          <w:szCs w:val="22"/>
        </w:rPr>
        <w:t xml:space="preserve">ACOG: Recommends advising patients to avoid IPI &lt;6 months; notes that high-resource-country evidence differs from the global studies that informed WHO guidance</w:t>
      </w:r>
    </w:p>
    <w:p>
      <w:pPr>
        <w:pStyle w:val="ListParagraph"/>
        <w:numPr>
          <w:ilvl w:val="0"/>
          <w:numId w:val="2"/>
        </w:numPr>
        <w:spacing w:after="40" w:before="40"/>
      </w:pPr>
      <w:r>
        <w:rPr>
          <w:rFonts w:ascii="Arial" w:cs="Arial" w:eastAsia="Arial" w:hAnsi="Arial"/>
          <w:sz w:val="22"/>
          <w:szCs w:val="22"/>
        </w:rPr>
        <w:t xml:space="preserve">ACOG-SMFM OCC #8 'Interpregnancy Care' (reaffirmed 2025): Comprehensive framework for interpregnancy optimisation including contraception, medical condition management, mental health, and weight</w:t>
      </w:r>
    </w:p>
    <w:p>
      <w:pPr>
        <w:pStyle w:val="ListParagraph"/>
        <w:numPr>
          <w:ilvl w:val="0"/>
          <w:numId w:val="2"/>
        </w:numPr>
        <w:spacing w:after="40" w:before="40"/>
      </w:pPr>
      <w:r>
        <w:rPr>
          <w:rFonts w:ascii="Arial" w:cs="Arial" w:eastAsia="Arial" w:hAnsi="Arial"/>
          <w:sz w:val="22"/>
          <w:szCs w:val="22"/>
        </w:rPr>
        <w:t xml:space="preserve">Prior adverse outcome modifies optimal IPI: Lancet Regional Health Americas (2024; 4.7M Brazilian births) — for women with prior preterm birth, SGA, or LBW, the optimal IPI may differ</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1.5 Perinatal Mental Health: Patient Awareness and Self-Recognition</w:t>
      </w:r>
    </w:p>
    <w:p>
      <w:pPr>
        <w:shd w:fill="EDE3F5" w:val="clear"/>
        <w:spacing w:after="120" w:before="100"/>
        <w:ind w:left="240" w:right="240"/>
      </w:pPr>
      <w:r>
        <w:rPr>
          <w:rFonts w:ascii="Arial" w:cs="Arial" w:eastAsia="Arial" w:hAnsi="Arial"/>
          <w:color w:val="1B3A6B"/>
          <w:sz w:val="21"/>
          <w:szCs w:val="21"/>
        </w:rPr>
        <w:t xml:space="preserve">Mental health is the leading cause of pregnancy-related deaths in high-income countries (suicide and overdose exceed haemorrhage, embolism, and preeclampsia as causes of maternal death in several U.S. states, per state MMRCs documented in Contemporary OB/GYN). Despite this, 40% of women with PPD symptoms fail to seek help (AMWA, 2024). Understanding what patients know, believe, and fear about perinatal mental health is essential for quality detection.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Prevalence and spectrum of perinatal mental health conditions</w:t>
      </w:r>
    </w:p>
    <w:p>
      <w:pPr>
        <w:pStyle w:val="ListParagraph"/>
        <w:numPr>
          <w:ilvl w:val="0"/>
          <w:numId w:val="2"/>
        </w:numPr>
        <w:spacing w:after="40" w:before="40"/>
      </w:pPr>
      <w:r>
        <w:rPr>
          <w:rFonts w:ascii="Arial" w:cs="Arial" w:eastAsia="Arial" w:hAnsi="Arial"/>
          <w:sz w:val="22"/>
          <w:szCs w:val="22"/>
        </w:rPr>
        <w:t xml:space="preserve">Perinatal depression: 12–18% prevalence; affects up to 20% across pregnancy and first year (Frontiers, 2025); leading cause of pregnancy-related death in high-income countries</w:t>
      </w:r>
    </w:p>
    <w:p>
      <w:pPr>
        <w:pStyle w:val="ListParagraph"/>
        <w:numPr>
          <w:ilvl w:val="0"/>
          <w:numId w:val="2"/>
        </w:numPr>
        <w:spacing w:after="40" w:before="40"/>
      </w:pPr>
      <w:r>
        <w:rPr>
          <w:rFonts w:ascii="Arial" w:cs="Arial" w:eastAsia="Arial" w:hAnsi="Arial"/>
          <w:sz w:val="22"/>
          <w:szCs w:val="22"/>
        </w:rPr>
        <w:t xml:space="preserve">Perinatal anxiety: 15–20% antenatal; 11–21% postnatal; frequently co-occurs with depression; often under-screened</w:t>
      </w:r>
    </w:p>
    <w:p>
      <w:pPr>
        <w:pStyle w:val="ListParagraph"/>
        <w:numPr>
          <w:ilvl w:val="0"/>
          <w:numId w:val="2"/>
        </w:numPr>
        <w:spacing w:after="40" w:before="40"/>
      </w:pPr>
      <w:r>
        <w:rPr>
          <w:rFonts w:ascii="Arial" w:cs="Arial" w:eastAsia="Arial" w:hAnsi="Arial"/>
          <w:sz w:val="22"/>
          <w:szCs w:val="22"/>
        </w:rPr>
        <w:t xml:space="preserve">Baby blues vs PPD: Baby blues affect 70–80%; peak days 3–5; resolve by 2 weeks; hormonal, self-limiting. PPD persists beyond 2 weeks or presents after 2 weeks; meets clinical criteria for major depression; requires treatment</w:t>
      </w:r>
    </w:p>
    <w:p>
      <w:pPr>
        <w:pStyle w:val="ListParagraph"/>
        <w:numPr>
          <w:ilvl w:val="0"/>
          <w:numId w:val="2"/>
        </w:numPr>
        <w:spacing w:after="40" w:before="40"/>
      </w:pPr>
      <w:r>
        <w:rPr>
          <w:rFonts w:ascii="Arial" w:cs="Arial" w:eastAsia="Arial" w:hAnsi="Arial"/>
          <w:sz w:val="22"/>
          <w:szCs w:val="22"/>
        </w:rPr>
        <w:t xml:space="preserve">Postpartum psychosis: 1–2 per 1,000 births; psychiatric emergency; onset typically within first 2 weeks; confusion, hallucinations, delusions; associated with bipolar disorder; requires immediate emergency evaluation</w:t>
      </w:r>
    </w:p>
    <w:p>
      <w:pPr>
        <w:pStyle w:val="ListParagraph"/>
        <w:numPr>
          <w:ilvl w:val="0"/>
          <w:numId w:val="2"/>
        </w:numPr>
        <w:spacing w:after="40" w:before="40"/>
      </w:pPr>
      <w:r>
        <w:rPr>
          <w:rFonts w:ascii="Arial" w:cs="Arial" w:eastAsia="Arial" w:hAnsi="Arial"/>
          <w:sz w:val="22"/>
          <w:szCs w:val="22"/>
        </w:rPr>
        <w:t xml:space="preserve">Perinatal OCD: Intrusive thoughts (often about harming the baby) are ego-dystonic — they horrify the person having them and do NOT indicate intent or dangerousness; highly responsive to CBT/ERP; ACOG CPG #4 and PSI specifically address this distinction</w:t>
      </w:r>
    </w:p>
    <w:p>
      <w:pPr>
        <w:pStyle w:val="ListParagraph"/>
        <w:numPr>
          <w:ilvl w:val="0"/>
          <w:numId w:val="2"/>
        </w:numPr>
        <w:spacing w:after="40" w:before="40"/>
      </w:pPr>
      <w:r>
        <w:rPr>
          <w:rFonts w:ascii="Arial" w:cs="Arial" w:eastAsia="Arial" w:hAnsi="Arial"/>
          <w:sz w:val="22"/>
          <w:szCs w:val="22"/>
        </w:rPr>
        <w:t xml:space="preserve">Perinatal PTSD: 3–4% general population; up to 18% following traumatic birth; associated with emergency procedures, NICU admission, prior trauma; treated with trauma-focused CBT or EMDR</w:t>
      </w:r>
    </w:p>
    <w:p>
      <w:pPr>
        <w:pStyle w:val="ListParagraph"/>
        <w:numPr>
          <w:ilvl w:val="0"/>
          <w:numId w:val="2"/>
        </w:numPr>
        <w:spacing w:after="40" w:before="40"/>
      </w:pPr>
      <w:r>
        <w:rPr>
          <w:rFonts w:ascii="Arial" w:cs="Arial" w:eastAsia="Arial" w:hAnsi="Arial"/>
          <w:sz w:val="22"/>
          <w:szCs w:val="22"/>
        </w:rPr>
        <w:t xml:space="preserve">Paternal perinatal mental health: 5–10% of fathers experience perinatal depression; 5–15% experience perinatal anxiety; peak 3–6 months postpartum; MMHLA Fact Sheet (2023)</w:t>
      </w:r>
    </w:p>
    <w:p>
      <w:pPr>
        <w:pStyle w:val="ListParagraph"/>
        <w:numPr>
          <w:ilvl w:val="0"/>
          <w:numId w:val="2"/>
        </w:numPr>
        <w:spacing w:after="40" w:before="40"/>
      </w:pPr>
      <w:r>
        <w:rPr>
          <w:rFonts w:ascii="Arial" w:cs="Arial" w:eastAsia="Arial" w:hAnsi="Arial"/>
          <w:sz w:val="22"/>
          <w:szCs w:val="22"/>
        </w:rPr>
        <w:t xml:space="preserve">Suicide and overdose: In several U.S. states, suicide and opioid overdose are the leading causes of maternal death; overdose risk INCREASES throughout the postpartum period (Contemporary OB/GYN)</w:t>
      </w:r>
    </w:p>
    <w:p>
      <w:pPr>
        <w:pStyle w:val="ListParagraph"/>
        <w:numPr>
          <w:ilvl w:val="0"/>
          <w:numId w:val="2"/>
        </w:numPr>
        <w:spacing w:after="40" w:before="40"/>
      </w:pPr>
      <w:r>
        <w:rPr>
          <w:rFonts w:ascii="Arial" w:cs="Arial" w:eastAsia="Arial" w:hAnsi="Arial"/>
          <w:sz w:val="22"/>
          <w:szCs w:val="22"/>
        </w:rPr>
        <w:t xml:space="preserve">Matrescence context: The profound bio-psycho-social-political-spiritual transition of becoming a mother (coined Dana Raphael, 1973; revived Aurelie Athan PhD, Columbia; popularised Alexandra Sacks MD) produces identity disruption, ambivalence, and loss that are normal features of new parenthood — distinct from but often co-occurring with clinical PMADs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Validated screening tools</w:t>
      </w:r>
    </w:p>
    <w:p>
      <w:pPr>
        <w:pStyle w:val="ListParagraph"/>
        <w:numPr>
          <w:ilvl w:val="0"/>
          <w:numId w:val="2"/>
        </w:numPr>
        <w:spacing w:after="40" w:before="40"/>
      </w:pPr>
      <w:r>
        <w:rPr>
          <w:rFonts w:ascii="Arial" w:cs="Arial" w:eastAsia="Arial" w:hAnsi="Arial"/>
          <w:sz w:val="22"/>
          <w:szCs w:val="22"/>
        </w:rPr>
        <w:t xml:space="preserve">Edinburgh Postnatal Depression Scale (EPDS): 10-item; cutoff typically 10 or 13; most widely validated; endorsed by ACOG CPG #4, USPSTF, and AAP</w:t>
      </w:r>
    </w:p>
    <w:p>
      <w:pPr>
        <w:pStyle w:val="ListParagraph"/>
        <w:numPr>
          <w:ilvl w:val="0"/>
          <w:numId w:val="2"/>
        </w:numPr>
        <w:spacing w:after="40" w:before="40"/>
      </w:pPr>
      <w:r>
        <w:rPr>
          <w:rFonts w:ascii="Arial" w:cs="Arial" w:eastAsia="Arial" w:hAnsi="Arial"/>
          <w:sz w:val="22"/>
          <w:szCs w:val="22"/>
        </w:rPr>
        <w:t xml:space="preserve">PHQ-9 / PHQ-4: General depression/anxiety screen; endorsed by USPSTF and ACOG as alternatives</w:t>
      </w:r>
    </w:p>
    <w:p>
      <w:pPr>
        <w:pStyle w:val="ListParagraph"/>
        <w:numPr>
          <w:ilvl w:val="0"/>
          <w:numId w:val="2"/>
        </w:numPr>
        <w:spacing w:after="40" w:before="40"/>
      </w:pPr>
      <w:r>
        <w:rPr>
          <w:rFonts w:ascii="Arial" w:cs="Arial" w:eastAsia="Arial" w:hAnsi="Arial"/>
          <w:sz w:val="22"/>
          <w:szCs w:val="22"/>
        </w:rPr>
        <w:t xml:space="preserve">GAD-7: Anxiety screen; ACOG CPG #4 recommends anxiety screening alongside depression screening</w:t>
      </w:r>
    </w:p>
    <w:p>
      <w:pPr>
        <w:pStyle w:val="ListParagraph"/>
        <w:numPr>
          <w:ilvl w:val="0"/>
          <w:numId w:val="2"/>
        </w:numPr>
        <w:spacing w:after="40" w:before="40"/>
      </w:pPr>
      <w:r>
        <w:rPr>
          <w:rFonts w:ascii="Arial" w:cs="Arial" w:eastAsia="Arial" w:hAnsi="Arial"/>
          <w:sz w:val="22"/>
          <w:szCs w:val="22"/>
        </w:rPr>
        <w:t xml:space="preserve">Whooley Questions / PHQ-2: Two-question ultra-brief screen; positive result should trigger full instrument</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Treatment: guideline-specified options</w:t>
      </w:r>
    </w:p>
    <w:p>
      <w:pPr>
        <w:spacing w:after="100" w:before="60"/>
      </w:pPr>
      <w:r>
        <w:rPr>
          <w:rFonts w:ascii="Arial" w:cs="Arial" w:eastAsia="Arial" w:hAnsi="Arial"/>
          <w:color w:val="444444"/>
          <w:sz w:val="22"/>
          <w:szCs w:val="22"/>
        </w:rPr>
        <w:t xml:space="preserve">Primary authority: ACOG CPG #5 (2023) on treatment and management of perinatal mental health conditions.</w:t>
      </w:r>
    </w:p>
    <w:p>
      <w:pPr>
        <w:pStyle w:val="ListParagraph"/>
        <w:numPr>
          <w:ilvl w:val="0"/>
          <w:numId w:val="2"/>
        </w:numPr>
        <w:spacing w:after="40" w:before="40"/>
      </w:pPr>
      <w:r>
        <w:rPr>
          <w:rFonts w:ascii="Arial" w:cs="Arial" w:eastAsia="Arial" w:hAnsi="Arial"/>
          <w:sz w:val="22"/>
          <w:szCs w:val="22"/>
        </w:rPr>
        <w:t xml:space="preserve">First-line for mild-moderate: Psychotherapy (CBT, IPT); ACOG CPG #5 recommends specifically</w:t>
      </w:r>
    </w:p>
    <w:p>
      <w:pPr>
        <w:pStyle w:val="ListParagraph"/>
        <w:numPr>
          <w:ilvl w:val="0"/>
          <w:numId w:val="2"/>
        </w:numPr>
        <w:spacing w:after="40" w:before="40"/>
      </w:pPr>
      <w:r>
        <w:rPr>
          <w:rFonts w:ascii="Arial" w:cs="Arial" w:eastAsia="Arial" w:hAnsi="Arial"/>
          <w:sz w:val="22"/>
          <w:szCs w:val="22"/>
        </w:rPr>
        <w:t xml:space="preserve">SSRIs as first-line pharmacotherapy: Sertraline has most data; drug-specific guidance in CPG #5; breastfeeding compatibility addressed (most SSRIs compatible; see LactMed)</w:t>
      </w:r>
    </w:p>
    <w:p>
      <w:pPr>
        <w:pStyle w:val="ListParagraph"/>
        <w:numPr>
          <w:ilvl w:val="0"/>
          <w:numId w:val="2"/>
        </w:numPr>
        <w:spacing w:after="40" w:before="40"/>
      </w:pPr>
      <w:r>
        <w:rPr>
          <w:rFonts w:ascii="Arial" w:cs="Arial" w:eastAsia="Arial" w:hAnsi="Arial"/>
          <w:sz w:val="22"/>
          <w:szCs w:val="22"/>
        </w:rPr>
        <w:t xml:space="preserve">Zuranolone (Zurzuvae, 2023 FDA approval): First oral medication specifically FDA-approved for PPD; 14-day oral course; ACOG CPG #5 addresses</w:t>
      </w:r>
    </w:p>
    <w:p>
      <w:pPr>
        <w:pStyle w:val="ListParagraph"/>
        <w:numPr>
          <w:ilvl w:val="0"/>
          <w:numId w:val="2"/>
        </w:numPr>
        <w:spacing w:after="40" w:before="40"/>
      </w:pPr>
      <w:r>
        <w:rPr>
          <w:rFonts w:ascii="Arial" w:cs="Arial" w:eastAsia="Arial" w:hAnsi="Arial"/>
          <w:sz w:val="22"/>
          <w:szCs w:val="22"/>
        </w:rPr>
        <w:t xml:space="preserve">Brexanolone (Zulresso, 2019 FDA approval): IV infusion; both PPD-specific medications represent a new treatment category</w:t>
      </w:r>
    </w:p>
    <w:p>
      <w:pPr>
        <w:pStyle w:val="ListParagraph"/>
        <w:numPr>
          <w:ilvl w:val="0"/>
          <w:numId w:val="2"/>
        </w:numPr>
        <w:spacing w:after="40" w:before="40"/>
      </w:pPr>
      <w:r>
        <w:rPr>
          <w:rFonts w:ascii="Arial" w:cs="Arial" w:eastAsia="Arial" w:hAnsi="Arial"/>
          <w:sz w:val="22"/>
          <w:szCs w:val="22"/>
        </w:rPr>
        <w:t xml:space="preserve">HRSA National Maternal Mental Health Hotline: 1-833-TLC-MAMA; 24/7; 60+ languages; licensed clinicians + peer specialists</w:t>
      </w:r>
    </w:p>
    <w:p>
      <w:pPr>
        <w:pStyle w:val="ListParagraph"/>
        <w:numPr>
          <w:ilvl w:val="0"/>
          <w:numId w:val="2"/>
        </w:numPr>
        <w:spacing w:after="40" w:before="40"/>
      </w:pPr>
      <w:r>
        <w:rPr>
          <w:rFonts w:ascii="Arial" w:cs="Arial" w:eastAsia="Arial" w:hAnsi="Arial"/>
          <w:sz w:val="22"/>
          <w:szCs w:val="22"/>
        </w:rPr>
        <w:t xml:space="preserve">PSI (Postpartum Support International): Helpline 1-800-944-4773; provider directory; peer support groups; endorsed in ACOG educational materials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Patient barriers to mental health help-seeking</w:t>
      </w:r>
    </w:p>
    <w:p>
      <w:pPr>
        <w:pStyle w:val="ListParagraph"/>
        <w:numPr>
          <w:ilvl w:val="0"/>
          <w:numId w:val="2"/>
        </w:numPr>
        <w:spacing w:after="40" w:before="40"/>
      </w:pPr>
      <w:r>
        <w:rPr>
          <w:rFonts w:ascii="Arial" w:cs="Arial" w:eastAsia="Arial" w:hAnsi="Arial"/>
          <w:sz w:val="22"/>
          <w:szCs w:val="22"/>
        </w:rPr>
        <w:t xml:space="preserve">Myth acceptance: Documented in qualitative SR as the most significant help-seeking barrier — rendering women unable to recognise PPD symptoms (PubMed qualitative SR)</w:t>
      </w:r>
    </w:p>
    <w:p>
      <w:pPr>
        <w:pStyle w:val="ListParagraph"/>
        <w:numPr>
          <w:ilvl w:val="0"/>
          <w:numId w:val="2"/>
        </w:numPr>
        <w:spacing w:after="40" w:before="40"/>
      </w:pPr>
      <w:r>
        <w:rPr>
          <w:rFonts w:ascii="Arial" w:cs="Arial" w:eastAsia="Arial" w:hAnsi="Arial"/>
          <w:sz w:val="22"/>
          <w:szCs w:val="22"/>
        </w:rPr>
        <w:t xml:space="preserve">Fear of CPS: Pervasive in low-income and minority communities; qualitative study (Liddell et al., Women's Reprod Health, 2025; n=39 interviews) — fear that disclosing mental health symptoms will result in child removal</w:t>
      </w:r>
    </w:p>
    <w:p>
      <w:pPr>
        <w:pStyle w:val="ListParagraph"/>
        <w:numPr>
          <w:ilvl w:val="0"/>
          <w:numId w:val="2"/>
        </w:numPr>
        <w:spacing w:after="40" w:before="40"/>
      </w:pPr>
      <w:r>
        <w:rPr>
          <w:rFonts w:ascii="Arial" w:cs="Arial" w:eastAsia="Arial" w:hAnsi="Arial"/>
          <w:sz w:val="22"/>
          <w:szCs w:val="22"/>
        </w:rPr>
        <w:t xml:space="preserve">Medication concerns: Fear of effects on fetus or breastfed infant; many women discontinue psychiatric medications in pregnancy without consultation, greatly increasing relapse risk</w:t>
      </w:r>
    </w:p>
    <w:p>
      <w:pPr>
        <w:pStyle w:val="ListParagraph"/>
        <w:numPr>
          <w:ilvl w:val="0"/>
          <w:numId w:val="2"/>
        </w:numPr>
        <w:spacing w:after="40" w:before="40"/>
      </w:pPr>
      <w:r>
        <w:rPr>
          <w:rFonts w:ascii="Arial" w:cs="Arial" w:eastAsia="Arial" w:hAnsi="Arial"/>
          <w:sz w:val="22"/>
          <w:szCs w:val="22"/>
        </w:rPr>
        <w:t xml:space="preserve">Stigma: Normalised in the United States; more pronounced in specific cultural communities; the 'strong Black woman' schema (Watson &amp; Hunter, 2016) specifically suppresses help-seeking in Black women</w:t>
      </w:r>
    </w:p>
    <w:p>
      <w:pPr>
        <w:pStyle w:val="ListParagraph"/>
        <w:numPr>
          <w:ilvl w:val="0"/>
          <w:numId w:val="2"/>
        </w:numPr>
        <w:spacing w:after="40" w:before="40"/>
      </w:pPr>
      <w:r>
        <w:rPr>
          <w:rFonts w:ascii="Arial" w:cs="Arial" w:eastAsia="Arial" w:hAnsi="Arial"/>
          <w:sz w:val="22"/>
          <w:szCs w:val="22"/>
        </w:rPr>
        <w:t xml:space="preserve">Provider dismissal: Qualitative studies document providers minimising symptoms or failing to initiate screening conversations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1.6 Newborn and Infant Health Concerns</w:t>
      </w:r>
    </w:p>
    <w:p>
      <w:pPr>
        <w:spacing w:after="100" w:before="60"/>
      </w:pPr>
      <w:r>
        <w:rPr>
          <w:rFonts w:ascii="Arial" w:cs="Arial" w:eastAsia="Arial" w:hAnsi="Arial"/>
          <w:color w:val="444444"/>
          <w:sz w:val="22"/>
          <w:szCs w:val="22"/>
        </w:rPr>
        <w:t xml:space="preserve">Primary authority: AAP (Bright Futures, policy statements, HealthyChildren.org); AWHONN (neonatal nursing standards, Neonatal Nursing 8th Ed.); CDC (immunisation schedule); MedlinePlus (Infant and Newborn Care topic pages).</w:t>
      </w:r>
    </w:p>
    <w:p>
      <w:pPr>
        <w:pStyle w:val="ListParagraph"/>
        <w:numPr>
          <w:ilvl w:val="0"/>
          <w:numId w:val="2"/>
        </w:numPr>
        <w:spacing w:after="40" w:before="40"/>
      </w:pPr>
      <w:r>
        <w:rPr>
          <w:rFonts w:ascii="Arial" w:cs="Arial" w:eastAsia="Arial" w:hAnsi="Arial"/>
          <w:sz w:val="22"/>
          <w:szCs w:val="22"/>
        </w:rPr>
        <w:t xml:space="preserve">Safe sleep: AAP 2022 (updated 2025, based on 159 scientific studies): back-to-sleep every sleep; firm flat non-inclined surface; room-sharing without bed-sharing ideally first 6 months; no soft bedding, pillows, or positioners; breastfeeding; pacifier offer after BF established; avoid smoking, alcohol, cannabis</w:t>
      </w:r>
    </w:p>
    <w:p>
      <w:pPr>
        <w:pStyle w:val="ListParagraph"/>
        <w:numPr>
          <w:ilvl w:val="0"/>
          <w:numId w:val="2"/>
        </w:numPr>
        <w:spacing w:after="40" w:before="40"/>
      </w:pPr>
      <w:r>
        <w:rPr>
          <w:rFonts w:ascii="Arial" w:cs="Arial" w:eastAsia="Arial" w:hAnsi="Arial"/>
          <w:sz w:val="22"/>
          <w:szCs w:val="22"/>
        </w:rPr>
        <w:t xml:space="preserve">Feeding: AAP recommends exclusive human milk ~6 months; continuation through 12 months and beyond; formula is safe and nutritionally complete when breastfeeding not possible or chosen; combination feeding is an option</w:t>
      </w:r>
    </w:p>
    <w:p>
      <w:pPr>
        <w:pStyle w:val="ListParagraph"/>
        <w:numPr>
          <w:ilvl w:val="0"/>
          <w:numId w:val="2"/>
        </w:numPr>
        <w:spacing w:after="40" w:before="40"/>
      </w:pPr>
      <w:r>
        <w:rPr>
          <w:rFonts w:ascii="Arial" w:cs="Arial" w:eastAsia="Arial" w:hAnsi="Arial"/>
          <w:sz w:val="22"/>
          <w:szCs w:val="22"/>
        </w:rPr>
        <w:t xml:space="preserve">Developmental milestones: AAP/CDC updated milestone checklists (2022 revision); 'Learn the Signs. Act Early.' campaign</w:t>
      </w:r>
    </w:p>
    <w:p>
      <w:pPr>
        <w:pStyle w:val="ListParagraph"/>
        <w:numPr>
          <w:ilvl w:val="0"/>
          <w:numId w:val="2"/>
        </w:numPr>
        <w:spacing w:after="40" w:before="40"/>
      </w:pPr>
      <w:r>
        <w:rPr>
          <w:rFonts w:ascii="Arial" w:cs="Arial" w:eastAsia="Arial" w:hAnsi="Arial"/>
          <w:sz w:val="22"/>
          <w:szCs w:val="22"/>
        </w:rPr>
        <w:t xml:space="preserve">Vaccination: ACIP/CDC/AAP recommended immunisation schedule; vaccine-hesitancy specific concerns addressed by ACOG, ACNM, and AAP through patient-facing educational materials</w:t>
      </w:r>
    </w:p>
    <w:p>
      <w:pPr>
        <w:pStyle w:val="ListParagraph"/>
        <w:numPr>
          <w:ilvl w:val="0"/>
          <w:numId w:val="2"/>
        </w:numPr>
        <w:spacing w:after="40" w:before="40"/>
      </w:pPr>
      <w:r>
        <w:rPr>
          <w:rFonts w:ascii="Arial" w:cs="Arial" w:eastAsia="Arial" w:hAnsi="Arial"/>
          <w:sz w:val="22"/>
          <w:szCs w:val="22"/>
        </w:rPr>
        <w:t xml:space="preserve">Neonatal hyperbilirubinemia: AAP CPG (2022 update); AWHONN evidence-based guideline; jaundice is common and usually benign but severe hyperbilirubinemia is an emergency</w:t>
      </w:r>
    </w:p>
    <w:p>
      <w:pPr>
        <w:pStyle w:val="ListParagraph"/>
        <w:numPr>
          <w:ilvl w:val="0"/>
          <w:numId w:val="2"/>
        </w:numPr>
        <w:spacing w:after="40" w:before="40"/>
      </w:pPr>
      <w:r>
        <w:rPr>
          <w:rFonts w:ascii="Arial" w:cs="Arial" w:eastAsia="Arial" w:hAnsi="Arial"/>
          <w:sz w:val="22"/>
          <w:szCs w:val="22"/>
        </w:rPr>
        <w:t xml:space="preserve">Neonatal abstinence syndrome (NAS/NOWS): AAP and SMFM recommend Eat, Sleep, Console (ESC) approach over Finnegan-scale-driven morphine use; significant recent practice change</w:t>
      </w:r>
    </w:p>
    <w:p>
      <w:pPr>
        <w:pStyle w:val="ListParagraph"/>
        <w:numPr>
          <w:ilvl w:val="0"/>
          <w:numId w:val="2"/>
        </w:numPr>
        <w:spacing w:after="40" w:before="40"/>
      </w:pPr>
      <w:r>
        <w:rPr>
          <w:rFonts w:ascii="Arial" w:cs="Arial" w:eastAsia="Arial" w:hAnsi="Arial"/>
          <w:sz w:val="22"/>
          <w:szCs w:val="22"/>
        </w:rPr>
        <w:t xml:space="preserve">Late preterm infants (34–6/7 to 36–6/7 weeks): AWHONN evidence-based guideline; AAP clinical report; higher risk than term infants for feeding difficulties, hypoglycaemia, hypothermia, and readmission</w:t>
      </w:r>
    </w:p>
    <w:p>
      <w:pPr>
        <w:pStyle w:val="ListParagraph"/>
        <w:numPr>
          <w:ilvl w:val="0"/>
          <w:numId w:val="2"/>
        </w:numPr>
        <w:spacing w:after="40" w:before="40"/>
      </w:pPr>
      <w:r>
        <w:rPr>
          <w:rFonts w:ascii="Arial" w:cs="Arial" w:eastAsia="Arial" w:hAnsi="Arial"/>
          <w:sz w:val="22"/>
          <w:szCs w:val="22"/>
        </w:rPr>
        <w:t xml:space="preserve">Newborn screening: State metabolic screening panels; AAP Bright Futures; MedlinePlus Newborn Screening page; hearing screening (JCIH recommendations integrated into state programmes)</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2: Clinical Encounters &amp; Care Engagement</w:t>
      </w:r>
    </w:p>
    <w:p>
      <w:pPr>
        <w:shd w:fill="D6E4F7" w:val="clear"/>
        <w:spacing w:after="120" w:before="100"/>
        <w:ind w:left="240" w:right="240"/>
      </w:pPr>
      <w:r>
        <w:rPr>
          <w:rFonts w:ascii="Arial" w:cs="Arial" w:eastAsia="Arial" w:hAnsi="Arial"/>
          <w:color w:val="1B3A6B"/>
          <w:sz w:val="21"/>
          <w:szCs w:val="21"/>
        </w:rPr>
        <w:t xml:space="preserve">This domain covers the evidence-based landscape of how perinatal people engage with formal healthcare — prenatal visits, intrapartum care, postpartum follow-up, screening, mental health integration, and the structural and equity-related factors that shape care quality. It covers both what good care looks like per guideline standards and what patients actually experience in clinical encounters.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2.1 Prenatal Care Structure</w:t>
      </w:r>
    </w:p>
    <w:p>
      <w:pPr>
        <w:pStyle w:val="Heading3"/>
        <w:spacing w:after="80" w:before="260"/>
      </w:pPr>
      <w:r>
        <w:rPr>
          <w:rFonts w:ascii="Arial" w:cs="Arial" w:eastAsia="Arial" w:hAnsi="Arial"/>
          <w:b/>
          <w:bCs/>
          <w:color w:val="444444"/>
          <w:sz w:val="24"/>
          <w:szCs w:val="24"/>
        </w:rPr>
        <w:t xml:space="preserve">Moving beyond the 12–14 visit schedule</w:t>
      </w:r>
    </w:p>
    <w:p>
      <w:pPr>
        <w:spacing w:after="100" w:before="60"/>
      </w:pPr>
      <w:r>
        <w:rPr>
          <w:rFonts w:ascii="Arial" w:cs="Arial" w:eastAsia="Arial" w:hAnsi="Arial"/>
          <w:color w:val="444444"/>
          <w:sz w:val="22"/>
          <w:szCs w:val="22"/>
        </w:rPr>
        <w:t xml:space="preserve">The 2025 ACOG PATH (Tailored Prenatal Care Delivery for Pregnant Individuals) framework is the most current authoritative revision to prenatal care structure. It explicitly acknowledges that the traditional 12–14 visit schedule was established nearly a century ago without evidence linking specific visit number to outcomes. Individual, risk-stratified schedules with telehealth integration are recommended.</w:t>
      </w:r>
    </w:p>
    <w:p>
      <w:pPr>
        <w:pStyle w:val="ListParagraph"/>
        <w:numPr>
          <w:ilvl w:val="0"/>
          <w:numId w:val="2"/>
        </w:numPr>
        <w:spacing w:after="40" w:before="40"/>
      </w:pPr>
      <w:r>
        <w:rPr>
          <w:rFonts w:ascii="Arial" w:cs="Arial" w:eastAsia="Arial" w:hAnsi="Arial"/>
          <w:sz w:val="22"/>
          <w:szCs w:val="22"/>
        </w:rPr>
        <w:t xml:space="preserve">PATH 2025: SDoH screening before 10 weeks; risk stratification; telehealth integration; flexible visit frequency; shared decision-making throughout</w:t>
      </w:r>
    </w:p>
    <w:p>
      <w:pPr>
        <w:pStyle w:val="ListParagraph"/>
        <w:numPr>
          <w:ilvl w:val="0"/>
          <w:numId w:val="2"/>
        </w:numPr>
        <w:spacing w:after="40" w:before="40"/>
      </w:pPr>
      <w:r>
        <w:rPr>
          <w:rFonts w:ascii="Arial" w:cs="Arial" w:eastAsia="Arial" w:hAnsi="Arial"/>
          <w:sz w:val="22"/>
          <w:szCs w:val="22"/>
        </w:rPr>
        <w:t xml:space="preserve">ACNM: Position statement supporting midwifery-led continuity-of-care models; evidence that continuity of carer improves outcomes</w:t>
      </w:r>
    </w:p>
    <w:p>
      <w:pPr>
        <w:pStyle w:val="ListParagraph"/>
        <w:numPr>
          <w:ilvl w:val="0"/>
          <w:numId w:val="2"/>
        </w:numPr>
        <w:spacing w:after="40" w:before="40"/>
      </w:pPr>
      <w:r>
        <w:rPr>
          <w:rFonts w:ascii="Arial" w:cs="Arial" w:eastAsia="Arial" w:hAnsi="Arial"/>
          <w:sz w:val="22"/>
          <w:szCs w:val="22"/>
        </w:rPr>
        <w:t xml:space="preserve">AWHONN Standards (9th Ed., 2024): SDoH assessment as a component of nursing assessment at every encounter</w:t>
      </w:r>
    </w:p>
    <w:p>
      <w:pPr>
        <w:pStyle w:val="ListParagraph"/>
        <w:numPr>
          <w:ilvl w:val="0"/>
          <w:numId w:val="2"/>
        </w:numPr>
        <w:spacing w:after="40" w:before="40"/>
      </w:pPr>
      <w:r>
        <w:rPr>
          <w:rFonts w:ascii="Arial" w:cs="Arial" w:eastAsia="Arial" w:hAnsi="Arial"/>
          <w:sz w:val="22"/>
          <w:szCs w:val="22"/>
        </w:rPr>
        <w:t xml:space="preserve">MHQP 2024 Perinatal Preventive Care Guidelines: Operationalised visit content checklists integrating ACOG, AAP, USPSTF, and CDC guidance</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Visit content: evidence-based components</w:t>
      </w:r>
    </w:p>
    <w:p>
      <w:pPr>
        <w:pStyle w:val="ListParagraph"/>
        <w:numPr>
          <w:ilvl w:val="0"/>
          <w:numId w:val="2"/>
        </w:numPr>
        <w:spacing w:after="40" w:before="40"/>
      </w:pPr>
      <w:r>
        <w:rPr>
          <w:rFonts w:ascii="Arial" w:cs="Arial" w:eastAsia="Arial" w:hAnsi="Arial"/>
          <w:sz w:val="22"/>
          <w:szCs w:val="22"/>
        </w:rPr>
        <w:t xml:space="preserve">Mental health screening: ACOG CPG #4 (2023) specifies at least once in prenatal period and postpartum; USPSTF Grade B; AAP recommends at well-baby visits postpartum</w:t>
      </w:r>
    </w:p>
    <w:p>
      <w:pPr>
        <w:pStyle w:val="ListParagraph"/>
        <w:numPr>
          <w:ilvl w:val="0"/>
          <w:numId w:val="2"/>
        </w:numPr>
        <w:spacing w:after="40" w:before="40"/>
      </w:pPr>
      <w:r>
        <w:rPr>
          <w:rFonts w:ascii="Arial" w:cs="Arial" w:eastAsia="Arial" w:hAnsi="Arial"/>
          <w:sz w:val="22"/>
          <w:szCs w:val="22"/>
        </w:rPr>
        <w:t xml:space="preserve">Substance use screening: ACOG, USPSTF, and AAP all recommend routine verbal screening (not biological specimen testing); validated tools: AUDIT-C (alcohol), CRAFFT (adolescents), 5Ps</w:t>
      </w:r>
    </w:p>
    <w:p>
      <w:pPr>
        <w:pStyle w:val="ListParagraph"/>
        <w:numPr>
          <w:ilvl w:val="0"/>
          <w:numId w:val="2"/>
        </w:numPr>
        <w:spacing w:after="40" w:before="40"/>
      </w:pPr>
      <w:r>
        <w:rPr>
          <w:rFonts w:ascii="Arial" w:cs="Arial" w:eastAsia="Arial" w:hAnsi="Arial"/>
          <w:sz w:val="22"/>
          <w:szCs w:val="22"/>
        </w:rPr>
        <w:t xml:space="preserve">SDoH screening: PRAPARE (Protocol for Responding to and Assessing Patients' Assets, Risks, and Experiences); HITS (for IPV); ACOG PATH 2025 recommends SDoH assessment before 10 weeks</w:t>
      </w:r>
    </w:p>
    <w:p>
      <w:pPr>
        <w:pStyle w:val="ListParagraph"/>
        <w:numPr>
          <w:ilvl w:val="0"/>
          <w:numId w:val="2"/>
        </w:numPr>
        <w:spacing w:after="40" w:before="40"/>
      </w:pPr>
      <w:r>
        <w:rPr>
          <w:rFonts w:ascii="Arial" w:cs="Arial" w:eastAsia="Arial" w:hAnsi="Arial"/>
          <w:sz w:val="22"/>
          <w:szCs w:val="22"/>
        </w:rPr>
        <w:t xml:space="preserve">Violence screening: ACOG endorses universal screening for intimate partner violence in prenatal care</w:t>
      </w:r>
    </w:p>
    <w:p>
      <w:pPr>
        <w:pStyle w:val="ListParagraph"/>
        <w:numPr>
          <w:ilvl w:val="0"/>
          <w:numId w:val="2"/>
        </w:numPr>
        <w:spacing w:after="40" w:before="40"/>
      </w:pPr>
      <w:r>
        <w:rPr>
          <w:rFonts w:ascii="Arial" w:cs="Arial" w:eastAsia="Arial" w:hAnsi="Arial"/>
          <w:sz w:val="22"/>
          <w:szCs w:val="22"/>
        </w:rPr>
        <w:t xml:space="preserve">Oral health: ACOG and AHRQ both include dental care as a component of prenatal care; pregnancy gingivitis and periodontitis affect fetal outcomes</w:t>
      </w:r>
    </w:p>
    <w:p>
      <w:pPr>
        <w:pStyle w:val="ListParagraph"/>
        <w:numPr>
          <w:ilvl w:val="0"/>
          <w:numId w:val="2"/>
        </w:numPr>
        <w:spacing w:after="40" w:before="40"/>
      </w:pPr>
      <w:r>
        <w:rPr>
          <w:rFonts w:ascii="Arial" w:cs="Arial" w:eastAsia="Arial" w:hAnsi="Arial"/>
          <w:sz w:val="22"/>
          <w:szCs w:val="22"/>
        </w:rPr>
        <w:t xml:space="preserve">Anaemia: ACOG routine screening; iron-deficiency anaemia treatment to reduce preterm birth and low birthweight risk</w:t>
      </w:r>
    </w:p>
    <w:p>
      <w:pPr>
        <w:pStyle w:val="ListParagraph"/>
        <w:numPr>
          <w:ilvl w:val="0"/>
          <w:numId w:val="2"/>
        </w:numPr>
        <w:spacing w:after="40" w:before="40"/>
      </w:pPr>
      <w:r>
        <w:rPr>
          <w:rFonts w:ascii="Arial" w:cs="Arial" w:eastAsia="Arial" w:hAnsi="Arial"/>
          <w:sz w:val="22"/>
          <w:szCs w:val="22"/>
        </w:rPr>
        <w:t xml:space="preserve">Thyroid: ACOG does not recommend universal thyroid screening; screening in high-risk individuals (prior thyroid disease, family history, symptoms)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CenteringPregnancy and group prenatal care</w:t>
      </w:r>
    </w:p>
    <w:p>
      <w:pPr>
        <w:spacing w:after="100" w:before="60"/>
      </w:pPr>
      <w:r>
        <w:rPr>
          <w:rFonts w:ascii="Arial" w:cs="Arial" w:eastAsia="Arial" w:hAnsi="Arial"/>
          <w:color w:val="444444"/>
          <w:sz w:val="22"/>
          <w:szCs w:val="22"/>
        </w:rPr>
        <w:t xml:space="preserve">ACOG endorses group prenatal care through the PATH 2025 framework. ACNM has a position statement supporting midwifery-led group care. AWHONN supports group models for psychosocial outcomes. Key evidence:</w:t>
      </w:r>
    </w:p>
    <w:p>
      <w:pPr>
        <w:pStyle w:val="ListParagraph"/>
        <w:numPr>
          <w:ilvl w:val="0"/>
          <w:numId w:val="2"/>
        </w:numPr>
        <w:spacing w:after="40" w:before="40"/>
      </w:pPr>
      <w:r>
        <w:rPr>
          <w:rFonts w:ascii="Arial" w:cs="Arial" w:eastAsia="Arial" w:hAnsi="Arial"/>
          <w:sz w:val="22"/>
          <w:szCs w:val="22"/>
        </w:rPr>
        <w:t xml:space="preserve">Ickovics et al. (Obstet Gynecol, 2007; multi-site RCT): 33% reduction in preterm birth vs. individual care; greater benefit for Black women specifically</w:t>
      </w:r>
    </w:p>
    <w:p>
      <w:pPr>
        <w:pStyle w:val="ListParagraph"/>
        <w:numPr>
          <w:ilvl w:val="0"/>
          <w:numId w:val="2"/>
        </w:numPr>
        <w:spacing w:after="40" w:before="40"/>
      </w:pPr>
      <w:r>
        <w:rPr>
          <w:rFonts w:ascii="Arial" w:cs="Arial" w:eastAsia="Arial" w:hAnsi="Arial"/>
          <w:sz w:val="22"/>
          <w:szCs w:val="22"/>
        </w:rPr>
        <w:t xml:space="preserve">EleVATE GC (Health Equity, 2024): CenteringPregnancy outcomes for Black birthing people specifically; documents equity benefit</w:t>
      </w:r>
    </w:p>
    <w:p>
      <w:pPr>
        <w:pStyle w:val="ListParagraph"/>
        <w:numPr>
          <w:ilvl w:val="0"/>
          <w:numId w:val="2"/>
        </w:numPr>
        <w:spacing w:after="40" w:before="40"/>
      </w:pPr>
      <w:r>
        <w:rPr>
          <w:rFonts w:ascii="Arial" w:cs="Arial" w:eastAsia="Arial" w:hAnsi="Arial"/>
          <w:sz w:val="22"/>
          <w:szCs w:val="22"/>
        </w:rPr>
        <w:t xml:space="preserve">CenteringPregnancy is not a 'last resort' model; it is evidence-based for all risk levels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2.2 Shared Decision-Making and Respectful Maternity Care</w:t>
      </w:r>
    </w:p>
    <w:p>
      <w:pPr>
        <w:spacing w:after="100" w:before="60"/>
      </w:pPr>
      <w:r>
        <w:rPr>
          <w:rFonts w:ascii="Arial" w:cs="Arial" w:eastAsia="Arial" w:hAnsi="Arial"/>
          <w:color w:val="444444"/>
          <w:sz w:val="22"/>
          <w:szCs w:val="22"/>
        </w:rPr>
        <w:t xml:space="preserve">Primary authorities: ACOG Committee Opinion on Informed Consent and SDM (2021); AWHONN Respectful Maternity Care Evidence-Based CPG (JOGNN, 2022); ACNM philosophy and code of ethics; SMFM Consult Series #54 and #55 on maternal risk counselling.</w:t>
      </w:r>
    </w:p>
    <w:p>
      <w:pPr>
        <w:pStyle w:val="ListParagraph"/>
        <w:numPr>
          <w:ilvl w:val="0"/>
          <w:numId w:val="2"/>
        </w:numPr>
        <w:spacing w:after="40" w:before="40"/>
      </w:pPr>
      <w:r>
        <w:rPr>
          <w:rFonts w:ascii="Arial" w:cs="Arial" w:eastAsia="Arial" w:hAnsi="Arial"/>
          <w:sz w:val="22"/>
          <w:szCs w:val="22"/>
        </w:rPr>
        <w:t xml:space="preserve">ACOG SDM framework: Information sharing, deliberation, and decision that reflects patient values — not provider preferences; endorsed throughout ACOG CPGs</w:t>
      </w:r>
    </w:p>
    <w:p>
      <w:pPr>
        <w:pStyle w:val="ListParagraph"/>
        <w:numPr>
          <w:ilvl w:val="0"/>
          <w:numId w:val="2"/>
        </w:numPr>
        <w:spacing w:after="40" w:before="40"/>
      </w:pPr>
      <w:r>
        <w:rPr>
          <w:rFonts w:ascii="Arial" w:cs="Arial" w:eastAsia="Arial" w:hAnsi="Arial"/>
          <w:sz w:val="22"/>
          <w:szCs w:val="22"/>
        </w:rPr>
        <w:t xml:space="preserve">AWHONN RMC guideline: Defines and operationalises respectful maternity care as a standard of nursing practice; addresses obstetric violence and coercion</w:t>
      </w:r>
    </w:p>
    <w:p>
      <w:pPr>
        <w:pStyle w:val="ListParagraph"/>
        <w:numPr>
          <w:ilvl w:val="0"/>
          <w:numId w:val="2"/>
        </w:numPr>
        <w:spacing w:after="40" w:before="40"/>
      </w:pPr>
      <w:r>
        <w:rPr>
          <w:rFonts w:ascii="Arial" w:cs="Arial" w:eastAsia="Arial" w:hAnsi="Arial"/>
          <w:sz w:val="22"/>
          <w:szCs w:val="22"/>
        </w:rPr>
        <w:t xml:space="preserve">Person-centered maternity care: Prospective cohort (Attanasio &amp; Ranchoff, J Womens Health, 2022; n=3,000+): Lower person-centred care scores significantly associated with adverse postpartum outcomes</w:t>
      </w:r>
    </w:p>
    <w:p>
      <w:pPr>
        <w:pStyle w:val="ListParagraph"/>
        <w:numPr>
          <w:ilvl w:val="0"/>
          <w:numId w:val="2"/>
        </w:numPr>
        <w:spacing w:after="40" w:before="40"/>
      </w:pPr>
      <w:r>
        <w:rPr>
          <w:rFonts w:ascii="Arial" w:cs="Arial" w:eastAsia="Arial" w:hAnsi="Arial"/>
          <w:sz w:val="22"/>
          <w:szCs w:val="22"/>
        </w:rPr>
        <w:t xml:space="preserve">LGBTQ+ families: AWHONN Standards (2024) explicitly acknowledge diverse gender identities; ACNM inclusive language guidance; most perinatal research and care models inadequately address non-binary and trans birthing people</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2.3 Racial Equity and Clinical Bias in Perinatal Care</w:t>
      </w:r>
    </w:p>
    <w:p>
      <w:pPr>
        <w:spacing w:after="100" w:before="60"/>
      </w:pPr>
      <w:r>
        <w:rPr>
          <w:rFonts w:ascii="Arial" w:cs="Arial" w:eastAsia="Arial" w:hAnsi="Arial"/>
          <w:color w:val="444444"/>
          <w:sz w:val="22"/>
          <w:szCs w:val="22"/>
        </w:rPr>
        <w:t xml:space="preserve">A 2022 report summarising data from nine MMRCs found that &gt;80% of maternal deaths are preventable (CDC, ACOG). The gap between this preventability and actual outcomes is substantially explained by structural racism, implicit bias, and disparities in care quality.</w:t>
      </w:r>
    </w:p>
    <w:p>
      <w:pPr>
        <w:pStyle w:val="ListParagraph"/>
        <w:numPr>
          <w:ilvl w:val="0"/>
          <w:numId w:val="2"/>
        </w:numPr>
        <w:spacing w:after="40" w:before="40"/>
      </w:pPr>
      <w:r>
        <w:rPr>
          <w:rFonts w:ascii="Arial" w:cs="Arial" w:eastAsia="Arial" w:hAnsi="Arial"/>
          <w:sz w:val="22"/>
          <w:szCs w:val="22"/>
        </w:rPr>
        <w:t xml:space="preserve">Disparities data: Black women have 3x higher pregnancy-related mortality than white women (CDC PMSS); Native American/Alaska Native women face comparable or higher mortality; Asian and Latina women face specific unaddressed disparities</w:t>
      </w:r>
    </w:p>
    <w:p>
      <w:pPr>
        <w:pStyle w:val="ListParagraph"/>
        <w:numPr>
          <w:ilvl w:val="0"/>
          <w:numId w:val="2"/>
        </w:numPr>
        <w:spacing w:after="40" w:before="40"/>
      </w:pPr>
      <w:r>
        <w:rPr>
          <w:rFonts w:ascii="Arial" w:cs="Arial" w:eastAsia="Arial" w:hAnsi="Arial"/>
          <w:sz w:val="22"/>
          <w:szCs w:val="22"/>
        </w:rPr>
        <w:t xml:space="preserve">Implicit bias: ACOG CO on implicit bias; AWHONN position statement on racism and bias in maternity settings; California's Dignity in Pregnancy and Childbirth Act mandates IBT for perinatal clinicians</w:t>
      </w:r>
    </w:p>
    <w:p>
      <w:pPr>
        <w:pStyle w:val="ListParagraph"/>
        <w:numPr>
          <w:ilvl w:val="0"/>
          <w:numId w:val="2"/>
        </w:numPr>
        <w:spacing w:after="40" w:before="40"/>
      </w:pPr>
      <w:r>
        <w:rPr>
          <w:rFonts w:ascii="Arial" w:cs="Arial" w:eastAsia="Arial" w:hAnsi="Arial"/>
          <w:sz w:val="22"/>
          <w:szCs w:val="22"/>
        </w:rPr>
        <w:t xml:space="preserve">IBT evidence: Science Advances SR (2024; 77 studies): Most IBT trainings lack specificity; evidence for behavioural change from training alone is limited; institutional/protocol-level interventions are necessary alongside individual training</w:t>
      </w:r>
    </w:p>
    <w:p>
      <w:pPr>
        <w:pStyle w:val="ListParagraph"/>
        <w:numPr>
          <w:ilvl w:val="0"/>
          <w:numId w:val="2"/>
        </w:numPr>
        <w:spacing w:after="40" w:before="40"/>
      </w:pPr>
      <w:r>
        <w:rPr>
          <w:rFonts w:ascii="Arial" w:cs="Arial" w:eastAsia="Arial" w:hAnsi="Arial"/>
          <w:sz w:val="22"/>
          <w:szCs w:val="22"/>
        </w:rPr>
        <w:t xml:space="preserve">Racialized clinical algorithms: SMFM is developing race-neutral VBAC calculators; race-neutral algorithms validated in Canada and Sweden; ACOG guidance against race-correction in clinical tools</w:t>
      </w:r>
    </w:p>
    <w:p>
      <w:pPr>
        <w:pStyle w:val="ListParagraph"/>
        <w:numPr>
          <w:ilvl w:val="0"/>
          <w:numId w:val="2"/>
        </w:numPr>
        <w:spacing w:after="40" w:before="40"/>
      </w:pPr>
      <w:r>
        <w:rPr>
          <w:rFonts w:ascii="Arial" w:cs="Arial" w:eastAsia="Arial" w:hAnsi="Arial"/>
          <w:sz w:val="22"/>
          <w:szCs w:val="22"/>
        </w:rPr>
        <w:t xml:space="preserve">Medical gaslighting: JREHD Springer (2026) documents medical gaslighting — minimisation or dismissal of patient symptoms — as a structural mechanism for health inequity with documented disproportionate impact on marginalized perinatal patients</w:t>
      </w:r>
    </w:p>
    <w:p>
      <w:pPr>
        <w:pStyle w:val="ListParagraph"/>
        <w:numPr>
          <w:ilvl w:val="0"/>
          <w:numId w:val="2"/>
        </w:numPr>
        <w:spacing w:after="40" w:before="40"/>
      </w:pPr>
      <w:r>
        <w:rPr>
          <w:rFonts w:ascii="Arial" w:cs="Arial" w:eastAsia="Arial" w:hAnsi="Arial"/>
          <w:sz w:val="22"/>
          <w:szCs w:val="22"/>
        </w:rPr>
        <w:t xml:space="preserve">Pain assessment myth: Hoffman et al. (PNAS, 2016) — medical students/residents who endorsed false biological beliefs about race were more likely to under-rate Black patients' pain and under-prescribe analgesics; directly relevant to labour analgesia disparities</w:t>
      </w:r>
    </w:p>
    <w:p>
      <w:pPr>
        <w:pStyle w:val="ListParagraph"/>
        <w:numPr>
          <w:ilvl w:val="0"/>
          <w:numId w:val="2"/>
        </w:numPr>
        <w:spacing w:after="40" w:before="40"/>
      </w:pPr>
      <w:r>
        <w:rPr>
          <w:rFonts w:ascii="Arial" w:cs="Arial" w:eastAsia="Arial" w:hAnsi="Arial"/>
          <w:sz w:val="22"/>
          <w:szCs w:val="22"/>
        </w:rPr>
        <w:t xml:space="preserve">Structural racism: SR (Hailu et al., Health Place, 2022) — structural racism independently predicts adverse maternal outcomes even after controlling for socioeconomic factors and clinical comorbidities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2.4 Postpartum Clinical Encounters</w:t>
      </w:r>
    </w:p>
    <w:p>
      <w:pPr>
        <w:pStyle w:val="Heading3"/>
        <w:spacing w:after="80" w:before="260"/>
      </w:pPr>
      <w:r>
        <w:rPr>
          <w:rFonts w:ascii="Arial" w:cs="Arial" w:eastAsia="Arial" w:hAnsi="Arial"/>
          <w:b/>
          <w:bCs/>
          <w:color w:val="444444"/>
          <w:sz w:val="24"/>
          <w:szCs w:val="24"/>
        </w:rPr>
        <w:t xml:space="preserve">The broken postpartum care model</w:t>
      </w:r>
    </w:p>
    <w:p>
      <w:pPr>
        <w:spacing w:after="100" w:before="60"/>
      </w:pPr>
      <w:r>
        <w:rPr>
          <w:rFonts w:ascii="Arial" w:cs="Arial" w:eastAsia="Arial" w:hAnsi="Arial"/>
          <w:color w:val="444444"/>
          <w:sz w:val="22"/>
          <w:szCs w:val="22"/>
        </w:rPr>
        <w:t xml:space="preserve">AHRQ SR (2023): 65% of pregnancy-related deaths occur postpartum; care is often fragmented across maternal and paediatric providers with no single care provider addressing needs holistically. ACOG CO #736 formalises the fourth trimester framework to address this.</w:t>
      </w:r>
    </w:p>
    <w:p>
      <w:pPr>
        <w:pStyle w:val="ListParagraph"/>
        <w:numPr>
          <w:ilvl w:val="0"/>
          <w:numId w:val="2"/>
        </w:numPr>
        <w:spacing w:after="40" w:before="40"/>
      </w:pPr>
      <w:r>
        <w:rPr>
          <w:rFonts w:ascii="Arial" w:cs="Arial" w:eastAsia="Arial" w:hAnsi="Arial"/>
          <w:sz w:val="22"/>
          <w:szCs w:val="22"/>
        </w:rPr>
        <w:t xml:space="preserve">ACOG: Initial contact within 3 weeks; comprehensive visit by 12 weeks; risk-stratified follow-up (e.g., hypertensive disorders: BP within 3–10 days; GDM: glucose testing 4–12 weeks)</w:t>
      </w:r>
    </w:p>
    <w:p>
      <w:pPr>
        <w:pStyle w:val="ListParagraph"/>
        <w:numPr>
          <w:ilvl w:val="0"/>
          <w:numId w:val="2"/>
        </w:numPr>
        <w:spacing w:after="40" w:before="40"/>
      </w:pPr>
      <w:r>
        <w:rPr>
          <w:rFonts w:ascii="Arial" w:cs="Arial" w:eastAsia="Arial" w:hAnsi="Arial"/>
          <w:sz w:val="22"/>
          <w:szCs w:val="22"/>
        </w:rPr>
        <w:t xml:space="preserve">Medicaid extension: As of 2024, nearly all U.S. states have extended Medicaid coverage to 12 months postpartum (previously 60 days); linked to reduced mortality in covered populations</w:t>
      </w:r>
    </w:p>
    <w:p>
      <w:pPr>
        <w:pStyle w:val="ListParagraph"/>
        <w:numPr>
          <w:ilvl w:val="0"/>
          <w:numId w:val="2"/>
        </w:numPr>
        <w:spacing w:after="40" w:before="40"/>
      </w:pPr>
      <w:r>
        <w:rPr>
          <w:rFonts w:ascii="Arial" w:cs="Arial" w:eastAsia="Arial" w:hAnsi="Arial"/>
          <w:sz w:val="22"/>
          <w:szCs w:val="22"/>
        </w:rPr>
        <w:t xml:space="preserve">AAP: Maternal PPD screening at 1, 2, 4, and 6-month well-baby visits; positions the paediatric visit as a health touchpoint for the birthing parent</w:t>
      </w:r>
    </w:p>
    <w:p>
      <w:pPr>
        <w:pStyle w:val="ListParagraph"/>
        <w:numPr>
          <w:ilvl w:val="0"/>
          <w:numId w:val="2"/>
        </w:numPr>
        <w:spacing w:after="40" w:before="40"/>
      </w:pPr>
      <w:r>
        <w:rPr>
          <w:rFonts w:ascii="Arial" w:cs="Arial" w:eastAsia="Arial" w:hAnsi="Arial"/>
          <w:sz w:val="22"/>
          <w:szCs w:val="22"/>
        </w:rPr>
        <w:t xml:space="preserve">AWHONN Save Your Life: Evidence-based discharge education on maternal warning signs; standardised teaching tool endorsed for hospital discharge</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Postpartum contraception counselling in clinical encounters</w:t>
      </w:r>
    </w:p>
    <w:p>
      <w:pPr>
        <w:pStyle w:val="ListParagraph"/>
        <w:numPr>
          <w:ilvl w:val="0"/>
          <w:numId w:val="2"/>
        </w:numPr>
        <w:spacing w:after="40" w:before="40"/>
      </w:pPr>
      <w:r>
        <w:rPr>
          <w:rFonts w:ascii="Arial" w:cs="Arial" w:eastAsia="Arial" w:hAnsi="Arial"/>
          <w:sz w:val="22"/>
          <w:szCs w:val="22"/>
        </w:rPr>
        <w:t xml:space="preserve">ACOG/SMFM: Contraception counselling is a required component of postpartum care; consent for immediate postpartum contraception must be obtained antepartum (not during active labour)</w:t>
      </w:r>
    </w:p>
    <w:p>
      <w:pPr>
        <w:pStyle w:val="ListParagraph"/>
        <w:numPr>
          <w:ilvl w:val="0"/>
          <w:numId w:val="2"/>
        </w:numPr>
        <w:spacing w:after="40" w:before="40"/>
      </w:pPr>
      <w:r>
        <w:rPr>
          <w:rFonts w:ascii="Arial" w:cs="Arial" w:eastAsia="Arial" w:hAnsi="Arial"/>
          <w:sz w:val="22"/>
          <w:szCs w:val="22"/>
        </w:rPr>
        <w:t xml:space="preserve">SFP US MEC 2024: All providers should be familiar with eligibility criteria for postpartum contraception — many postpartum restrictions on combined hormonal contraceptives are not widely known</w:t>
      </w:r>
    </w:p>
    <w:p>
      <w:pPr>
        <w:pStyle w:val="ListParagraph"/>
        <w:numPr>
          <w:ilvl w:val="0"/>
          <w:numId w:val="2"/>
        </w:numPr>
        <w:spacing w:after="40" w:before="40"/>
      </w:pPr>
      <w:r>
        <w:rPr>
          <w:rFonts w:ascii="Arial" w:cs="Arial" w:eastAsia="Arial" w:hAnsi="Arial"/>
          <w:sz w:val="22"/>
          <w:szCs w:val="22"/>
        </w:rPr>
        <w:t xml:space="preserve">SMFM Consult #48: IPP LARC safety data and implementation guidance; Medicaid unbundling facilitates access</w:t>
      </w:r>
    </w:p>
    <w:p>
      <w:pPr>
        <w:pStyle w:val="ListParagraph"/>
        <w:numPr>
          <w:ilvl w:val="0"/>
          <w:numId w:val="2"/>
        </w:numPr>
        <w:spacing w:after="40" w:before="40"/>
      </w:pPr>
      <w:r>
        <w:rPr>
          <w:rFonts w:ascii="Arial" w:cs="Arial" w:eastAsia="Arial" w:hAnsi="Arial"/>
          <w:sz w:val="22"/>
          <w:szCs w:val="22"/>
        </w:rPr>
        <w:t xml:space="preserve">Access barriers: Patients who do not attend postpartum visits miss the traditional counselling window; prenatal integration is the evidence-based solution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Mental health integration in clinical encounters</w:t>
      </w:r>
    </w:p>
    <w:p>
      <w:pPr>
        <w:pStyle w:val="ListParagraph"/>
        <w:numPr>
          <w:ilvl w:val="0"/>
          <w:numId w:val="2"/>
        </w:numPr>
        <w:spacing w:after="40" w:before="40"/>
      </w:pPr>
      <w:r>
        <w:rPr>
          <w:rFonts w:ascii="Arial" w:cs="Arial" w:eastAsia="Arial" w:hAnsi="Arial"/>
          <w:sz w:val="22"/>
          <w:szCs w:val="22"/>
        </w:rPr>
        <w:t xml:space="preserve">ACOG CPG #4 (2023): Specifies screening at least once in prenatal period and postpartum using validated tools (EPDS, PHQ-9, GAD-7, Whooley); documents that only 25% of patients who completed screening had results discussed — a fundamental failure of the screening purpose</w:t>
      </w:r>
    </w:p>
    <w:p>
      <w:pPr>
        <w:pStyle w:val="ListParagraph"/>
        <w:numPr>
          <w:ilvl w:val="0"/>
          <w:numId w:val="2"/>
        </w:numPr>
        <w:spacing w:after="40" w:before="40"/>
      </w:pPr>
      <w:r>
        <w:rPr>
          <w:rFonts w:ascii="Arial" w:cs="Arial" w:eastAsia="Arial" w:hAnsi="Arial"/>
          <w:sz w:val="22"/>
          <w:szCs w:val="22"/>
        </w:rPr>
        <w:t xml:space="preserve">AAP: Maternal depression screening at 1, 2, 4, 6 months; recommends warm handoff to mental health services for positive screens</w:t>
      </w:r>
    </w:p>
    <w:p>
      <w:pPr>
        <w:pStyle w:val="ListParagraph"/>
        <w:numPr>
          <w:ilvl w:val="0"/>
          <w:numId w:val="2"/>
        </w:numPr>
        <w:spacing w:after="40" w:before="40"/>
      </w:pPr>
      <w:r>
        <w:rPr>
          <w:rFonts w:ascii="Arial" w:cs="Arial" w:eastAsia="Arial" w:hAnsi="Arial"/>
          <w:sz w:val="22"/>
          <w:szCs w:val="22"/>
        </w:rPr>
        <w:t xml:space="preserve">HRSA hotline: 1-833-TLC-MAMA; referral resource for providers; can be provided to patients at any point in perinatal care</w:t>
      </w:r>
    </w:p>
    <w:p>
      <w:pPr>
        <w:pStyle w:val="ListParagraph"/>
        <w:numPr>
          <w:ilvl w:val="0"/>
          <w:numId w:val="2"/>
        </w:numPr>
        <w:spacing w:after="40" w:before="40"/>
      </w:pPr>
      <w:r>
        <w:rPr>
          <w:rFonts w:ascii="Arial" w:cs="Arial" w:eastAsia="Arial" w:hAnsi="Arial"/>
          <w:sz w:val="22"/>
          <w:szCs w:val="22"/>
        </w:rPr>
        <w:t xml:space="preserve">SMFM and ACOG: Suicide and overdose are leading causes of maternal death in several states; behavioural health must be integrated into perinatal care, not siloed</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3: Social Support</w:t>
      </w:r>
    </w:p>
    <w:p>
      <w:pPr>
        <w:shd w:fill="D6E4F7" w:val="clear"/>
        <w:spacing w:after="120" w:before="100"/>
        <w:ind w:left="240" w:right="240"/>
      </w:pPr>
      <w:r>
        <w:rPr>
          <w:rFonts w:ascii="Arial" w:cs="Arial" w:eastAsia="Arial" w:hAnsi="Arial"/>
          <w:color w:val="1B3A6B"/>
          <w:sz w:val="21"/>
          <w:szCs w:val="21"/>
        </w:rPr>
        <w:t xml:space="preserve">Social support is one of the most powerful and modifiable determinants of perinatal mental health, physical recovery, breastfeeding success, and birth outcomes. A prospective cohort (Zyrek et al., Sci Rep, 2024; n=932) found that higher social support during pregnancy significantly reduces PPD risk. Research distinguishes four dimensions of social support: emotional (feeling cared for), instrumental (practical help), informational (guidance and advice), and appraisal (feedback for self-evaluation). ALL four dimensions independently predict better perinatal outcomes.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3.1 Social Support and Mental Health Outcomes</w:t>
      </w:r>
    </w:p>
    <w:p>
      <w:pPr>
        <w:pStyle w:val="ListParagraph"/>
        <w:numPr>
          <w:ilvl w:val="0"/>
          <w:numId w:val="2"/>
        </w:numPr>
        <w:spacing w:after="40" w:before="40"/>
      </w:pPr>
      <w:r>
        <w:rPr>
          <w:rFonts w:ascii="Arial" w:cs="Arial" w:eastAsia="Arial" w:hAnsi="Arial"/>
          <w:sz w:val="22"/>
          <w:szCs w:val="22"/>
        </w:rPr>
        <w:t xml:space="preserve">PPD and social support: Meta-analysis of 133 studies (O'Dea et al., 2023) — 19% of mothers report perinatal depression; social support is the most modifiable protective factor</w:t>
      </w:r>
    </w:p>
    <w:p>
      <w:pPr>
        <w:pStyle w:val="ListParagraph"/>
        <w:numPr>
          <w:ilvl w:val="0"/>
          <w:numId w:val="2"/>
        </w:numPr>
        <w:spacing w:after="40" w:before="40"/>
      </w:pPr>
      <w:r>
        <w:rPr>
          <w:rFonts w:ascii="Arial" w:cs="Arial" w:eastAsia="Arial" w:hAnsi="Arial"/>
          <w:sz w:val="22"/>
          <w:szCs w:val="22"/>
        </w:rPr>
        <w:t xml:space="preserve">Psychoeducation for PPD prevention (PMC Womens Health, 2024): Evidence-based psychoeducation includes 10 core components, of which 'dispelling myths and misconceptions to reduce stigma' is explicitly listed alongside aetiology, symptoms, treatments, and coping skills</w:t>
      </w:r>
    </w:p>
    <w:p>
      <w:pPr>
        <w:pStyle w:val="ListParagraph"/>
        <w:numPr>
          <w:ilvl w:val="0"/>
          <w:numId w:val="2"/>
        </w:numPr>
        <w:spacing w:after="40" w:before="40"/>
      </w:pPr>
      <w:r>
        <w:rPr>
          <w:rFonts w:ascii="Arial" w:cs="Arial" w:eastAsia="Arial" w:hAnsi="Arial"/>
          <w:sz w:val="22"/>
          <w:szCs w:val="22"/>
        </w:rPr>
        <w:t xml:space="preserve">Partner support: Loss of perceived partner support is a stronger predictor of PPD than obstetric complications in some studies; paternal mental health (5–10% of fathers experience perinatal depression) independently affects maternal outcomes</w:t>
      </w:r>
    </w:p>
    <w:p>
      <w:pPr>
        <w:pStyle w:val="ListParagraph"/>
        <w:numPr>
          <w:ilvl w:val="0"/>
          <w:numId w:val="2"/>
        </w:numPr>
        <w:spacing w:after="40" w:before="40"/>
      </w:pPr>
      <w:r>
        <w:rPr>
          <w:rFonts w:ascii="Arial" w:cs="Arial" w:eastAsia="Arial" w:hAnsi="Arial"/>
          <w:sz w:val="22"/>
          <w:szCs w:val="22"/>
        </w:rPr>
        <w:t xml:space="preserve">Social isolation: Among the most powerful predictors of PPD; fourth trimester is among the most socially isolated periods of adulthood for most Americans</w:t>
      </w:r>
    </w:p>
    <w:p>
      <w:pPr>
        <w:pStyle w:val="ListParagraph"/>
        <w:numPr>
          <w:ilvl w:val="0"/>
          <w:numId w:val="2"/>
        </w:numPr>
        <w:spacing w:after="40" w:before="40"/>
      </w:pPr>
      <w:r>
        <w:rPr>
          <w:rFonts w:ascii="Arial" w:cs="Arial" w:eastAsia="Arial" w:hAnsi="Arial"/>
          <w:sz w:val="22"/>
          <w:szCs w:val="22"/>
        </w:rPr>
        <w:t xml:space="preserve">Peer support (BMC Pregnancy &amp; Childbirth, 2022; qualitative, n=25 UK mothers): Peer support provides what professional services often cannot — validation through lived experience; functions as a bridge to formal care and standalone support for sub-threshold symptoms</w:t>
      </w:r>
    </w:p>
    <w:p>
      <w:pPr>
        <w:pStyle w:val="ListParagraph"/>
        <w:numPr>
          <w:ilvl w:val="0"/>
          <w:numId w:val="2"/>
        </w:numPr>
        <w:spacing w:after="40" w:before="40"/>
      </w:pPr>
      <w:r>
        <w:rPr>
          <w:rFonts w:ascii="Arial" w:cs="Arial" w:eastAsia="Arial" w:hAnsi="Arial"/>
          <w:sz w:val="22"/>
          <w:szCs w:val="22"/>
        </w:rPr>
        <w:t xml:space="preserve">PSI (Postpartum Support International): Primary peer support organisation endorsed by ACOG and AWHONN; helpline 1-800-944-4773; provider directory; peer support groups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3.2 Family, Partner, and Community Networks</w:t>
      </w:r>
    </w:p>
    <w:p>
      <w:pPr>
        <w:pStyle w:val="Heading3"/>
        <w:spacing w:after="80" w:before="260"/>
      </w:pPr>
      <w:r>
        <w:rPr>
          <w:rFonts w:ascii="Arial" w:cs="Arial" w:eastAsia="Arial" w:hAnsi="Arial"/>
          <w:b/>
          <w:bCs/>
          <w:color w:val="444444"/>
          <w:sz w:val="24"/>
          <w:szCs w:val="24"/>
        </w:rPr>
        <w:t xml:space="preserve">Partners and co-parents</w:t>
      </w:r>
    </w:p>
    <w:p>
      <w:pPr>
        <w:pStyle w:val="ListParagraph"/>
        <w:numPr>
          <w:ilvl w:val="0"/>
          <w:numId w:val="2"/>
        </w:numPr>
        <w:spacing w:after="40" w:before="40"/>
      </w:pPr>
      <w:r>
        <w:rPr>
          <w:rFonts w:ascii="Arial" w:cs="Arial" w:eastAsia="Arial" w:hAnsi="Arial"/>
          <w:sz w:val="22"/>
          <w:szCs w:val="22"/>
        </w:rPr>
        <w:t xml:space="preserve">Evidence (BMJ Open SR/meta-analysis, 2024): Partner/spousal discussion is independently associated with postpartum family planning uptake; involving partners in contraceptive counselling improves outcomes</w:t>
      </w:r>
    </w:p>
    <w:p>
      <w:pPr>
        <w:pStyle w:val="ListParagraph"/>
        <w:numPr>
          <w:ilvl w:val="0"/>
          <w:numId w:val="2"/>
        </w:numPr>
        <w:spacing w:after="40" w:before="40"/>
      </w:pPr>
      <w:r>
        <w:rPr>
          <w:rFonts w:ascii="Arial" w:cs="Arial" w:eastAsia="Arial" w:hAnsi="Arial"/>
          <w:sz w:val="22"/>
          <w:szCs w:val="22"/>
        </w:rPr>
        <w:t xml:space="preserve">ACNM and ACOG: Both acknowledge paternal perinatal mental health as a clinical concern; PSI provides partner-specific resources</w:t>
      </w:r>
    </w:p>
    <w:p>
      <w:pPr>
        <w:pStyle w:val="ListParagraph"/>
        <w:numPr>
          <w:ilvl w:val="0"/>
          <w:numId w:val="2"/>
        </w:numPr>
        <w:spacing w:after="40" w:before="40"/>
      </w:pPr>
      <w:r>
        <w:rPr>
          <w:rFonts w:ascii="Arial" w:cs="Arial" w:eastAsia="Arial" w:hAnsi="Arial"/>
          <w:sz w:val="22"/>
          <w:szCs w:val="22"/>
        </w:rPr>
        <w:t xml:space="preserve">Return of couple intimacy: Postpartum sexual health research (Current Sexual Health Reports, 2022) documents that partner communication about sexual changes is protective; discordant desire does not predict relationship distress when couples communicate openly</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Family networks: protective and misinformation-transmitting</w:t>
      </w:r>
    </w:p>
    <w:p>
      <w:pPr>
        <w:pStyle w:val="ListParagraph"/>
        <w:numPr>
          <w:ilvl w:val="0"/>
          <w:numId w:val="2"/>
        </w:numPr>
        <w:spacing w:after="40" w:before="40"/>
      </w:pPr>
      <w:r>
        <w:rPr>
          <w:rFonts w:ascii="Arial" w:cs="Arial" w:eastAsia="Arial" w:hAnsi="Arial"/>
          <w:sz w:val="22"/>
          <w:szCs w:val="22"/>
        </w:rPr>
        <w:t xml:space="preserve">Extended family is simultaneously the most protective social resource and a primary transmission vector for perinatal misinformation (see Domain 4)</w:t>
      </w:r>
    </w:p>
    <w:p>
      <w:pPr>
        <w:pStyle w:val="ListParagraph"/>
        <w:numPr>
          <w:ilvl w:val="0"/>
          <w:numId w:val="2"/>
        </w:numPr>
        <w:spacing w:after="40" w:before="40"/>
      </w:pPr>
      <w:r>
        <w:rPr>
          <w:rFonts w:ascii="Arial" w:cs="Arial" w:eastAsia="Arial" w:hAnsi="Arial"/>
          <w:sz w:val="22"/>
          <w:szCs w:val="22"/>
        </w:rPr>
        <w:t xml:space="preserve">Grandmothers/mothers-in-law: Often transmit historically-embedded practices (infant sleep positioning, feeding, postpartum diet) with confident authority that may exceed that of the patient's clinical provider</w:t>
      </w:r>
    </w:p>
    <w:p>
      <w:pPr>
        <w:pStyle w:val="ListParagraph"/>
        <w:numPr>
          <w:ilvl w:val="0"/>
          <w:numId w:val="2"/>
        </w:numPr>
        <w:spacing w:after="40" w:before="40"/>
      </w:pPr>
      <w:r>
        <w:rPr>
          <w:rFonts w:ascii="Arial" w:cs="Arial" w:eastAsia="Arial" w:hAnsi="Arial"/>
          <w:sz w:val="22"/>
          <w:szCs w:val="22"/>
        </w:rPr>
        <w:t xml:space="preserve">Tension: Rejecting family advice risks damaging support relationships that are themselves protective against PPD; information that helps patients navigate family advice while maintaining relationships is high-value</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Cultural postpartum practices</w:t>
      </w:r>
    </w:p>
    <w:p>
      <w:pPr>
        <w:pStyle w:val="ListParagraph"/>
        <w:numPr>
          <w:ilvl w:val="0"/>
          <w:numId w:val="2"/>
        </w:numPr>
        <w:spacing w:after="40" w:before="40"/>
      </w:pPr>
      <w:r>
        <w:rPr>
          <w:rFonts w:ascii="Arial" w:cs="Arial" w:eastAsia="Arial" w:hAnsi="Arial"/>
          <w:sz w:val="22"/>
          <w:szCs w:val="22"/>
        </w:rPr>
        <w:t xml:space="preserve">ACOG CO #736 explicitly acknowledges cross-cultural 30–40-day structured rest practices as potentially beneficial through social support mechanisms</w:t>
      </w:r>
    </w:p>
    <w:p>
      <w:pPr>
        <w:pStyle w:val="ListParagraph"/>
        <w:numPr>
          <w:ilvl w:val="0"/>
          <w:numId w:val="2"/>
        </w:numPr>
        <w:spacing w:after="40" w:before="40"/>
      </w:pPr>
      <w:r>
        <w:rPr>
          <w:rFonts w:ascii="Arial" w:cs="Arial" w:eastAsia="Arial" w:hAnsi="Arial"/>
          <w:sz w:val="22"/>
          <w:szCs w:val="22"/>
        </w:rPr>
        <w:t xml:space="preserve">Chinese zuo yuezi, Latin American cuarentena, Korean sanhujori, and South Asian structured postpartum practices: Variable evidence for specific food/activity restrictions; consistent evidence for protective social support dimension</w:t>
      </w:r>
    </w:p>
    <w:p>
      <w:pPr>
        <w:pStyle w:val="ListParagraph"/>
        <w:numPr>
          <w:ilvl w:val="0"/>
          <w:numId w:val="2"/>
        </w:numPr>
        <w:spacing w:after="40" w:before="40"/>
      </w:pPr>
      <w:r>
        <w:rPr>
          <w:rFonts w:ascii="Arial" w:cs="Arial" w:eastAsia="Arial" w:hAnsi="Arial"/>
          <w:sz w:val="22"/>
          <w:szCs w:val="22"/>
        </w:rPr>
        <w:t xml:space="preserve">Clinical engagement: Evidence-based approach is respectful engagement with specific practices rather than categorical endorsement or rejection of entire cultural systems (AWHONN Standards, 2024)</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Doulas and community health workers</w:t>
      </w:r>
    </w:p>
    <w:p>
      <w:pPr>
        <w:pStyle w:val="ListParagraph"/>
        <w:numPr>
          <w:ilvl w:val="0"/>
          <w:numId w:val="2"/>
        </w:numPr>
        <w:spacing w:after="40" w:before="40"/>
      </w:pPr>
      <w:r>
        <w:rPr>
          <w:rFonts w:ascii="Arial" w:cs="Arial" w:eastAsia="Arial" w:hAnsi="Arial"/>
          <w:sz w:val="22"/>
          <w:szCs w:val="22"/>
        </w:rPr>
        <w:t xml:space="preserve">Doula evidence: Cochrane Review (enduring) documents reduced caesarean rates, shorter labour, and improved maternal satisfaction; ACOG CO endorses continuous labour support</w:t>
      </w:r>
    </w:p>
    <w:p>
      <w:pPr>
        <w:pStyle w:val="ListParagraph"/>
        <w:numPr>
          <w:ilvl w:val="0"/>
          <w:numId w:val="2"/>
        </w:numPr>
        <w:spacing w:after="40" w:before="40"/>
      </w:pPr>
      <w:r>
        <w:rPr>
          <w:rFonts w:ascii="Arial" w:cs="Arial" w:eastAsia="Arial" w:hAnsi="Arial"/>
          <w:sz w:val="22"/>
          <w:szCs w:val="22"/>
        </w:rPr>
        <w:t xml:space="preserve">Community doulas for equity: Birthing Beautiful Communities study (Rice et al., Sage, 2024; qualitative; n=58 clients, 26 doulas): Documents the SDOH cascade effect for Black women and the role of community doulas as essential social support and advocacy</w:t>
      </w:r>
    </w:p>
    <w:p>
      <w:pPr>
        <w:pStyle w:val="ListParagraph"/>
        <w:numPr>
          <w:ilvl w:val="0"/>
          <w:numId w:val="2"/>
        </w:numPr>
        <w:spacing w:after="40" w:before="40"/>
      </w:pPr>
      <w:r>
        <w:rPr>
          <w:rFonts w:ascii="Arial" w:cs="Arial" w:eastAsia="Arial" w:hAnsi="Arial"/>
          <w:sz w:val="22"/>
          <w:szCs w:val="22"/>
        </w:rPr>
        <w:t xml:space="preserve">Medicaid coverage for doulas: Expanding across states; HRSA-funded community doula programmes in underserved populations</w:t>
      </w:r>
    </w:p>
    <w:p>
      <w:pPr>
        <w:pStyle w:val="ListParagraph"/>
        <w:numPr>
          <w:ilvl w:val="0"/>
          <w:numId w:val="2"/>
        </w:numPr>
        <w:spacing w:after="40" w:before="40"/>
      </w:pPr>
      <w:r>
        <w:rPr>
          <w:rFonts w:ascii="Arial" w:cs="Arial" w:eastAsia="Arial" w:hAnsi="Arial"/>
          <w:sz w:val="22"/>
          <w:szCs w:val="22"/>
        </w:rPr>
        <w:t xml:space="preserve">CHWs: AHRQ evidence review supports CHW interventions for perinatal mental health and SDoH needs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3.3 Group Care as Social Support</w:t>
      </w:r>
    </w:p>
    <w:p>
      <w:pPr>
        <w:spacing w:after="100" w:before="60"/>
      </w:pPr>
      <w:r>
        <w:rPr>
          <w:rFonts w:ascii="Arial" w:cs="Arial" w:eastAsia="Arial" w:hAnsi="Arial"/>
          <w:color w:val="444444"/>
          <w:sz w:val="22"/>
          <w:szCs w:val="22"/>
        </w:rPr>
        <w:t xml:space="preserve">CenteringPregnancy is endorsed by ACOG (PATH 2025), ACNM, AWHONN, and SMFM as an equitable care model. Evidence: Ickovics et al. RCT (2007) documented 33% reduction in preterm birth; EleVATE GC (Health Equity, 2024) documented specific benefits for Black birthing people.</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3.4 Barriers to Social Support</w:t>
      </w:r>
    </w:p>
    <w:p>
      <w:pPr>
        <w:pStyle w:val="ListParagraph"/>
        <w:numPr>
          <w:ilvl w:val="0"/>
          <w:numId w:val="2"/>
        </w:numPr>
        <w:spacing w:after="40" w:before="40"/>
      </w:pPr>
      <w:r>
        <w:rPr>
          <w:rFonts w:ascii="Arial" w:cs="Arial" w:eastAsia="Arial" w:hAnsi="Arial"/>
          <w:sz w:val="22"/>
          <w:szCs w:val="22"/>
        </w:rPr>
        <w:t xml:space="preserve">Financial: Mental health services, doulas, and lactation consultants remain financially inaccessible for many; insurance coverage is variable and often inadequate</w:t>
      </w:r>
    </w:p>
    <w:p>
      <w:pPr>
        <w:pStyle w:val="ListParagraph"/>
        <w:numPr>
          <w:ilvl w:val="0"/>
          <w:numId w:val="2"/>
        </w:numPr>
        <w:spacing w:after="40" w:before="40"/>
      </w:pPr>
      <w:r>
        <w:rPr>
          <w:rFonts w:ascii="Arial" w:cs="Arial" w:eastAsia="Arial" w:hAnsi="Arial"/>
          <w:sz w:val="22"/>
          <w:szCs w:val="22"/>
        </w:rPr>
        <w:t xml:space="preserve">Fear of CPS (Liddell et al., Women's Reprod Health, 2025): Pervasive barrier particularly in low-income and minority communities; disclosure of mental health symptoms or substance use risks perceived threat to child custody</w:t>
      </w:r>
    </w:p>
    <w:p>
      <w:pPr>
        <w:pStyle w:val="ListParagraph"/>
        <w:numPr>
          <w:ilvl w:val="0"/>
          <w:numId w:val="2"/>
        </w:numPr>
        <w:spacing w:after="40" w:before="40"/>
      </w:pPr>
      <w:r>
        <w:rPr>
          <w:rFonts w:ascii="Arial" w:cs="Arial" w:eastAsia="Arial" w:hAnsi="Arial"/>
          <w:sz w:val="22"/>
          <w:szCs w:val="22"/>
        </w:rPr>
        <w:t xml:space="preserve">Stigma: More pronounced in specific cultural communities; the 'strong Black woman' schema specifically suppresses help-seeking</w:t>
      </w:r>
    </w:p>
    <w:p>
      <w:pPr>
        <w:pStyle w:val="ListParagraph"/>
        <w:numPr>
          <w:ilvl w:val="0"/>
          <w:numId w:val="2"/>
        </w:numPr>
        <w:spacing w:after="40" w:before="40"/>
      </w:pPr>
      <w:r>
        <w:rPr>
          <w:rFonts w:ascii="Arial" w:cs="Arial" w:eastAsia="Arial" w:hAnsi="Arial"/>
          <w:sz w:val="22"/>
          <w:szCs w:val="22"/>
        </w:rPr>
        <w:t xml:space="preserve">Scheduling: Support groups and mental health services frequently conflict with work and family obligations</w:t>
      </w:r>
    </w:p>
    <w:p>
      <w:pPr>
        <w:pStyle w:val="ListParagraph"/>
        <w:numPr>
          <w:ilvl w:val="0"/>
          <w:numId w:val="2"/>
        </w:numPr>
        <w:spacing w:after="40" w:before="40"/>
      </w:pPr>
      <w:r>
        <w:rPr>
          <w:rFonts w:ascii="Arial" w:cs="Arial" w:eastAsia="Arial" w:hAnsi="Arial"/>
          <w:sz w:val="22"/>
          <w:szCs w:val="22"/>
        </w:rPr>
        <w:t xml:space="preserve">Geographic isolation: Rural communities have significantly lower access to speciality mental health services and social support programmes</w:t>
      </w:r>
    </w:p>
    <w:p>
      <w:pPr>
        <w:pStyle w:val="ListParagraph"/>
        <w:numPr>
          <w:ilvl w:val="0"/>
          <w:numId w:val="2"/>
        </w:numPr>
        <w:spacing w:after="40" w:before="40"/>
      </w:pPr>
      <w:r>
        <w:rPr>
          <w:rFonts w:ascii="Arial" w:cs="Arial" w:eastAsia="Arial" w:hAnsi="Arial"/>
          <w:sz w:val="22"/>
          <w:szCs w:val="22"/>
        </w:rPr>
        <w:t xml:space="preserve">Return to work: The U.S. has no universal paid parental leave; FMLA provides only 12 weeks of unpaid leave for ~60% of workers; the return to work is a known risk point for breastfeeding cessation and PPD exacerbation. PUMP for Nursing Mothers Act (2022) expanded workplace pumping protections to nearly all employees.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3.5 Equity in Social Support Access</w:t>
      </w:r>
    </w:p>
    <w:p>
      <w:pPr>
        <w:pStyle w:val="ListParagraph"/>
        <w:numPr>
          <w:ilvl w:val="0"/>
          <w:numId w:val="2"/>
        </w:numPr>
        <w:spacing w:after="40" w:before="40"/>
      </w:pPr>
      <w:r>
        <w:rPr>
          <w:rFonts w:ascii="Arial" w:cs="Arial" w:eastAsia="Arial" w:hAnsi="Arial"/>
          <w:sz w:val="22"/>
          <w:szCs w:val="22"/>
        </w:rPr>
        <w:t xml:space="preserve">Black women: Face compounded isolation through structural racism, healthcare discrimination, and residential segregation; community-based doula programmes specifically designed; AWHONN has a dedicated Black Maternal Health initiative</w:t>
      </w:r>
    </w:p>
    <w:p>
      <w:pPr>
        <w:pStyle w:val="ListParagraph"/>
        <w:numPr>
          <w:ilvl w:val="0"/>
          <w:numId w:val="2"/>
        </w:numPr>
        <w:spacing w:after="40" w:before="40"/>
      </w:pPr>
      <w:r>
        <w:rPr>
          <w:rFonts w:ascii="Arial" w:cs="Arial" w:eastAsia="Arial" w:hAnsi="Arial"/>
          <w:sz w:val="22"/>
          <w:szCs w:val="22"/>
        </w:rPr>
        <w:t xml:space="preserve">Immigrant and refugee women: Experience highest rates of social isolation; language barriers limit access to both peer and provider support; National Maternal Mental Health Hotline available in 60+ languages</w:t>
      </w:r>
    </w:p>
    <w:p>
      <w:pPr>
        <w:pStyle w:val="ListParagraph"/>
        <w:numPr>
          <w:ilvl w:val="0"/>
          <w:numId w:val="2"/>
        </w:numPr>
        <w:spacing w:after="40" w:before="40"/>
      </w:pPr>
      <w:r>
        <w:rPr>
          <w:rFonts w:ascii="Arial" w:cs="Arial" w:eastAsia="Arial" w:hAnsi="Arial"/>
          <w:sz w:val="22"/>
          <w:szCs w:val="22"/>
        </w:rPr>
        <w:t xml:space="preserve">LGBTQ+ parents: Largely excluded from perinatal support literature; experience unique forms of social isolation and discrimination in care settings; AWHONN Standards (2024) acknowledge diverse gender identities</w:t>
      </w:r>
    </w:p>
    <w:p>
      <w:pPr>
        <w:pStyle w:val="ListParagraph"/>
        <w:numPr>
          <w:ilvl w:val="0"/>
          <w:numId w:val="2"/>
        </w:numPr>
        <w:spacing w:after="40" w:before="40"/>
      </w:pPr>
      <w:r>
        <w:rPr>
          <w:rFonts w:ascii="Arial" w:cs="Arial" w:eastAsia="Arial" w:hAnsi="Arial"/>
          <w:sz w:val="22"/>
          <w:szCs w:val="22"/>
        </w:rPr>
        <w:t xml:space="preserve">Teen mothers: Specialised group prenatal care (CenteringPregnancy Plus) shows improved outcomes for adolescent parents</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4: External Information Sources</w:t>
      </w:r>
    </w:p>
    <w:p>
      <w:pPr>
        <w:shd w:fill="D6E4F7" w:val="clear"/>
        <w:spacing w:after="120" w:before="100"/>
        <w:ind w:left="240" w:right="240"/>
      </w:pPr>
      <w:r>
        <w:rPr>
          <w:rFonts w:ascii="Arial" w:cs="Arial" w:eastAsia="Arial" w:hAnsi="Arial"/>
          <w:color w:val="1B3A6B"/>
          <w:sz w:val="21"/>
          <w:szCs w:val="21"/>
        </w:rPr>
        <w:t xml:space="preserve">This domain covers the ecosystem of information sources beyond direct clinical care: social media, pregnancy apps, online communities, search engines, friends and family, and clinical counselling outside primary OB care. 90–97% of pregnant people use the internet for pregnancy-related information (Henrich et al., JMIR, 2024). Understanding this ecosystem is essential for an AI tool designed to detect perinatal information quality.</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4.1 Scale and Patterns of Information-Seeking</w:t>
      </w:r>
    </w:p>
    <w:p>
      <w:pPr>
        <w:pStyle w:val="ListParagraph"/>
        <w:numPr>
          <w:ilvl w:val="0"/>
          <w:numId w:val="2"/>
        </w:numPr>
        <w:spacing w:after="40" w:before="40"/>
      </w:pPr>
      <w:r>
        <w:rPr>
          <w:rFonts w:ascii="Arial" w:cs="Arial" w:eastAsia="Arial" w:hAnsi="Arial"/>
          <w:sz w:val="22"/>
          <w:szCs w:val="22"/>
        </w:rPr>
        <w:t xml:space="preserve">90–97% of pregnant people use the internet for pregnancy-related information; use spans the full perinatal continuum from tracking pregnancy progress to processing postpartum experiences</w:t>
      </w:r>
    </w:p>
    <w:p>
      <w:pPr>
        <w:pStyle w:val="ListParagraph"/>
        <w:numPr>
          <w:ilvl w:val="0"/>
          <w:numId w:val="2"/>
        </w:numPr>
        <w:spacing w:after="40" w:before="40"/>
      </w:pPr>
      <w:r>
        <w:rPr>
          <w:rFonts w:ascii="Arial" w:cs="Arial" w:eastAsia="Arial" w:hAnsi="Arial"/>
          <w:sz w:val="22"/>
          <w:szCs w:val="22"/>
        </w:rPr>
        <w:t xml:space="preserve">Digital information-seeking occurs alongside, not instead of, provider care; most women use digital sources to supplement or confirm clinical information</w:t>
      </w:r>
    </w:p>
    <w:p>
      <w:pPr>
        <w:pStyle w:val="ListParagraph"/>
        <w:numPr>
          <w:ilvl w:val="0"/>
          <w:numId w:val="2"/>
        </w:numPr>
        <w:spacing w:after="40" w:before="40"/>
      </w:pPr>
      <w:r>
        <w:rPr>
          <w:rFonts w:ascii="Arial" w:cs="Arial" w:eastAsia="Arial" w:hAnsi="Arial"/>
          <w:sz w:val="22"/>
          <w:szCs w:val="22"/>
        </w:rPr>
        <w:t xml:space="preserve">Information-seeking gap: Three structural barriers recur across studies (Jackson GP, AHRQ, 2019): information is absent, not readily accessible, or cannot be interpreted by lay readers</w:t>
      </w:r>
    </w:p>
    <w:p>
      <w:pPr>
        <w:pStyle w:val="ListParagraph"/>
        <w:numPr>
          <w:ilvl w:val="0"/>
          <w:numId w:val="2"/>
        </w:numPr>
        <w:spacing w:after="40" w:before="40"/>
      </w:pPr>
      <w:r>
        <w:rPr>
          <w:rFonts w:ascii="Arial" w:cs="Arial" w:eastAsia="Arial" w:hAnsi="Arial"/>
          <w:sz w:val="22"/>
          <w:szCs w:val="22"/>
        </w:rPr>
        <w:t xml:space="preserve">COVID-19 accelerated digital information-seeking; patterns established during pandemic persist; qualitative study (PMC, 2022) found structural barriers (limited time with providers, multiple different providers without continuity) were more responsible for gaps than the pandemic itself</w:t>
      </w:r>
    </w:p>
    <w:p>
      <w:pPr>
        <w:pStyle w:val="ListParagraph"/>
        <w:numPr>
          <w:ilvl w:val="0"/>
          <w:numId w:val="2"/>
        </w:numPr>
        <w:spacing w:after="40" w:before="40"/>
      </w:pPr>
      <w:r>
        <w:rPr>
          <w:rFonts w:ascii="Arial" w:cs="Arial" w:eastAsia="Arial" w:hAnsi="Arial"/>
          <w:sz w:val="22"/>
          <w:szCs w:val="22"/>
        </w:rPr>
        <w:t xml:space="preserve">Most sought topics (Lu et al., JMIR Pediatrics &amp; Parenting, 2022; SR of 20 studies): Labour and delivery (9/20 studies); laboratory tests and screening (6/20); medication safety (6/20); newborn care (5/20)</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4.2 Social Media: Platforms, Use Patterns, and Risks</w:t>
      </w:r>
    </w:p>
    <w:p>
      <w:pPr>
        <w:pStyle w:val="Heading3"/>
        <w:spacing w:after="80" w:before="260"/>
      </w:pPr>
      <w:r>
        <w:rPr>
          <w:rFonts w:ascii="Arial" w:cs="Arial" w:eastAsia="Arial" w:hAnsi="Arial"/>
          <w:b/>
          <w:bCs/>
          <w:color w:val="444444"/>
          <w:sz w:val="24"/>
          <w:szCs w:val="24"/>
        </w:rPr>
        <w:t xml:space="preserve">Platform-specific evidence</w:t>
      </w:r>
    </w:p>
    <w:p>
      <w:pPr>
        <w:pStyle w:val="ListParagraph"/>
        <w:numPr>
          <w:ilvl w:val="0"/>
          <w:numId w:val="2"/>
        </w:numPr>
        <w:spacing w:after="40" w:before="40"/>
      </w:pPr>
      <w:r>
        <w:rPr>
          <w:rFonts w:ascii="Arial" w:cs="Arial" w:eastAsia="Arial" w:hAnsi="Arial"/>
          <w:sz w:val="22"/>
          <w:szCs w:val="22"/>
        </w:rPr>
        <w:t xml:space="preserve">Facebook/Meta: Primary platform for parenting groups; supports peer community but generates 'mom-shaming'; midwives have used Facebook groups for breastfeeding support with positive outcomes</w:t>
      </w:r>
    </w:p>
    <w:p>
      <w:pPr>
        <w:pStyle w:val="ListParagraph"/>
        <w:numPr>
          <w:ilvl w:val="0"/>
          <w:numId w:val="2"/>
        </w:numPr>
        <w:spacing w:after="40" w:before="40"/>
      </w:pPr>
      <w:r>
        <w:rPr>
          <w:rFonts w:ascii="Arial" w:cs="Arial" w:eastAsia="Arial" w:hAnsi="Arial"/>
          <w:sz w:val="22"/>
          <w:szCs w:val="22"/>
        </w:rPr>
        <w:t xml:space="preserve">TikTok: Fastest-growing health content source for young pregnant people; JMIR 2023 review: only 37% of fertility/pregnancy videos rated high quality; lower-quality content attracted higher engagement</w:t>
      </w:r>
    </w:p>
    <w:p>
      <w:pPr>
        <w:pStyle w:val="ListParagraph"/>
        <w:numPr>
          <w:ilvl w:val="0"/>
          <w:numId w:val="2"/>
        </w:numPr>
        <w:spacing w:after="40" w:before="40"/>
      </w:pPr>
      <w:r>
        <w:rPr>
          <w:rFonts w:ascii="Arial" w:cs="Arial" w:eastAsia="Arial" w:hAnsi="Arial"/>
          <w:sz w:val="22"/>
          <w:szCs w:val="22"/>
        </w:rPr>
        <w:t xml:space="preserve">Instagram: Influencer-driven; associated with negative social comparison and body image concerns; 36.5% of Instagram posts with medical content contained misinformation; 97% from non-medical providers (Obstetrics &amp; Gynecology, 2023)</w:t>
      </w:r>
    </w:p>
    <w:p>
      <w:pPr>
        <w:pStyle w:val="ListParagraph"/>
        <w:numPr>
          <w:ilvl w:val="0"/>
          <w:numId w:val="2"/>
        </w:numPr>
        <w:spacing w:after="40" w:before="40"/>
      </w:pPr>
      <w:r>
        <w:rPr>
          <w:rFonts w:ascii="Arial" w:cs="Arial" w:eastAsia="Arial" w:hAnsi="Arial"/>
          <w:sz w:val="22"/>
          <w:szCs w:val="22"/>
        </w:rPr>
        <w:t xml:space="preserve">Reddit: r/BabyBumps, r/BeyondTheBump — generally evidence-referenced by moderators; useful for specific situation support; less misinformation than other platforms</w:t>
      </w:r>
    </w:p>
    <w:p>
      <w:pPr>
        <w:pStyle w:val="ListParagraph"/>
        <w:numPr>
          <w:ilvl w:val="0"/>
          <w:numId w:val="2"/>
        </w:numPr>
        <w:spacing w:after="40" w:before="40"/>
      </w:pPr>
      <w:r>
        <w:rPr>
          <w:rFonts w:ascii="Arial" w:cs="Arial" w:eastAsia="Arial" w:hAnsi="Arial"/>
          <w:sz w:val="22"/>
          <w:szCs w:val="22"/>
        </w:rPr>
        <w:t xml:space="preserve">Pinterest: Visual content; heavily commercial; significant misinformation on natural remedies and supplement promotion</w:t>
      </w:r>
    </w:p>
    <w:p>
      <w:pPr>
        <w:pStyle w:val="ListParagraph"/>
        <w:numPr>
          <w:ilvl w:val="0"/>
          <w:numId w:val="2"/>
        </w:numPr>
        <w:spacing w:after="40" w:before="40"/>
      </w:pPr>
      <w:r>
        <w:rPr>
          <w:rFonts w:ascii="Arial" w:cs="Arial" w:eastAsia="Arial" w:hAnsi="Arial"/>
          <w:sz w:val="22"/>
          <w:szCs w:val="22"/>
        </w:rPr>
        <w:t xml:space="preserve">Pregnancy apps (BabyCenter, Ovia, What to Expect): Most developed by non-healthcare organisations; score lower on accuracy and readability than health-organisation-developed apps (ScienceDirect, 2021)</w:t>
      </w:r>
    </w:p>
    <w:p>
      <w:pPr>
        <w:pStyle w:val="ListParagraph"/>
        <w:numPr>
          <w:ilvl w:val="0"/>
          <w:numId w:val="2"/>
        </w:numPr>
        <w:spacing w:after="40" w:before="40"/>
      </w:pPr>
      <w:r>
        <w:rPr>
          <w:rFonts w:ascii="Arial" w:cs="Arial" w:eastAsia="Arial" w:hAnsi="Arial"/>
          <w:sz w:val="22"/>
          <w:szCs w:val="22"/>
        </w:rPr>
        <w:t xml:space="preserve">WHO MAGICapp (2025): All WHO maternal and perinatal health guidelines now on a dynamic digital platform with living guideline capability — the authoritative digital hub for evidence-based clinical recommendations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Information quality problems on social media</w:t>
      </w:r>
    </w:p>
    <w:p>
      <w:pPr>
        <w:pStyle w:val="ListParagraph"/>
        <w:numPr>
          <w:ilvl w:val="0"/>
          <w:numId w:val="2"/>
        </w:numPr>
        <w:spacing w:after="40" w:before="40"/>
      </w:pPr>
      <w:r>
        <w:rPr>
          <w:rFonts w:ascii="Arial" w:cs="Arial" w:eastAsia="Arial" w:hAnsi="Arial"/>
          <w:sz w:val="22"/>
          <w:szCs w:val="22"/>
        </w:rPr>
        <w:t xml:space="preserve">Algorithmic amplification: Rewards emotional engagement, not factual accuracy; misinformation spreads 'farther, faster, and deeper' than accurate content (established finding across multiple platforms)</w:t>
      </w:r>
    </w:p>
    <w:p>
      <w:pPr>
        <w:pStyle w:val="ListParagraph"/>
        <w:numPr>
          <w:ilvl w:val="0"/>
          <w:numId w:val="2"/>
        </w:numPr>
        <w:spacing w:after="40" w:before="40"/>
      </w:pPr>
      <w:r>
        <w:rPr>
          <w:rFonts w:ascii="Arial" w:cs="Arial" w:eastAsia="Arial" w:hAnsi="Arial"/>
          <w:sz w:val="22"/>
          <w:szCs w:val="22"/>
        </w:rPr>
        <w:t xml:space="preserve">Confidence substituting for accuracy: Qualitative research (Collective Care, 2025) documents that patients 'trust posts that sound confident' — making authoritative-seeming misinformation particularly dangerous</w:t>
      </w:r>
    </w:p>
    <w:p>
      <w:pPr>
        <w:pStyle w:val="ListParagraph"/>
        <w:numPr>
          <w:ilvl w:val="0"/>
          <w:numId w:val="2"/>
        </w:numPr>
        <w:spacing w:after="40" w:before="40"/>
      </w:pPr>
      <w:r>
        <w:rPr>
          <w:rFonts w:ascii="Arial" w:cs="Arial" w:eastAsia="Arial" w:hAnsi="Arial"/>
          <w:sz w:val="22"/>
          <w:szCs w:val="22"/>
        </w:rPr>
        <w:t xml:space="preserve">Birth content specific: Social media frames cervical checks, induction, and epidurals as 'consenting to trauma' or 'weakness' without evidence basis; ARRIVE trial finding (induction reduces caesarean risk) is one of the most frequently inverted findings online</w:t>
      </w:r>
    </w:p>
    <w:p>
      <w:pPr>
        <w:pStyle w:val="ListParagraph"/>
        <w:numPr>
          <w:ilvl w:val="0"/>
          <w:numId w:val="2"/>
        </w:numPr>
        <w:spacing w:after="40" w:before="40"/>
      </w:pPr>
      <w:r>
        <w:rPr>
          <w:rFonts w:ascii="Arial" w:cs="Arial" w:eastAsia="Arial" w:hAnsi="Arial"/>
          <w:sz w:val="22"/>
          <w:szCs w:val="22"/>
        </w:rPr>
        <w:t xml:space="preserve">Influencer content: Entirely unregulated (BMJ Open scoping review protocol, 2024); credentialed providers (nurses, midwives, physicians) sharing misinformation on social media are perceived as particularly authoritative</w:t>
      </w:r>
    </w:p>
    <w:p>
      <w:pPr>
        <w:pStyle w:val="ListParagraph"/>
        <w:numPr>
          <w:ilvl w:val="0"/>
          <w:numId w:val="2"/>
        </w:numPr>
        <w:spacing w:after="40" w:before="40"/>
      </w:pPr>
      <w:r>
        <w:rPr>
          <w:rFonts w:ascii="Arial" w:cs="Arial" w:eastAsia="Arial" w:hAnsi="Arial"/>
          <w:sz w:val="22"/>
          <w:szCs w:val="22"/>
        </w:rPr>
        <w:t xml:space="preserve">Social media and mental health: Longitudinal study (Muskens et al., Midwifery, 2024; n=1,135): Problematic social media use independently predicts worse mental health outcomes in pregnancy; passive consumption (scrolling) is more harmful than active engagement</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Social media as a genuine support resource</w:t>
      </w:r>
    </w:p>
    <w:p>
      <w:pPr>
        <w:pStyle w:val="ListParagraph"/>
        <w:numPr>
          <w:ilvl w:val="0"/>
          <w:numId w:val="2"/>
        </w:numPr>
        <w:spacing w:after="40" w:before="40"/>
      </w:pPr>
      <w:r>
        <w:rPr>
          <w:rFonts w:ascii="Arial" w:cs="Arial" w:eastAsia="Arial" w:hAnsi="Arial"/>
          <w:sz w:val="22"/>
          <w:szCs w:val="22"/>
        </w:rPr>
        <w:t xml:space="preserve">Reduces isolation, especially for those without local support networks; provides 24/7 peer support for sensitive topics (miscarriage, NICU, postpartum mental health)</w:t>
      </w:r>
    </w:p>
    <w:p>
      <w:pPr>
        <w:pStyle w:val="ListParagraph"/>
        <w:numPr>
          <w:ilvl w:val="0"/>
          <w:numId w:val="2"/>
        </w:numPr>
        <w:spacing w:after="40" w:before="40"/>
      </w:pPr>
      <w:r>
        <w:rPr>
          <w:rFonts w:ascii="Arial" w:cs="Arial" w:eastAsia="Arial" w:hAnsi="Arial"/>
          <w:sz w:val="22"/>
          <w:szCs w:val="22"/>
        </w:rPr>
        <w:t xml:space="preserve">Allows connection with others sharing specific circumstances (TFMR, prematurity, rare diagnoses); serves as lay referral system for evaluating clinical information</w:t>
      </w:r>
    </w:p>
    <w:p>
      <w:pPr>
        <w:pStyle w:val="ListParagraph"/>
        <w:numPr>
          <w:ilvl w:val="0"/>
          <w:numId w:val="2"/>
        </w:numPr>
        <w:spacing w:after="40" w:before="40"/>
      </w:pPr>
      <w:r>
        <w:rPr>
          <w:rFonts w:ascii="Arial" w:cs="Arial" w:eastAsia="Arial" w:hAnsi="Arial"/>
          <w:sz w:val="22"/>
          <w:szCs w:val="22"/>
        </w:rPr>
        <w:t xml:space="preserve">For LGBTQ+ parents and those in stigmatised situations, online communities may be the only accessible support</w:t>
      </w:r>
    </w:p>
    <w:p>
      <w:pPr>
        <w:pStyle w:val="ListParagraph"/>
        <w:numPr>
          <w:ilvl w:val="0"/>
          <w:numId w:val="2"/>
        </w:numPr>
        <w:spacing w:after="40" w:before="40"/>
      </w:pPr>
      <w:r>
        <w:rPr>
          <w:rFonts w:ascii="Arial" w:cs="Arial" w:eastAsia="Arial" w:hAnsi="Arial"/>
          <w:sz w:val="22"/>
          <w:szCs w:val="22"/>
        </w:rPr>
        <w:t xml:space="preserve">Mothers shifting from Facebook parenting groups to LLMs: Qualitative/mixed methods (arXiv, 2026) documents a shift driven by desire to avoid mom-shaming and protect privacy</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4.3 Information Quality: What Perinatal People Actually Use</w:t>
      </w:r>
    </w:p>
    <w:p>
      <w:pPr>
        <w:spacing w:after="100" w:before="60"/>
      </w:pPr>
      <w:r>
        <w:rPr>
          <w:rFonts w:ascii="Arial" w:cs="Arial" w:eastAsia="Arial" w:hAnsi="Arial"/>
          <w:color w:val="444444"/>
          <w:sz w:val="22"/>
          <w:szCs w:val="22"/>
        </w:rPr>
        <w:t xml:space="preserve">The 2025 JMIR scoping review (Li et al.) is the most comprehensive synthesis of evidence on perinatal women's quality assessment criteria (30 studies, 5,290 records, 2000–2024). It identifies 17 quality features across four dimensions.</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32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Quality Feature</w:t>
            </w:r>
          </w:p>
        </w:tc>
        <w:tc>
          <w:tcPr>
            <w:tcW w:type="dxa" w:w="4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Perinatal Women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Disclosure of source identity, background, conflicts of interest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Provider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Authority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Credibility of source (HCP vs lay person; official org vs individual)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Trustworthiness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Perceived accuracy and reliability of claims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Evidence-based</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Alignment with clinical guidelines and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outdated guidance is a common concern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Comprehensiveness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breadth and depth of a topic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Need-based relevance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Alignment with specific gestational stage, health situation, circumstances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Practicality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Actionable guidance women can actually apply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Motivational simulation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Encourages positive behaviour and self-efficacy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Emotional supportiveness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Comfort, autonomy-respect, avoidance of unnecessary alarm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sensitivity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Recognition of diverse cultural beliefs and practices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Delivery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User-friendly navigation</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Easy to find and retrieve relevant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Understandable to lay readers; no jargon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Delivery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Interactivity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Ability to ask questions and get responsive answers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Personalisation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Tailored to individual characteristics and stage of pregnancy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Engagement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Proactive delivery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delivered at the right moment without active searching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features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Ability to connect with others in similar circumstances</w:t>
            </w:r>
          </w:p>
        </w:tc>
      </w:tr>
    </w:tbl>
    <w:p>
      <w:pPr>
        <w:spacing w:after="80" w:before="80"/>
      </w:pPr>
      <w:r>
        <w:t xml:space="preserve"/>
      </w:r>
    </w:p>
    <w:p>
      <w:pPr>
        <w:pStyle w:val="Heading2"/>
        <w:spacing w:after="120" w:before="360"/>
      </w:pPr>
      <w:r>
        <w:rPr>
          <w:rFonts w:ascii="Arial" w:cs="Arial" w:eastAsia="Arial" w:hAnsi="Arial"/>
          <w:b/>
          <w:bCs/>
          <w:color w:val="2E5FA3"/>
          <w:sz w:val="28"/>
          <w:szCs w:val="28"/>
        </w:rPr>
        <w:t xml:space="preserve">4.4 Healthcare Providers as Information Sources</w:t>
      </w:r>
    </w:p>
    <w:p>
      <w:pPr>
        <w:pStyle w:val="ListParagraph"/>
        <w:numPr>
          <w:ilvl w:val="0"/>
          <w:numId w:val="2"/>
        </w:numPr>
        <w:spacing w:after="40" w:before="40"/>
      </w:pPr>
      <w:r>
        <w:rPr>
          <w:rFonts w:ascii="Arial" w:cs="Arial" w:eastAsia="Arial" w:hAnsi="Arial"/>
          <w:sz w:val="22"/>
          <w:szCs w:val="22"/>
        </w:rPr>
        <w:t xml:space="preserve">HCPs are the most trusted information source for perinatal people (JMIR scoping review, 2025; 105 studies), but not always accessible; 74% of reproductive-age women using contraception prefer providers as their primary information source (KFF Women's Health Survey, 2022)</w:t>
      </w:r>
    </w:p>
    <w:p>
      <w:pPr>
        <w:pStyle w:val="ListParagraph"/>
        <w:numPr>
          <w:ilvl w:val="0"/>
          <w:numId w:val="2"/>
        </w:numPr>
        <w:spacing w:after="40" w:before="40"/>
      </w:pPr>
      <w:r>
        <w:rPr>
          <w:rFonts w:ascii="Arial" w:cs="Arial" w:eastAsia="Arial" w:hAnsi="Arial"/>
          <w:sz w:val="22"/>
          <w:szCs w:val="22"/>
        </w:rPr>
        <w:t xml:space="preserve">Misinformation from credentialed providers: Social media HCPs may share content outside their scope, outdated, or not aligned with current guidelines; credentialed appearance amplifies harm</w:t>
      </w:r>
    </w:p>
    <w:p>
      <w:pPr>
        <w:pStyle w:val="ListParagraph"/>
        <w:numPr>
          <w:ilvl w:val="0"/>
          <w:numId w:val="2"/>
        </w:numPr>
        <w:spacing w:after="40" w:before="40"/>
      </w:pPr>
      <w:r>
        <w:rPr>
          <w:rFonts w:ascii="Arial" w:cs="Arial" w:eastAsia="Arial" w:hAnsi="Arial"/>
          <w:sz w:val="22"/>
          <w:szCs w:val="22"/>
        </w:rPr>
        <w:t xml:space="preserve">Provider knowledge gaps: Not all providers are current on evidence; information from providers can also be inaccurate or outdated; a systematic concern</w:t>
      </w:r>
    </w:p>
    <w:p>
      <w:pPr>
        <w:pStyle w:val="ListParagraph"/>
        <w:numPr>
          <w:ilvl w:val="0"/>
          <w:numId w:val="2"/>
        </w:numPr>
        <w:spacing w:after="40" w:before="40"/>
      </w:pPr>
      <w:r>
        <w:rPr>
          <w:rFonts w:ascii="Arial" w:cs="Arial" w:eastAsia="Arial" w:hAnsi="Arial"/>
          <w:sz w:val="22"/>
          <w:szCs w:val="22"/>
        </w:rPr>
        <w:t xml:space="preserve">Midwives/nurses as counterweights: JMIR scoping review (2025) positions midwives and nurses as critical counterweights to misinformation but requiring training in health communication and digital literacy</w:t>
      </w:r>
    </w:p>
    <w:p>
      <w:pPr>
        <w:pStyle w:val="ListParagraph"/>
        <w:numPr>
          <w:ilvl w:val="0"/>
          <w:numId w:val="2"/>
        </w:numPr>
        <w:spacing w:after="40" w:before="40"/>
      </w:pPr>
      <w:r>
        <w:rPr>
          <w:rFonts w:ascii="Arial" w:cs="Arial" w:eastAsia="Arial" w:hAnsi="Arial"/>
          <w:sz w:val="22"/>
          <w:szCs w:val="22"/>
        </w:rPr>
        <w:t xml:space="preserve">What makes provider communication trustworthy (Hendry et al., Health Promotion J Australia, 2024): Perceived credibility (formal qualifications, institutional affiliation); trustworthiness (consistency, no obvious financial interest); relatability via shared lived experience; ease of access; actionable, bite-sized information</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4.5 Friends, Family, and Lay Social Networks</w:t>
      </w:r>
    </w:p>
    <w:p>
      <w:pPr>
        <w:pStyle w:val="ListParagraph"/>
        <w:numPr>
          <w:ilvl w:val="0"/>
          <w:numId w:val="2"/>
        </w:numPr>
        <w:spacing w:after="40" w:before="40"/>
      </w:pPr>
      <w:r>
        <w:rPr>
          <w:rFonts w:ascii="Arial" w:cs="Arial" w:eastAsia="Arial" w:hAnsi="Arial"/>
          <w:sz w:val="22"/>
          <w:szCs w:val="22"/>
        </w:rPr>
        <w:t xml:space="preserve">Friends/family are both a primary support resource and a significant information source; meta-ethnography (2024) finds parents use the internet alongside family, often to triangulate information from family members seen as having outdated knowledge</w:t>
      </w:r>
    </w:p>
    <w:p>
      <w:pPr>
        <w:pStyle w:val="ListParagraph"/>
        <w:numPr>
          <w:ilvl w:val="0"/>
          <w:numId w:val="2"/>
        </w:numPr>
        <w:spacing w:after="40" w:before="40"/>
      </w:pPr>
      <w:r>
        <w:rPr>
          <w:rFonts w:ascii="Arial" w:cs="Arial" w:eastAsia="Arial" w:hAnsi="Arial"/>
          <w:sz w:val="22"/>
          <w:szCs w:val="22"/>
        </w:rPr>
        <w:t xml:space="preserve">Family as misinformation transmitter: Extended family often transmits culturally-embedded practices conflicting with evidence (infant sleep positioning, feeding practices, postpartum diet, vaccine hesitancy); advice given with confidence proportional to authority</w:t>
      </w:r>
    </w:p>
    <w:p>
      <w:pPr>
        <w:pStyle w:val="ListParagraph"/>
        <w:numPr>
          <w:ilvl w:val="0"/>
          <w:numId w:val="2"/>
        </w:numPr>
        <w:spacing w:after="40" w:before="40"/>
      </w:pPr>
      <w:r>
        <w:rPr>
          <w:rFonts w:ascii="Arial" w:cs="Arial" w:eastAsia="Arial" w:hAnsi="Arial"/>
          <w:sz w:val="22"/>
          <w:szCs w:val="22"/>
        </w:rPr>
        <w:t xml:space="preserve">Mom-shaming: Documented across multiple cultural contexts; online parenting communities generate judgment about feeding choices, sleep decisions, and return to work; increases anxiety and self-doubt</w:t>
      </w:r>
    </w:p>
    <w:p>
      <w:pPr>
        <w:pStyle w:val="ListParagraph"/>
        <w:numPr>
          <w:ilvl w:val="0"/>
          <w:numId w:val="2"/>
        </w:numPr>
        <w:spacing w:after="40" w:before="40"/>
      </w:pPr>
      <w:r>
        <w:rPr>
          <w:rFonts w:ascii="Arial" w:cs="Arial" w:eastAsia="Arial" w:hAnsi="Arial"/>
          <w:sz w:val="22"/>
          <w:szCs w:val="22"/>
        </w:rPr>
        <w:t xml:space="preserve">Parents valued four characteristics across ALL trusted sources (JMIR Pediatrics &amp; Parenting, 2024): Perceived credibility and trustworthiness; relatability (shared lived experience); ease of accessibility; actionable, bite-sized information</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4.6 Clinical Counselling Outside Primary OB Care</w:t>
      </w:r>
    </w:p>
    <w:p>
      <w:pPr>
        <w:pStyle w:val="ListParagraph"/>
        <w:numPr>
          <w:ilvl w:val="0"/>
          <w:numId w:val="2"/>
        </w:numPr>
        <w:spacing w:after="40" w:before="40"/>
      </w:pPr>
      <w:r>
        <w:rPr>
          <w:rFonts w:ascii="Arial" w:cs="Arial" w:eastAsia="Arial" w:hAnsi="Arial"/>
          <w:sz w:val="22"/>
          <w:szCs w:val="22"/>
        </w:rPr>
        <w:t xml:space="preserve">Mental health counselling: General therapists may lack perinatal-specific training; OCD with intrusive thoughts and postpartum psychosis require specialist knowledge; ACOG CPG #4 and PSI support perinatal specialist referral</w:t>
      </w:r>
    </w:p>
    <w:p>
      <w:pPr>
        <w:pStyle w:val="ListParagraph"/>
        <w:numPr>
          <w:ilvl w:val="0"/>
          <w:numId w:val="2"/>
        </w:numPr>
        <w:spacing w:after="40" w:before="40"/>
      </w:pPr>
      <w:r>
        <w:rPr>
          <w:rFonts w:ascii="Arial" w:cs="Arial" w:eastAsia="Arial" w:hAnsi="Arial"/>
          <w:sz w:val="22"/>
          <w:szCs w:val="22"/>
        </w:rPr>
        <w:t xml:space="preserve">Telehealth: Digital delivery of perinatal mental health is effective and significantly increases access (particularly rural populations); ACOG PATH 2025 endorses telehealth as appropriate for certain monitoring and educational visits</w:t>
      </w:r>
    </w:p>
    <w:p>
      <w:pPr>
        <w:pStyle w:val="ListParagraph"/>
        <w:numPr>
          <w:ilvl w:val="0"/>
          <w:numId w:val="2"/>
        </w:numPr>
        <w:spacing w:after="40" w:before="40"/>
      </w:pPr>
      <w:r>
        <w:rPr>
          <w:rFonts w:ascii="Arial" w:cs="Arial" w:eastAsia="Arial" w:hAnsi="Arial"/>
          <w:sz w:val="22"/>
          <w:szCs w:val="22"/>
        </w:rPr>
        <w:t xml:space="preserve">National Maternal Mental Health Hotline: 1-833-TLC-MAMA (HRSA, 2022); 24/7; 60+ languages; licensed clinicians + peer specialists; primary referral for immediate support</w:t>
      </w:r>
    </w:p>
    <w:p>
      <w:pPr>
        <w:pStyle w:val="ListParagraph"/>
        <w:numPr>
          <w:ilvl w:val="0"/>
          <w:numId w:val="2"/>
        </w:numPr>
        <w:spacing w:after="40" w:before="40"/>
      </w:pPr>
      <w:r>
        <w:rPr>
          <w:rFonts w:ascii="Arial" w:cs="Arial" w:eastAsia="Arial" w:hAnsi="Arial"/>
          <w:sz w:val="22"/>
          <w:szCs w:val="22"/>
        </w:rPr>
        <w:t xml:space="preserve">Lactation consultants (IBCLCs): Evidence-based standard; frequently not covered by insurance; access concentrated in urban/affluent settings</w:t>
      </w:r>
    </w:p>
    <w:p>
      <w:pPr>
        <w:pStyle w:val="ListParagraph"/>
        <w:numPr>
          <w:ilvl w:val="0"/>
          <w:numId w:val="2"/>
        </w:numPr>
        <w:spacing w:after="40" w:before="40"/>
      </w:pPr>
      <w:r>
        <w:rPr>
          <w:rFonts w:ascii="Arial" w:cs="Arial" w:eastAsia="Arial" w:hAnsi="Arial"/>
          <w:sz w:val="22"/>
          <w:szCs w:val="22"/>
        </w:rPr>
        <w:t xml:space="preserve">Childbirth education: Lamaze and ICEA have established competencies; hospital-based classes may reflect institutional preferences; online courses variable quality</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4.7 Comprehensive Quality Signal Framework</w:t>
      </w:r>
    </w:p>
    <w:p>
      <w:pPr>
        <w:shd w:fill="D9EFE3" w:val="clear"/>
        <w:spacing w:after="120" w:before="100"/>
        <w:ind w:left="240" w:right="240"/>
      </w:pPr>
      <w:r>
        <w:rPr>
          <w:rFonts w:ascii="Arial" w:cs="Arial" w:eastAsia="Arial" w:hAnsi="Arial"/>
          <w:color w:val="1B3A6B"/>
          <w:sz w:val="21"/>
          <w:szCs w:val="21"/>
        </w:rPr>
        <w:t xml:space="preserve">For quality-detection model training: information should be assessed for alignment with the authoritative bodies detailed in Part I. The following table maps quality signals to guideline concordance.</w:t>
      </w:r>
    </w:p>
    <w:p>
      <w:pPr>
        <w:spacing w:after="80" w:before="80"/>
      </w:pPr>
      <w: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040"/>
        <w:gridCol w:w="3480"/>
        <w:gridCol w:w="3000"/>
      </w:tblGrid>
      <w:tr>
        <w:trPr>
          <w:tblHeader/>
        </w:trPr>
        <w:tc>
          <w:tcPr>
            <w:tcW w:type="dxa" w:w="20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Quality Dimension</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High-Quality / Guideline-Concordant Signal</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Low-Quality / Misinformation Signal</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authority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guideline body (ACOG, ACNM, AAP, SMFM, SFP, CDC, USPSTF, WHO, MedlinePlus, PSI); institutional affiliation disclosed; conflicts of interest declared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or unverified credentials; no institutional affiliation; commercial interests hidden</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 basis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Cites specific PBs, CPGs, committee opinions, or USPSTF Grade A/B recommendations by name or number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citations; 'research shows' without reference; cites single case reports or animal studies as definitive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sleep guidance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Aligns with AAP 2022 (updated 2025): back-to-sleep, firm flat surface, room-sharing without bed-sharing, no soft bedding, pacifier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Promotes stomach sleeping, co-sleeping without safety criteria, or commercial sleep products not meeting federal safety standards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Newborn procedures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Supports vitamin K, hepatitis B vaccine, eye ointment per AAP; explains rationale and evidence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Advises declining routine newborn procedures without medical justification; frames as 'conspiracy'</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Mental health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Endorses screening per ACOG CPG #4/USPSTF; treats PPD as medical condition requiring treatment; encourages PSI/HRSA hotline; distinguishes baby blues from PPD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Normalises all symptoms as hormonal; discourages medication; suggests PPD leads to infant removal; conflates OCD intrusive thoughts with danger</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Breastfeeding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Aligns with AAP/WHO/ACNM; supports medically indicated formula; avoids moralising; references LactMed for medication safety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Categorically prohibits formula or shames formula-feeding; promotes galactagogue supplements without evidence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Vaccines in pregnancy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Aligns with ACIP/ACOG/ACNM/AAP/CDC; addresses COVID-19, flu, Tdap; presents safety data; corrects infertility/miscarriage myths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Claims vaccine-infertility link; promotes delaying or refusing recommended vaccines in pregnancy</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Labour induction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Presents ARRIVE trial evidence; ACOG guidance on 39-week elective induction as an option; individual risk-benefit framing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Categorically opposes all induction; inverts ARRIVE trial findings; frames all induction as coercive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Epidural analgesia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Acknowledges patient right to pain relief (ACOG); corrects causal claim about caesareans; Cochrane evidence cited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Asserts epidural causes caesarean; frames analgesia as failure, weakness, or harm</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Contraception / EC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Aligns with SFP US MEC 2024; corrects abortifacient myths about EC and IUDs; presents method-specific evidence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Claims EC or IUDs cause abortion; promotes fertility awareness as equivalent to hormonal contraception without qualification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Postpartum care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ACOG 3-week/12-week visit timing; warns of fourth trimester warning signs per AWHONN/CDC; addresses sexual 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Implies all postpartum concerns resolve at 6 weeks; normalises incontinence without offering treatment; ignores sexual health</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Family planning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Counsels IPI evidence (18-23 months optimal); presents all contraceptive methods with guideline-based eligibility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Promotes breastfeeding as reliable contraception without LAM criteria; discourages LARC with overstated failure claims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Racial equity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Acknowledges documented disparities (CDC, KFF); describes structural causes; avoids biological race essentialism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Attributes disparities to biological differences; uses race-based clinical claims without guideline basis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Currency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2020+ guidelines; notes when guidance has changed (HIV/breastfeeding 2023, race-neutral VBAC); matches current ACOG/AAP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pre-2015 FDA pregnancy letter categories (A/B/C/D/X) as current; recommends practices contradicted by updated guidelines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Autonomy vs. paternalism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Respects patient right to make informed decisions; presents options with evidence; supports SDM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Prescribes single correct choice without patient values elicitation; shames deviation from ideological birth preferences</w:t>
            </w:r>
          </w:p>
        </w:tc>
      </w:tr>
    </w:tbl>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Part II: Comprehensive Reference Tables</w:t>
      </w:r>
    </w:p>
    <w:p>
      <w:pPr>
        <w:pStyle w:val="Heading2"/>
        <w:spacing w:after="120" w:before="360"/>
      </w:pPr>
      <w:r>
        <w:rPr>
          <w:rFonts w:ascii="Arial" w:cs="Arial" w:eastAsia="Arial" w:hAnsi="Arial"/>
          <w:b/>
          <w:bCs/>
          <w:color w:val="2E5FA3"/>
          <w:sz w:val="28"/>
          <w:szCs w:val="28"/>
        </w:rPr>
        <w:t xml:space="preserve">Table 1: Topic-to-Guideline Body Mapping</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040"/>
        <w:gridCol w:w="2520"/>
        <w:gridCol w:w="2640"/>
        <w:gridCol w:w="1320"/>
      </w:tblGrid>
      <w:tr>
        <w:trPr>
          <w:tblHeader/>
        </w:trPr>
        <w:tc>
          <w:tcPr>
            <w:tcW w:type="dxa" w:w="20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Clinical Topic</w:t>
            </w:r>
          </w:p>
        </w:tc>
        <w:tc>
          <w:tcPr>
            <w:tcW w:type="dxa" w:w="25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Guideline Authority</w:t>
            </w:r>
          </w:p>
        </w:tc>
        <w:tc>
          <w:tcPr>
            <w:tcW w:type="dxa" w:w="26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Specific Document</w:t>
            </w:r>
          </w:p>
        </w:tc>
        <w:tc>
          <w:tcPr>
            <w:tcW w:type="dxa" w:w="1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Consumer Resource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Prenatal care 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Framework 2025; MHQP 2024 Guidelines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Prenatal Care</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Prenatal nutrition/supplements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USPSTF (folic acid Grade A)</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USPSTF folic acid recommendation; ACOG nutrition in pregnancy</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Pregnancy and Nutrition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in pregnancy/postpartum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 on Physical Activity in Pregnancy (2020, reaffirmed 2023)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ACOG For Patients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Prenatal genetic screening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SMFM</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cfDNA guidance; SMFM consult on soft markers; Collart et al. SDM study 2024</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Prenatal Testing</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GBS screening and prophylaxis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PB on GBS management in labour</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GBS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Gestational diabetes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USPSTF (Grade B); SMFM</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PB on GDM; USPSTF GDM screening recommendation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GDM</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Hypertensive disorders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SMFM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PBs on preeclampsia and chronic hypertension; SMFM aspirin guidance (updated 2026)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Preeclampsia; CDC Hear Her</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Labour induction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SMFM; AWHONN</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PB on labour induction; ARRIVE trial (NEJM 2018)</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Labour; ACOG For Patients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management in labour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AWHONN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CO on pain relief; AWHONN nursing guideline on labour support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Labour</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Caesarean and VBAC</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SMFM</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ACOG-SMFM OCC on safe prevention of primary caesarean; ACOG VBAC PB</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C-section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Fetal heart rate monitoring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AWHONN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AWHONN FHR monitoring evidence-based guideline; ACOG guidance on EFM interpretation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reference</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Postpartum depression screening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CPG #4; USPSTF (Grade B); AAP</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EPDS, PHQ-9, GAD-7, Whooley Questions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PPD; PSI postpartum.net; HRSA 1-833-TLC-MAMA</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Postpartum depression treatment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CPG #5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CPG #5; zuranolone (2023 FDA); brexanolone (2019 FDA)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PSI (postpartum.net); HRSA hotline</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Fourth trimester care structure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AHRQ; SMFM</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CO #736 (2018, reaffirmed 2022); SMFM postpartum visits resource (2022); AHRQ SR (2023)</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Postpartum Care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Postpartum sexual health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(pelvic floor CO); AWHONN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review PMC 2025; Current Sexual Health Reports Springer 2022; FSFI validation Medicine 2024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Pelvic floor physiotherapy referral</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Safe sleep</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AAP (2022, updated 2025)</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AAP policy statement (159 scientific studies); CDC endorsement</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healthychildren.org; MedlinePlus: Safe Baby Sleep; CDC</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Breastfeeding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 (2022); WHO; ACOG; ACNM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 BF policy statement; WHO Ten Steps; HIV/BF updated 2023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Breastfeeding; LactMed</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Newborn procedures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AAP</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Vitamin K, HepB, erythromycin policy statements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healthychildren.org; MedlinePlus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Vaccines in pregnancy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ACIP/CDC; ACOG; ACNM; AAP</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 Tdap, COVID-19 recommended; HepB for susceptible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immunisation in pregnancy; MedlinePlus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Postpartum contraception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SMFM; SFP (US MEC 2024)</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SFP US MEC 2024 postpartum eligibility tables; SMFM Consult #48 (immediate LARC)</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 Birth Control</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Interpregnancy interval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ACOG-SMFM OCC #8; WHO</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 #8 reaffirmed 2025; Ni et al. SR (129 studies, n=46.8M, 2023); WHO ≥24 months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March of Dimes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Therapeutic termination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SMFM; NAF; SFP</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PB on second-trimester abortion; NAF CPGs (2024); SFP clinical recommendations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womenshealth.gov; NAF prochoice.org</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Periviable birth (22–25 weeks)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SMFM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ACOG-SMFM OCC #6 'Periviable Birth' (2017, reaffirmed)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Preterm Labour</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SDoH screening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(PATH 2025); ACNM; AWHONN</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PATH framework; PRAPARE validated tool</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Clinical</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Perinatal OCD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CPG #4; PSI</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CPG #4 addresses intrusive thoughts; ego-dystonic distinction critical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PSI (postpartum.net)</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Postpartum psychosis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CPG #4; Psychiatry consensus</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Emergency condition; immediate evaluation; PSI resources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PSI (postpartum.net); MedlinePlus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Neonatal abstinence syndrome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 SMFM; ACOG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Eat, Sleep, Console approach (AAP); OUD treatment (buprenorphine/methadone for maternal OUD)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 healthychildren.org</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 preterm infant care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AAP; AWHONN</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AAP clinical report; AWHONN evidence-based guideline 2nd Ed.</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healthychildren.org; MedlinePlus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Racial equity in perinatal care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AWHONN; SMFM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implicit bias CO; AWHONN RMC guideline; Science Advances IBT SR (2024)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Working Together; KFF</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Matrescence / fourth trimester identity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CO #736</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Raphael 1973 (coined term); Athan PhD (Columbia); Sacks MD (popularised)</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MMHLA Fact Sheets; PSI</w:t>
            </w:r>
          </w:p>
        </w:tc>
      </w:tr>
    </w:tbl>
    <w:p>
      <w:pPr>
        <w:spacing w:after="80" w:before="80"/>
      </w:pPr>
      <w:r>
        <w:t xml:space="preserve"/>
      </w:r>
    </w:p>
    <w:p>
      <w:pPr>
        <w:pStyle w:val="Heading2"/>
        <w:spacing w:after="120" w:before="360"/>
      </w:pPr>
      <w:r>
        <w:rPr>
          <w:rFonts w:ascii="Arial" w:cs="Arial" w:eastAsia="Arial" w:hAnsi="Arial"/>
          <w:b/>
          <w:bCs/>
          <w:color w:val="2E5FA3"/>
          <w:sz w:val="28"/>
          <w:szCs w:val="28"/>
        </w:rPr>
        <w:t xml:space="preserve">Table 2: MedlinePlus Topic Coverage</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324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MedlinePlus Topic</w:t>
            </w:r>
          </w:p>
        </w:tc>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URL Path</w:t>
            </w:r>
          </w:p>
        </w:tc>
        <w:tc>
          <w:tcPr>
            <w:tcW w:type="dxa" w:w="32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Pregnancy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medlineplus.gov/pregnancy.html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Prenatal care, nutrition, complications, tests, stages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Prenatal Care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medlineplus.gov/prenatalcare.html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Visit schedule, screening tests, what to expect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Postpartum Care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medlineplus.gov/postpartumcare.html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recovery, emotions, breastfeeding, activity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Postpartum Depression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medlineplus.gov/postpartumdepression.html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Symptoms, diagnosis, treatment; PSI and HRSA hotline referenced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Breastfeeding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medlineplus.gov/breastfeeding.html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Benefits, how-to, problems, medications; aligned with AAP 2022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Infant and Newborn Care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medlineplus.gov/infantandnewborncare.html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Newborn procedures, feeding, safety,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Baby Sleep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medlineplus.gov/safebabysleep.html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 safe sleep guidance in consumer language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Preeclampsia</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medlineplus.gov/preeclampsia.html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Symptoms, diagnosis, management; warning signs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Gestational Diabetes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medlineplus.gov/gestationaldiabetes.html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Screening, management, outcomes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Miscarriage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medlineplus.gov/miscarriage.html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Management options, grief, future pregnancy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Premature Babies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medlineplus.gov/prematurebabies.html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NICU care, developmental outcomes, family support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Birth Control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medlineplus.gov/birthcontrol.html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Postpartum contraception options; method descriptions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Prenatal Testing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medlineplus.gov/prenataltesting.html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Genetic screening, diagnostic testing, what tests mean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Newborn Screening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medlineplus.gov/newbornscreening.html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Metabolic, hearing, critical CHD screening; state programmes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LactMed (NLM)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ncbi.nlm.nih.gov/books/NBK501922/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 and supplement safety in breastfeeding; NLM database</w:t>
            </w:r>
          </w:p>
        </w:tc>
      </w:tr>
    </w:tbl>
    <w:p>
      <w:pPr>
        <w:spacing w:after="80" w:before="80"/>
      </w:pPr>
      <w:r>
        <w:t xml:space="preserve"/>
      </w:r>
    </w:p>
    <w:p>
      <w:pPr>
        <w:pStyle w:val="Heading2"/>
        <w:spacing w:after="120" w:before="360"/>
      </w:pPr>
      <w:r>
        <w:rPr>
          <w:rFonts w:ascii="Arial" w:cs="Arial" w:eastAsia="Arial" w:hAnsi="Arial"/>
          <w:b/>
          <w:bCs/>
          <w:color w:val="2E5FA3"/>
          <w:sz w:val="28"/>
          <w:szCs w:val="28"/>
        </w:rPr>
        <w:t xml:space="preserve">Table 3: Primary Evidence Sources by Domain</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120"/>
        <w:gridCol w:w="480"/>
        <w:gridCol w:w="1440"/>
        <w:gridCol w:w="348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Citation</w:t>
            </w:r>
          </w:p>
        </w:tc>
        <w:tc>
          <w:tcPr>
            <w:tcW w:type="dxa" w:w="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 Y et al. JMIR Pediatrics &amp; Parenting. 2022.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Taxonomy of pregnancy information needs; top topics: labour, tests, medications, newborn care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Jackson GP et al. AHRQ Final Report. 2019.</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Mixed methods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Unmet informational, medical, logistical, and social needs in maternal-fetal care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Henrich N et al. JMIR Form Res. 2024;8:e48960.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methods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health needs and preferences; 90–97% of pregnant people use internet for perinatal information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CO #736 'Optimizing Postpartum Care.' 2018, reaffirmed 2022.</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Clinical guideline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Formalises 'fourth trimester'; recommends 3-week initial contact; 12-week comprehensive visit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AHRQ 23-EHC010 Postpartum Care SR. 2023.</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&amp; meta-analysis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Comprehensive postpartum care evidence; documents fragmentation and gaps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Sexual Medicine (Oxford). 2020; Barrett et al.</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Cross-sectional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89% resume sexual activity within 6 months; significant worsening in all sexual domains postpartum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review on postpartum sexual dysfunction. PMC. 2025. 15 studies, PRISMA.</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Perineal morbidity + early pain predict worse sexual outcomes; assisted vaginal birth OR 2.5 for 6-month dyspareunia; breastfeeding independently associated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Sexual Health Reports. Springer. 2022.</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Narrative review</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Holistic approach needed; emotional, relational, psychological dimensions underresearched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 et al. Acta Obstet Gynecol Scand. 2023. 129 studies, n=46.8M.</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&amp; meta-analysis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IPI &lt;6 months: 40% higher odds PTB; 61% higher odds LBW; 26% higher odds SGA vs 18-23 months reference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PLOS One (2021). 5.5M births: Australia/Finland/Norway/California.</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International cohort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Within-women analyses attenuate but do not eliminate IPI associations, suggesting partial causal effect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Grobman et al. (ARRIVE trial). NEJM. 2018;379:513-523.</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Multi-site RCT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Elective induction at 39 weeks REDUCES (not increases) caesarean rate in low-risk nulliparous women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Ickovics JR et al. Obstet Gynecol. 2007;110:330-339.</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Multi-site RCT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CenteringPregnancy: 33% reduction in preterm birth; greater benefit for Black women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Attanasio LB, Ranchoff BL. J Womens Health. 2022;31:1411-1421. n=3,000+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Prospective cohort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person-centered maternity care scores significantly predict worse postpartum outcomes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AWHONN RMC Guideline. JOGNN. 2022;51(2):e3-e54.</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Evidence-based guideline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Defines and operationalises respectful maternity care as nursing practice standard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Science Advances IBT SR. 2024. 77 studies.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IBT trainings lack specificity; evidence for behavioural change from training alone is limited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Hoffman KM et al. PNAS. 2016.</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Experimental survey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Medical students endorsing race-based pain myths more likely to under-prescribe analgesics to Black patients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Zyrek J et al. Sci Rep. 2024;14:6906. n=932.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Prospective cohort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social support during pregnancy significantly reduces PPD risk across all four support dimensions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Place JMS et al. Front Glob Womens Health. 2024;5:1335437.</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Narrative review</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PPD help-seeking barriers including myth acceptance; socio-ecological model mapping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Liddell JL et al. Women's Reprod Health. 2025.</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 (n=39)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Fear of CPS is a pervasive barrier to PMAD help-seeking; disclosure risks perceived custody threat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BMC Pregnancy &amp; Childbirth. 2022. Qualitative, n=25 UK mothers.</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Qualitative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Peer support provides what professional services cannot: validation through lived experience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Darney B et al. Ann Intern Med. 2022;175:980-993.</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&amp; meta-analysis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Contraceptive counselling + provision increases use 19% (RR 1.19); dual-timepoint counselling: 4.25x LARC odds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BMJ Open SR/meta-analysis. 2024. 6 studies, n=2,856.</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 &amp; meta-analysis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Spousal discussion associated with PPFP uptake (log OR=1.39); pooled PPFP prevalence 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 B et al. JMIR. 2025;27:e67620.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Scoping review (30 studies)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quality features for perinatal digital health information from women's perspective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Muskens L et al. Midwifery. 2024;129:103905. n=1,135.</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Longitudinal cohort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Problematic social media use independently predicts worse mental health outcomes in pregnancy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Malik M et al. Med Princ Pract. 2024;33(3):232-241.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 misinformation about pregnancy and COVID-19 vaccines; key platforms identified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KFF Health Misinformation Monitor. 2024 (Contraception edition).</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Policy/data report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IUD/EC abortifacient myths; hormonal contraception fears; social media amplification documented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JN &amp; Gorman S. JGIM. 2024;40(5):1123-1131.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misleading information about women's reproductive health; 47 articles 2010-2024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SFP. US Medical Eligibility Criteria for Contraceptive Use. 2024. MMWR 73/RR-3.</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Clinical guideline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Definitive eligibility criteria for all contraceptive methods postpartum, breastfeeding, and post-abortion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US Selected Practice Recommendations. 2024. MMWR 73/RR-3.</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guideline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guidance for contraceptive timing; Cu-IUD can be placed any time postpartum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SMFM Consult Series #48: Immediate Postpartum LARC. 2019.</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Clinical guideline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IPP LARC safe, effective, high continuation rates; Medicaid reimbursement 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Howard LM, Khalifeh H. World Psychiatry. 2020.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Perinatal mental health: review of progress and challenges; prevalence across spectrum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ACOG CPG #4. Obstet Gynecol. 2023;141:1232-1261.</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Clinical guideline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Screening and diagnosis of perinatal mental health conditions; validated tool 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ACOG CPG #5. Obstet Gynecol. 2023.</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guideline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Treatment and management of perinatal mental health conditions; includes zuranolone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Cavanagh M et al. JGOH. 2022;51(9):102457.</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RCT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Brief prenatal counselling increased postpartum LARC acceptability from 34.5% to 74.5% in Hispanic women</w:t>
            </w:r>
          </w:p>
        </w:tc>
      </w:tr>
    </w:tbl>
    <w:p>
      <w:pPr>
        <w:spacing w:after="80" w:before="80"/>
      </w:pPr>
      <w:r>
        <w:t xml:space="preserve"/>
      </w:r>
    </w:p>
    <w:p>
      <w:pPr>
        <w:pBdr>
          <w:bottom w:val="single" w:color="CCCCCC" w:sz="2" w:space="1"/>
        </w:pBdr>
        <w:spacing w:after="240" w:before="240"/>
      </w:pPr>
    </w:p>
    <w:p>
      <w:pPr>
        <w:spacing w:after="80" w:before="80"/>
      </w:pPr>
      <w:r>
        <w:t xml:space="preserve"/>
      </w:r>
    </w:p>
    <w:p>
      <w:pPr>
        <w:spacing w:after="200" w:before="200"/>
        <w:jc w:val="center"/>
      </w:pPr>
      <w:r>
        <w:rPr>
          <w:rFonts w:ascii="Arial" w:cs="Arial" w:eastAsia="Arial" w:hAnsi="Arial"/>
          <w:i/>
          <w:iCs/>
          <w:color w:val="888888"/>
          <w:sz w:val="18"/>
          <w:szCs w:val="18"/>
        </w:rPr>
        <w:t xml:space="preserve">Merged &amp; revised comprehensive evidence base for perinatal health AI model training | April 2026 | Companion document: Perinatal Misinformation Supplement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2026-04-16T11:34:56.577Z</dcterms:created>
  <dcterms:modified xsi:type="dcterms:W3CDTF">2026-04-16T11:34:56.579Z</dcterms:modified>
</cp:coreProperties>
</file>

<file path=docProps/custom.xml><?xml version="1.0" encoding="utf-8"?>
<Properties xmlns="http://schemas.openxmlformats.org/officeDocument/2006/custom-properties" xmlns:vt="http://schemas.openxmlformats.org/officeDocument/2006/docPropsVTypes"/>
</file>