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CRO SoW</w:t>
      </w:r>
    </w:p>
    <w:p>
      <w:r>
        <w:t>Project: tnaas-HDAC6-v2-benchmark</w:t>
      </w:r>
    </w:p>
    <w:p>
      <w:r>
        <w:t>Targets: HDAC6</w:t>
      </w:r>
    </w:p>
    <w:p>
      <w:r>
        <w:t>Molecules: 1</w:t>
      </w:r>
    </w:p>
    <w:p>
      <w:pPr>
        <w:pStyle w:val="Heading2"/>
      </w:pPr>
      <w:r>
        <w:t>Line Items</w:t>
      </w:r>
    </w:p>
    <w:p>
      <w:pPr>
        <w:pStyle w:val="ListBullet"/>
      </w:pPr>
      <w:r>
        <w:t>Assay setup and validation</w:t>
      </w:r>
    </w:p>
    <w:p>
      <w:pPr>
        <w:pStyle w:val="ListBullet"/>
      </w:pPr>
      <w:r>
        <w:t>Primary screening (per target)</w:t>
      </w:r>
    </w:p>
    <w:p>
      <w:pPr>
        <w:pStyle w:val="ListBullet"/>
      </w:pPr>
      <w:r>
        <w:t>Counterscreens and orthogonal assays</w:t>
      </w:r>
    </w:p>
    <w:p>
      <w:pPr>
        <w:pStyle w:val="ListBullet"/>
      </w:pPr>
      <w:r>
        <w:t>ADMET panel (hERG/CYP/solubility/permeability)</w:t>
      </w:r>
    </w:p>
    <w:p>
      <w:pPr>
        <w:pStyle w:val="Heading2"/>
      </w:pPr>
      <w:r>
        <w:t>Timeline (weeks)</w:t>
      </w:r>
    </w:p>
    <w:p>
      <w:pPr>
        <w:pStyle w:val="ListBullet"/>
      </w:pPr>
      <w:r>
        <w:t>Week 1–2: Setup &amp; validation</w:t>
      </w:r>
    </w:p>
    <w:p>
      <w:pPr>
        <w:pStyle w:val="ListBullet"/>
      </w:pPr>
      <w:r>
        <w:t>Week 3–4: Primary runs</w:t>
      </w:r>
    </w:p>
    <w:p>
      <w:pPr>
        <w:pStyle w:val="ListBullet"/>
      </w:pPr>
      <w:r>
        <w:t>Week 5: Counterscreens &amp; ADMET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