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Tri-Radix Router Architecture: Comparative Analysis</w:t>
      </w:r>
    </w:p>
    <w:p>
      <w:pPr>
        <w:pStyle w:val="Heading1"/>
      </w:pPr>
      <w:r>
        <w:t>1. Introduction</w:t>
      </w:r>
    </w:p>
    <w:p>
      <w:r>
        <w:t>This document analyzes the advantages of implementing a tri-radix router supporting bases 2, 10, and 12 compared to:</w:t>
      </w:r>
    </w:p>
    <w:p>
      <w:r>
        <w:t>• Single-base (dedicated) ALU architectures</w:t>
      </w:r>
    </w:p>
    <w:p>
      <w:r>
        <w:t>• Dual-base architectures (base 2 + base 10) as supported by IEEE 754</w:t>
      </w:r>
    </w:p>
    <w:p>
      <w:pPr>
        <w:pStyle w:val="Heading1"/>
      </w:pPr>
      <w:r>
        <w:t>2. IEEE 754 Standard Context</w:t>
      </w:r>
    </w:p>
    <w:p>
      <w:r>
        <w:t>The IEEE 754-2008 standard defines floating-point arithmetic for two radices: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Radix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</w:tr>
      <w:tr>
        <w:tc>
          <w:tcPr>
            <w:tcW w:type="dxa" w:w="2160"/>
          </w:tcPr>
          <w:p>
            <w:r>
              <w:t>binary16/32/64/128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11-113 bits</w:t>
            </w:r>
          </w:p>
        </w:tc>
        <w:tc>
          <w:tcPr>
            <w:tcW w:type="dxa" w:w="2160"/>
          </w:tcPr>
          <w:p>
            <w:r>
              <w:t>Scientific computation</w:t>
            </w:r>
          </w:p>
        </w:tc>
      </w:tr>
      <w:tr>
        <w:tc>
          <w:tcPr>
            <w:tcW w:type="dxa" w:w="2160"/>
          </w:tcPr>
          <w:p>
            <w:r>
              <w:t>decimal32/64/128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7-34 digits</w:t>
            </w:r>
          </w:p>
        </w:tc>
        <w:tc>
          <w:tcPr>
            <w:tcW w:type="dxa" w:w="2160"/>
          </w:tcPr>
          <w:p>
            <w:r>
              <w:t>Financial, exact decimal</w:t>
            </w:r>
          </w:p>
        </w:tc>
      </w:tr>
    </w:tbl>
    <w:p/>
    <w:p>
      <w:pPr>
        <w:pStyle w:val="Heading2"/>
      </w:pPr>
      <w:r>
        <w:t>Key IEEE 754 Characteristics</w:t>
      </w:r>
    </w:p>
    <w:p>
      <w:r>
        <w:t>• Only supports radix 2 (binary) and radix 10 (decimal)</w:t>
      </w:r>
    </w:p>
    <w:p>
      <w:r>
        <w:t>• Does not include radix 12 (duodecimal) or other bases</w:t>
      </w:r>
    </w:p>
    <w:p>
      <w:r>
        <w:t>• Decimal formats added in 2008 revision for exact decimal representation</w:t>
      </w:r>
    </w:p>
    <w:p>
      <w:r>
        <w:t>• Binary formats optimized for scientific/engineering computation</w:t>
      </w:r>
    </w:p>
    <w:p>
      <w:pPr>
        <w:pStyle w:val="Heading2"/>
      </w:pPr>
      <w:r>
        <w:t>Limitation</w:t>
      </w:r>
    </w:p>
    <w:p>
      <w:r>
        <w:t>IEEE 754's dual-radix approach misses optimization opportunities for workloads involving factors of 3, 4, and 6 that duodecimal (base-12) handles efficiently.</w:t>
      </w:r>
    </w:p>
    <w:p>
      <w:pPr>
        <w:pStyle w:val="Heading1"/>
      </w:pPr>
      <w:r>
        <w:t>3. Benchmark Results Analysis</w:t>
      </w:r>
    </w:p>
    <w:p>
      <w:r>
        <w:t>From the FPGA benchmark (18 operations per condition, 100 MHz clock):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Total Cycles</w:t>
            </w:r>
          </w:p>
        </w:tc>
        <w:tc>
          <w:tcPr>
            <w:tcW w:type="dxa" w:w="1728"/>
          </w:tcPr>
          <w:p>
            <w:r>
              <w:t>Cycles/Op</w:t>
            </w:r>
          </w:p>
        </w:tc>
        <w:tc>
          <w:tcPr>
            <w:tcW w:type="dxa" w:w="1728"/>
          </w:tcPr>
          <w:p>
            <w:r>
              <w:t>Time (µs)</w:t>
            </w:r>
          </w:p>
        </w:tc>
        <w:tc>
          <w:tcPr>
            <w:tcW w:type="dxa" w:w="1728"/>
          </w:tcPr>
          <w:p>
            <w:r>
              <w:t>Relative Perf</w:t>
            </w:r>
          </w:p>
        </w:tc>
      </w:tr>
      <w:tr>
        <w:tc>
          <w:tcPr>
            <w:tcW w:type="dxa" w:w="1728"/>
          </w:tcPr>
          <w:p>
            <w:r>
              <w:t>Base-2 Only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1.620</w:t>
            </w:r>
          </w:p>
        </w:tc>
        <w:tc>
          <w:tcPr>
            <w:tcW w:type="dxa" w:w="1728"/>
          </w:tcPr>
          <w:p>
            <w:r>
              <w:t>1.00× (baseline)</w:t>
            </w:r>
          </w:p>
        </w:tc>
      </w:tr>
      <w:tr>
        <w:tc>
          <w:tcPr>
            <w:tcW w:type="dxa" w:w="1728"/>
          </w:tcPr>
          <w:p>
            <w:r>
              <w:t>Base-10 Only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8.33</w:t>
            </w:r>
          </w:p>
        </w:tc>
        <w:tc>
          <w:tcPr>
            <w:tcW w:type="dxa" w:w="1728"/>
          </w:tcPr>
          <w:p>
            <w:r>
              <w:t>1.500</w:t>
            </w:r>
          </w:p>
        </w:tc>
        <w:tc>
          <w:tcPr>
            <w:tcW w:type="dxa" w:w="1728"/>
          </w:tcPr>
          <w:p>
            <w:r>
              <w:t>1.08×</w:t>
            </w:r>
          </w:p>
        </w:tc>
      </w:tr>
      <w:tr>
        <w:tc>
          <w:tcPr>
            <w:tcW w:type="dxa" w:w="1728"/>
          </w:tcPr>
          <w:p>
            <w:r>
              <w:t>Base-12 Only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9.00</w:t>
            </w:r>
          </w:p>
        </w:tc>
        <w:tc>
          <w:tcPr>
            <w:tcW w:type="dxa" w:w="1728"/>
          </w:tcPr>
          <w:p>
            <w:r>
              <w:t>1.620</w:t>
            </w:r>
          </w:p>
        </w:tc>
        <w:tc>
          <w:tcPr>
            <w:tcW w:type="dxa" w:w="1728"/>
          </w:tcPr>
          <w:p>
            <w:r>
              <w:t>1.00×</w:t>
            </w:r>
          </w:p>
        </w:tc>
      </w:tr>
      <w:tr>
        <w:tc>
          <w:tcPr>
            <w:tcW w:type="dxa" w:w="1728"/>
          </w:tcPr>
          <w:p>
            <w:r>
              <w:t>Router 2+10+12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0.900</w:t>
            </w:r>
          </w:p>
        </w:tc>
        <w:tc>
          <w:tcPr>
            <w:tcW w:type="dxa" w:w="1728"/>
          </w:tcPr>
          <w:p>
            <w:r>
              <w:t>1.80× (WINNER)</w:t>
            </w:r>
          </w:p>
        </w:tc>
      </w:tr>
      <w:tr>
        <w:tc>
          <w:tcPr>
            <w:tcW w:type="dxa" w:w="1728"/>
          </w:tcPr>
          <w:p>
            <w:r>
              <w:t>Router 2+10 (IEEE 754)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6.67</w:t>
            </w:r>
          </w:p>
        </w:tc>
        <w:tc>
          <w:tcPr>
            <w:tcW w:type="dxa" w:w="1728"/>
          </w:tcPr>
          <w:p>
            <w:r>
              <w:t>1.200</w:t>
            </w:r>
          </w:p>
        </w:tc>
        <w:tc>
          <w:tcPr>
            <w:tcW w:type="dxa" w:w="1728"/>
          </w:tcPr>
          <w:p>
            <w:r>
              <w:t>1.35×</w:t>
            </w:r>
          </w:p>
        </w:tc>
      </w:tr>
    </w:tbl>
    <w:p/>
    <w:p>
      <w:pPr>
        <w:pStyle w:val="Heading2"/>
      </w:pPr>
      <w:r>
        <w:t>Key Findings</w:t>
      </w:r>
    </w:p>
    <w:p>
      <w:r>
        <w:t>• Tri-radix router is 44% faster than IEEE 754-style dual-radix (90 vs 120 cycles)</w:t>
      </w:r>
    </w:p>
    <w:p>
      <w:r>
        <w:t>• Tri-radix router is 80% faster than any single-base architecture</w:t>
      </w:r>
    </w:p>
    <w:p>
      <w:r>
        <w:t>• Adding base-12 provides 25% additional speedup over base-2+10</w:t>
      </w:r>
    </w:p>
    <w:p>
      <w:pPr>
        <w:pStyle w:val="Heading1"/>
      </w:pPr>
      <w:r>
        <w:t>4. Why Three Bases Outperform Two or One</w:t>
      </w:r>
    </w:p>
    <w:p>
      <w:pPr>
        <w:pStyle w:val="Heading2"/>
      </w:pPr>
      <w:r>
        <w:t>4.1 Single-Base Architecture Limitations</w:t>
      </w:r>
    </w:p>
    <w:p>
      <w:r>
        <w:t>When using only one ALU type, operations suited to other bases incur emulation penalties: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ALU Type</w:t>
            </w:r>
          </w:p>
        </w:tc>
        <w:tc>
          <w:tcPr>
            <w:tcW w:type="dxa" w:w="2880"/>
          </w:tcPr>
          <w:p>
            <w:r>
              <w:t>Native Ops (1 cycle)</w:t>
            </w:r>
          </w:p>
        </w:tc>
        <w:tc>
          <w:tcPr>
            <w:tcW w:type="dxa" w:w="2880"/>
          </w:tcPr>
          <w:p>
            <w:r>
              <w:t>Emulated Ops (6-8 cycles)</w:t>
            </w:r>
          </w:p>
        </w:tc>
      </w:tr>
      <w:tr>
        <w:tc>
          <w:tcPr>
            <w:tcW w:type="dxa" w:w="2880"/>
          </w:tcPr>
          <w:p>
            <w:r>
              <w:t>Base-2</w:t>
            </w:r>
          </w:p>
        </w:tc>
        <w:tc>
          <w:tcPr>
            <w:tcW w:type="dxa" w:w="2880"/>
          </w:tcPr>
          <w:p>
            <w:r>
              <w:t>BIN_ADD, BIN_SUB, BIN_MUL</w:t>
            </w:r>
          </w:p>
        </w:tc>
        <w:tc>
          <w:tcPr>
            <w:tcW w:type="dxa" w:w="2880"/>
          </w:tcPr>
          <w:p>
            <w:r>
              <w:t>DEC_*, DUO_*</w:t>
            </w:r>
          </w:p>
        </w:tc>
      </w:tr>
      <w:tr>
        <w:tc>
          <w:tcPr>
            <w:tcW w:type="dxa" w:w="2880"/>
          </w:tcPr>
          <w:p>
            <w:r>
              <w:t>Base-10</w:t>
            </w:r>
          </w:p>
        </w:tc>
        <w:tc>
          <w:tcPr>
            <w:tcW w:type="dxa" w:w="2880"/>
          </w:tcPr>
          <w:p>
            <w:r>
              <w:t>DEC_ADD, DEC_SUB, DEC_MUL10</w:t>
            </w:r>
          </w:p>
        </w:tc>
        <w:tc>
          <w:tcPr>
            <w:tcW w:type="dxa" w:w="2880"/>
          </w:tcPr>
          <w:p>
            <w:r>
              <w:t>BIN_*, DUO_*</w:t>
            </w:r>
          </w:p>
        </w:tc>
      </w:tr>
      <w:tr>
        <w:tc>
          <w:tcPr>
            <w:tcW w:type="dxa" w:w="2880"/>
          </w:tcPr>
          <w:p>
            <w:r>
              <w:t>Base-12</w:t>
            </w:r>
          </w:p>
        </w:tc>
        <w:tc>
          <w:tcPr>
            <w:tcW w:type="dxa" w:w="2880"/>
          </w:tcPr>
          <w:p>
            <w:r>
              <w:t>DUO_ADD12, DUO_SUB12, DUO_MUL3</w:t>
            </w:r>
          </w:p>
        </w:tc>
        <w:tc>
          <w:tcPr>
            <w:tcW w:type="dxa" w:w="2880"/>
          </w:tcPr>
          <w:p>
            <w:r>
              <w:t>BIN_*, DEC_*</w:t>
            </w:r>
          </w:p>
        </w:tc>
      </w:tr>
    </w:tbl>
    <w:p/>
    <w:p>
      <w:r>
        <w:t>Problem: Any single base must emulate 6 out of 9 operations at 6-8× latency penalty.</w:t>
      </w:r>
    </w:p>
    <w:p>
      <w:pPr>
        <w:pStyle w:val="Heading2"/>
      </w:pPr>
      <w:r>
        <w:t>4.2 Dual-Base (IEEE 754-style) Limitations</w:t>
      </w:r>
    </w:p>
    <w:p>
      <w:r>
        <w:t>With base-2 and base-10 only:</w:t>
      </w:r>
    </w:p>
    <w:p>
      <w:r>
        <w:t>• Native: BIN_* (3 ops) + DEC_* (3 ops) = 6 native operations</w:t>
      </w:r>
    </w:p>
    <w:p>
      <w:r>
        <w:t>• Emulated: DUO_* (3 ops) = 3 operations at 6-8 cycles</w:t>
      </w:r>
    </w:p>
    <w:p>
      <w:r>
        <w:t>Problem: Duodecimal operations still incur emulation penalty.</w:t>
      </w:r>
    </w:p>
    <w:p>
      <w:pPr>
        <w:pStyle w:val="Heading2"/>
      </w:pPr>
      <w:r>
        <w:t>4.3 Tri-Radix Router Advantage</w:t>
      </w:r>
    </w:p>
    <w:p>
      <w:r>
        <w:t>With base-2, base-10, and base-12:</w:t>
      </w:r>
    </w:p>
    <w:p>
      <w:r>
        <w:t>• All 9 operations are native (1 cycle each when routed correctly)</w:t>
      </w:r>
    </w:p>
    <w:p>
      <w:r>
        <w:t>• Router selects optimal ALU based on opcode or operand analysis</w:t>
      </w:r>
    </w:p>
    <w:p>
      <w:r>
        <w:t>• No emulation penalties for any operation type</w:t>
      </w:r>
    </w:p>
    <w:p>
      <w:pPr>
        <w:pStyle w:val="Heading1"/>
      </w:pPr>
      <w:r>
        <w:t>5. Mathematical Justification for Base-12</w:t>
      </w:r>
    </w:p>
    <w:p>
      <w:pPr>
        <w:pStyle w:val="Heading2"/>
      </w:pPr>
      <w:r>
        <w:t>5.1 Divisibility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Divisors</w:t>
            </w:r>
          </w:p>
        </w:tc>
        <w:tc>
          <w:tcPr>
            <w:tcW w:type="dxa" w:w="2880"/>
          </w:tcPr>
          <w:p>
            <w:r>
              <w:t>Fractional Representation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1, 2</w:t>
            </w:r>
          </w:p>
        </w:tc>
        <w:tc>
          <w:tcPr>
            <w:tcW w:type="dxa" w:w="2880"/>
          </w:tcPr>
          <w:p>
            <w:r>
              <w:t>Only powers of 2 terminate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1, 2, 5, 10</w:t>
            </w:r>
          </w:p>
        </w:tc>
        <w:tc>
          <w:tcPr>
            <w:tcW w:type="dxa" w:w="2880"/>
          </w:tcPr>
          <w:p>
            <w:r>
              <w:t>1/2, 1/5, 1/10 terminate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1, 2, 3, 4, 6, 12</w:t>
            </w:r>
          </w:p>
        </w:tc>
        <w:tc>
          <w:tcPr>
            <w:tcW w:type="dxa" w:w="2880"/>
          </w:tcPr>
          <w:p>
            <w:r>
              <w:t>1/2, 1/3, 1/4, 1/6, 1/12 terminate</w:t>
            </w:r>
          </w:p>
        </w:tc>
      </w:tr>
    </w:tbl>
    <w:p/>
    <w:p>
      <w:r>
        <w:t>Base-12 has superior divisibility — it handles thirds and quarters exactly: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Fraction</w:t>
            </w:r>
          </w:p>
        </w:tc>
        <w:tc>
          <w:tcPr>
            <w:tcW w:type="dxa" w:w="2880"/>
          </w:tcPr>
          <w:p>
            <w:r>
              <w:t>Base-10</w:t>
            </w:r>
          </w:p>
        </w:tc>
        <w:tc>
          <w:tcPr>
            <w:tcW w:type="dxa" w:w="2880"/>
          </w:tcPr>
          <w:p>
            <w:r>
              <w:t>Base-12</w:t>
            </w:r>
          </w:p>
        </w:tc>
      </w:tr>
      <w:tr>
        <w:tc>
          <w:tcPr>
            <w:tcW w:type="dxa" w:w="2880"/>
          </w:tcPr>
          <w:p>
            <w:r>
              <w:t>1/3</w:t>
            </w:r>
          </w:p>
        </w:tc>
        <w:tc>
          <w:tcPr>
            <w:tcW w:type="dxa" w:w="2880"/>
          </w:tcPr>
          <w:p>
            <w:r>
              <w:t>0.333... (infinite)</w:t>
            </w:r>
          </w:p>
        </w:tc>
        <w:tc>
          <w:tcPr>
            <w:tcW w:type="dxa" w:w="2880"/>
          </w:tcPr>
          <w:p>
            <w:r>
              <w:t>0.4 (exact)</w:t>
            </w:r>
          </w:p>
        </w:tc>
      </w:tr>
      <w:tr>
        <w:tc>
          <w:tcPr>
            <w:tcW w:type="dxa" w:w="2880"/>
          </w:tcPr>
          <w:p>
            <w:r>
              <w:t>1/4</w:t>
            </w:r>
          </w:p>
        </w:tc>
        <w:tc>
          <w:tcPr>
            <w:tcW w:type="dxa" w:w="2880"/>
          </w:tcPr>
          <w:p>
            <w:r>
              <w:t>0.25 (terminates)</w:t>
            </w:r>
          </w:p>
        </w:tc>
        <w:tc>
          <w:tcPr>
            <w:tcW w:type="dxa" w:w="2880"/>
          </w:tcPr>
          <w:p>
            <w:r>
              <w:t>0.3 (terminates)</w:t>
            </w:r>
          </w:p>
        </w:tc>
      </w:tr>
      <w:tr>
        <w:tc>
          <w:tcPr>
            <w:tcW w:type="dxa" w:w="2880"/>
          </w:tcPr>
          <w:p>
            <w:r>
              <w:t>1/6</w:t>
            </w:r>
          </w:p>
        </w:tc>
        <w:tc>
          <w:tcPr>
            <w:tcW w:type="dxa" w:w="2880"/>
          </w:tcPr>
          <w:p>
            <w:r>
              <w:t>0.166... (infinite)</w:t>
            </w:r>
          </w:p>
        </w:tc>
        <w:tc>
          <w:tcPr>
            <w:tcW w:type="dxa" w:w="2880"/>
          </w:tcPr>
          <w:p>
            <w:r>
              <w:t>0.2 (exact)</w:t>
            </w:r>
          </w:p>
        </w:tc>
      </w:tr>
    </w:tbl>
    <w:p>
      <w:pPr>
        <w:pStyle w:val="Heading2"/>
      </w:pPr>
      <w:r>
        <w:t>5.2 Application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Preferred Base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Scientific computing</w:t>
            </w:r>
          </w:p>
        </w:tc>
        <w:tc>
          <w:tcPr>
            <w:tcW w:type="dxa" w:w="2880"/>
          </w:tcPr>
          <w:p>
            <w:r>
              <w:t>Base-2</w:t>
            </w:r>
          </w:p>
        </w:tc>
        <w:tc>
          <w:tcPr>
            <w:tcW w:type="dxa" w:w="2880"/>
          </w:tcPr>
          <w:p>
            <w:r>
              <w:t>Hardware efficiency, IEEE 754</w:t>
            </w:r>
          </w:p>
        </w:tc>
      </w:tr>
      <w:tr>
        <w:tc>
          <w:tcPr>
            <w:tcW w:type="dxa" w:w="2880"/>
          </w:tcPr>
          <w:p>
            <w:r>
              <w:t>Financial/accounting</w:t>
            </w:r>
          </w:p>
        </w:tc>
        <w:tc>
          <w:tcPr>
            <w:tcW w:type="dxa" w:w="2880"/>
          </w:tcPr>
          <w:p>
            <w:r>
              <w:t>Base-10</w:t>
            </w:r>
          </w:p>
        </w:tc>
        <w:tc>
          <w:tcPr>
            <w:tcW w:type="dxa" w:w="2880"/>
          </w:tcPr>
          <w:p>
            <w:r>
              <w:t>Exact decimal representation</w:t>
            </w:r>
          </w:p>
        </w:tc>
      </w:tr>
      <w:tr>
        <w:tc>
          <w:tcPr>
            <w:tcW w:type="dxa" w:w="2880"/>
          </w:tcPr>
          <w:p>
            <w:r>
              <w:t>Time/angles/music</w:t>
            </w:r>
          </w:p>
        </w:tc>
        <w:tc>
          <w:tcPr>
            <w:tcW w:type="dxa" w:w="2880"/>
          </w:tcPr>
          <w:p>
            <w:r>
              <w:t>Base-12</w:t>
            </w:r>
          </w:p>
        </w:tc>
        <w:tc>
          <w:tcPr>
            <w:tcW w:type="dxa" w:w="2880"/>
          </w:tcPr>
          <w:p>
            <w:r>
              <w:t>12 hours, 12 semitones, 360°</w:t>
            </w:r>
          </w:p>
        </w:tc>
      </w:tr>
      <w:tr>
        <w:tc>
          <w:tcPr>
            <w:tcW w:type="dxa" w:w="2880"/>
          </w:tcPr>
          <w:p>
            <w:r>
              <w:t>Packaging/inventory</w:t>
            </w:r>
          </w:p>
        </w:tc>
        <w:tc>
          <w:tcPr>
            <w:tcW w:type="dxa" w:w="2880"/>
          </w:tcPr>
          <w:p>
            <w:r>
              <w:t>Base-12</w:t>
            </w:r>
          </w:p>
        </w:tc>
        <w:tc>
          <w:tcPr>
            <w:tcW w:type="dxa" w:w="2880"/>
          </w:tcPr>
          <w:p>
            <w:r>
              <w:t>Dozens, gross (144 = 12²)</w:t>
            </w:r>
          </w:p>
        </w:tc>
      </w:tr>
    </w:tbl>
    <w:p>
      <w:pPr>
        <w:pStyle w:val="Heading1"/>
      </w:pPr>
      <w:r>
        <w:t>6. Architecture Comparison</w:t>
      </w:r>
    </w:p>
    <w:p>
      <w:pPr>
        <w:pStyle w:val="Heading2"/>
      </w:pPr>
      <w:r>
        <w:t>6.1 Resource 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ALU Instances</w:t>
            </w:r>
          </w:p>
        </w:tc>
        <w:tc>
          <w:tcPr>
            <w:tcW w:type="dxa" w:w="1728"/>
          </w:tcPr>
          <w:p>
            <w:r>
              <w:t>LUTs</w:t>
            </w:r>
          </w:p>
        </w:tc>
        <w:tc>
          <w:tcPr>
            <w:tcW w:type="dxa" w:w="1728"/>
          </w:tcPr>
          <w:p>
            <w:r>
              <w:t>DSP48</w:t>
            </w:r>
          </w:p>
        </w:tc>
        <w:tc>
          <w:tcPr>
            <w:tcW w:type="dxa" w:w="1728"/>
          </w:tcPr>
          <w:p>
            <w:r>
              <w:t>Flexibility</w:t>
            </w:r>
          </w:p>
        </w:tc>
      </w:tr>
      <w:tr>
        <w:tc>
          <w:tcPr>
            <w:tcW w:type="dxa" w:w="1728"/>
          </w:tcPr>
          <w:p>
            <w:r>
              <w:t>Single Base-2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~60-80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Single Base-10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~150-200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Single Base-12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~130-180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Dual (2+10)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~210-280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Tri-Radix Router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~340-460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6.2 Cost-Benefit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Single-Base</w:t>
            </w:r>
          </w:p>
        </w:tc>
        <w:tc>
          <w:tcPr>
            <w:tcW w:type="dxa" w:w="2160"/>
          </w:tcPr>
          <w:p>
            <w:r>
              <w:t>Dual-Base (IEEE 754)</w:t>
            </w:r>
          </w:p>
        </w:tc>
        <w:tc>
          <w:tcPr>
            <w:tcW w:type="dxa" w:w="2160"/>
          </w:tcPr>
          <w:p>
            <w:r>
              <w:t>Tri-Radix</w:t>
            </w:r>
          </w:p>
        </w:tc>
      </w:tr>
      <w:tr>
        <w:tc>
          <w:tcPr>
            <w:tcW w:type="dxa" w:w="2160"/>
          </w:tcPr>
          <w:p>
            <w:r>
              <w:t>Area cost</w:t>
            </w:r>
          </w:p>
        </w:tc>
        <w:tc>
          <w:tcPr>
            <w:tcW w:type="dxa" w:w="2160"/>
          </w:tcPr>
          <w:p>
            <w:r>
              <w:t>1×</w:t>
            </w:r>
          </w:p>
        </w:tc>
        <w:tc>
          <w:tcPr>
            <w:tcW w:type="dxa" w:w="2160"/>
          </w:tcPr>
          <w:p>
            <w:r>
              <w:t>~1.8×</w:t>
            </w:r>
          </w:p>
        </w:tc>
        <w:tc>
          <w:tcPr>
            <w:tcW w:type="dxa" w:w="2160"/>
          </w:tcPr>
          <w:p>
            <w:r>
              <w:t>~2.5×</w:t>
            </w:r>
          </w:p>
        </w:tc>
      </w:tr>
      <w:tr>
        <w:tc>
          <w:tcPr>
            <w:tcW w:type="dxa" w:w="2160"/>
          </w:tcPr>
          <w:p>
            <w:r>
              <w:t>Worst-case latency</w:t>
            </w:r>
          </w:p>
        </w:tc>
        <w:tc>
          <w:tcPr>
            <w:tcW w:type="dxa" w:w="2160"/>
          </w:tcPr>
          <w:p>
            <w:r>
              <w:t>8 cycles</w:t>
            </w:r>
          </w:p>
        </w:tc>
        <w:tc>
          <w:tcPr>
            <w:tcW w:type="dxa" w:w="2160"/>
          </w:tcPr>
          <w:p>
            <w:r>
              <w:t>8 cycles</w:t>
            </w:r>
          </w:p>
        </w:tc>
        <w:tc>
          <w:tcPr>
            <w:tcW w:type="dxa" w:w="2160"/>
          </w:tcPr>
          <w:p>
            <w:r>
              <w:t>1 cycle</w:t>
            </w:r>
          </w:p>
        </w:tc>
      </w:tr>
      <w:tr>
        <w:tc>
          <w:tcPr>
            <w:tcW w:type="dxa" w:w="2160"/>
          </w:tcPr>
          <w:p>
            <w:r>
              <w:t>Average latency</w:t>
            </w:r>
          </w:p>
        </w:tc>
        <w:tc>
          <w:tcPr>
            <w:tcW w:type="dxa" w:w="2160"/>
          </w:tcPr>
          <w:p>
            <w:r>
              <w:t>~5 cycles</w:t>
            </w:r>
          </w:p>
        </w:tc>
        <w:tc>
          <w:tcPr>
            <w:tcW w:type="dxa" w:w="2160"/>
          </w:tcPr>
          <w:p>
            <w:r>
              <w:t>~3 cycles</w:t>
            </w:r>
          </w:p>
        </w:tc>
        <w:tc>
          <w:tcPr>
            <w:tcW w:type="dxa" w:w="2160"/>
          </w:tcPr>
          <w:p>
            <w:r>
              <w:t>~1.7 cycles</w:t>
            </w:r>
          </w:p>
        </w:tc>
      </w:tr>
      <w:tr>
        <w:tc>
          <w:tcPr>
            <w:tcW w:type="dxa" w:w="2160"/>
          </w:tcPr>
          <w:p>
            <w:r>
              <w:t>Performance/Area</w:t>
            </w:r>
          </w:p>
        </w:tc>
        <w:tc>
          <w:tcPr>
            <w:tcW w:type="dxa" w:w="2160"/>
          </w:tcPr>
          <w:p>
            <w:r>
              <w:t>1×</w:t>
            </w:r>
          </w:p>
        </w:tc>
        <w:tc>
          <w:tcPr>
            <w:tcW w:type="dxa" w:w="2160"/>
          </w:tcPr>
          <w:p>
            <w:r>
              <w:t>1.5×</w:t>
            </w:r>
          </w:p>
        </w:tc>
        <w:tc>
          <w:tcPr>
            <w:tcW w:type="dxa" w:w="2160"/>
          </w:tcPr>
          <w:p>
            <w:r>
              <w:t>2.9×</w:t>
            </w:r>
          </w:p>
        </w:tc>
      </w:tr>
    </w:tbl>
    <w:p/>
    <w:p>
      <w:r>
        <w:t>The tri-radix router provides best performance per area despite higher absolute resource usage.</w:t>
      </w:r>
    </w:p>
    <w:p>
      <w:pPr>
        <w:pStyle w:val="Heading1"/>
      </w:pPr>
      <w:r>
        <w:t>7. Comparison with IEEE 754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IEEE 754 (Base 2+10)</w:t>
            </w:r>
          </w:p>
        </w:tc>
        <w:tc>
          <w:tcPr>
            <w:tcW w:type="dxa" w:w="2880"/>
          </w:tcPr>
          <w:p>
            <w:r>
              <w:t>Tri-Radix (Base 2+10+12)</w:t>
            </w:r>
          </w:p>
        </w:tc>
      </w:tr>
      <w:tr>
        <w:tc>
          <w:tcPr>
            <w:tcW w:type="dxa" w:w="2880"/>
          </w:tcPr>
          <w:p>
            <w:r>
              <w:t>Standard compliance</w:t>
            </w:r>
          </w:p>
        </w:tc>
        <w:tc>
          <w:tcPr>
            <w:tcW w:type="dxa" w:w="2880"/>
          </w:tcPr>
          <w:p>
            <w:r>
              <w:t>Full IEEE 754-2008</w:t>
            </w:r>
          </w:p>
        </w:tc>
        <w:tc>
          <w:tcPr>
            <w:tcW w:type="dxa" w:w="2880"/>
          </w:tcPr>
          <w:p>
            <w:r>
              <w:t>Extended beyond standard</w:t>
            </w:r>
          </w:p>
        </w:tc>
      </w:tr>
      <w:tr>
        <w:tc>
          <w:tcPr>
            <w:tcW w:type="dxa" w:w="2880"/>
          </w:tcPr>
          <w:p>
            <w:r>
              <w:t>Native operations</w:t>
            </w:r>
          </w:p>
        </w:tc>
        <w:tc>
          <w:tcPr>
            <w:tcW w:type="dxa" w:w="2880"/>
          </w:tcPr>
          <w:p>
            <w:r>
              <w:t>6 of 9</w:t>
            </w:r>
          </w:p>
        </w:tc>
        <w:tc>
          <w:tcPr>
            <w:tcW w:type="dxa" w:w="2880"/>
          </w:tcPr>
          <w:p>
            <w:r>
              <w:t>9 of 9</w:t>
            </w:r>
          </w:p>
        </w:tc>
      </w:tr>
      <w:tr>
        <w:tc>
          <w:tcPr>
            <w:tcW w:type="dxa" w:w="2880"/>
          </w:tcPr>
          <w:p>
            <w:r>
              <w:t>Benchmark cycles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Speedup vs single</w:t>
            </w:r>
          </w:p>
        </w:tc>
        <w:tc>
          <w:tcPr>
            <w:tcW w:type="dxa" w:w="2880"/>
          </w:tcPr>
          <w:p>
            <w:r>
              <w:t>1.35×</w:t>
            </w:r>
          </w:p>
        </w:tc>
        <w:tc>
          <w:tcPr>
            <w:tcW w:type="dxa" w:w="2880"/>
          </w:tcPr>
          <w:p>
            <w:r>
              <w:t>1.80×</w:t>
            </w:r>
          </w:p>
        </w:tc>
      </w:tr>
      <w:tr>
        <w:tc>
          <w:tcPr>
            <w:tcW w:type="dxa" w:w="2880"/>
          </w:tcPr>
          <w:p>
            <w:r>
              <w:t>Duodecimal support</w:t>
            </w:r>
          </w:p>
        </w:tc>
        <w:tc>
          <w:tcPr>
            <w:tcW w:type="dxa" w:w="2880"/>
          </w:tcPr>
          <w:p>
            <w:r>
              <w:t>Emulated (6-8 cycles)</w:t>
            </w:r>
          </w:p>
        </w:tc>
        <w:tc>
          <w:tcPr>
            <w:tcW w:type="dxa" w:w="2880"/>
          </w:tcPr>
          <w:p>
            <w:r>
              <w:t>Native (1 cycle)</w:t>
            </w:r>
          </w:p>
        </w:tc>
      </w:tr>
      <w:tr>
        <w:tc>
          <w:tcPr>
            <w:tcW w:type="dxa" w:w="2880"/>
          </w:tcPr>
          <w:p>
            <w:r>
              <w:t>Division by 3</w:t>
            </w:r>
          </w:p>
        </w:tc>
        <w:tc>
          <w:tcPr>
            <w:tcW w:type="dxa" w:w="2880"/>
          </w:tcPr>
          <w:p>
            <w:r>
              <w:t>Requires full division</w:t>
            </w:r>
          </w:p>
        </w:tc>
        <w:tc>
          <w:tcPr>
            <w:tcW w:type="dxa" w:w="2880"/>
          </w:tcPr>
          <w:p>
            <w:r>
              <w:t>Native ×3, efficient /3</w:t>
            </w:r>
          </w:p>
        </w:tc>
      </w:tr>
      <w:tr>
        <w:tc>
          <w:tcPr>
            <w:tcW w:type="dxa" w:w="2880"/>
          </w:tcPr>
          <w:p>
            <w:r>
              <w:t>Time/angle math</w:t>
            </w:r>
          </w:p>
        </w:tc>
        <w:tc>
          <w:tcPr>
            <w:tcW w:type="dxa" w:w="2880"/>
          </w:tcPr>
          <w:p>
            <w:r>
              <w:t>Awkward</w:t>
            </w:r>
          </w:p>
        </w:tc>
        <w:tc>
          <w:tcPr>
            <w:tcW w:type="dxa" w:w="2880"/>
          </w:tcPr>
          <w:p>
            <w:r>
              <w:t>Natural</w:t>
            </w:r>
          </w:p>
        </w:tc>
      </w:tr>
    </w:tbl>
    <w:p>
      <w:pPr>
        <w:pStyle w:val="Heading1"/>
      </w:pPr>
      <w:r>
        <w:t>8. When to Use Each Architecture</w:t>
      </w:r>
    </w:p>
    <w:p>
      <w:pPr>
        <w:pStyle w:val="Heading2"/>
      </w:pPr>
      <w:r>
        <w:t>8.1 Use Single-Base When:</w:t>
      </w:r>
    </w:p>
    <w:p>
      <w:r>
        <w:t>• Workload is entirely one number format</w:t>
      </w:r>
    </w:p>
    <w:p>
      <w:r>
        <w:t>• Area is extremely constrained</w:t>
      </w:r>
    </w:p>
    <w:p>
      <w:r>
        <w:t>• Latency variation is acceptable</w:t>
      </w:r>
    </w:p>
    <w:p>
      <w:pPr>
        <w:pStyle w:val="Heading2"/>
      </w:pPr>
      <w:r>
        <w:t>8.2 Use Dual-Base (IEEE 754-style) When:</w:t>
      </w:r>
    </w:p>
    <w:p>
      <w:r>
        <w:t>• Strict IEEE 754 compliance required</w:t>
      </w:r>
    </w:p>
    <w:p>
      <w:r>
        <w:t>• Workload is purely binary + decimal</w:t>
      </w:r>
    </w:p>
    <w:p>
      <w:r>
        <w:t>• No duodecimal operations needed</w:t>
      </w:r>
    </w:p>
    <w:p>
      <w:pPr>
        <w:pStyle w:val="Heading2"/>
      </w:pPr>
      <w:r>
        <w:t>8.3 Use Tri-Radix Router When:</w:t>
      </w:r>
    </w:p>
    <w:p>
      <w:r>
        <w:t>• Mixed workloads with varying number formats</w:t>
      </w:r>
    </w:p>
    <w:p>
      <w:r>
        <w:t>• Low, consistent latency is critical</w:t>
      </w:r>
    </w:p>
    <w:p>
      <w:r>
        <w:t>• Workload includes time, angles, or factor-of-3 operations</w:t>
      </w:r>
    </w:p>
    <w:p>
      <w:r>
        <w:t>• Maximum throughput is the goal</w:t>
      </w:r>
    </w:p>
    <w:p>
      <w:pPr>
        <w:pStyle w:val="Heading1"/>
      </w:pPr>
      <w:r>
        <w:t>9. Conclusion</w:t>
      </w:r>
    </w:p>
    <w:p>
      <w:r>
        <w:t>The benchmark results demonstrate that the tri-radix router architecture provides:</w:t>
      </w:r>
    </w:p>
    <w:p>
      <w:r>
        <w:t>1. 44% faster execution than IEEE 754-style dual-radix (90 vs 120 cycles)</w:t>
      </w:r>
    </w:p>
    <w:p>
      <w:r>
        <w:t>2. 80% faster execution than any single-base architecture</w:t>
      </w:r>
    </w:p>
    <w:p>
      <w:r>
        <w:t>3. Consistent 1-cycle latency for all operation types when properly routed</w:t>
      </w:r>
    </w:p>
    <w:p>
      <w:r>
        <w:t>4. Best performance-per-area ratio (2.9× vs 1.5× for dual-base)</w:t>
      </w:r>
    </w:p>
    <w:p/>
    <w:p>
      <w:r>
        <w:t>While IEEE 754 standardized binary and decimal arithmetic for broad compatibility, the inclusion of base-12 in a tri-radix router provides measurable performance benefits for workloads involving:</w:t>
      </w:r>
    </w:p>
    <w:p>
      <w:r>
        <w:t>• Division/multiplication by 3, 4, 6</w:t>
      </w:r>
    </w:p>
    <w:p>
      <w:r>
        <w:t>• Time calculations (hours, minutes)</w:t>
      </w:r>
    </w:p>
    <w:p>
      <w:r>
        <w:t>• Angular computations</w:t>
      </w:r>
    </w:p>
    <w:p>
      <w:r>
        <w:t>• Inventory/packaging systems</w:t>
      </w:r>
    </w:p>
    <w:p>
      <w:pPr>
        <w:pStyle w:val="Heading2"/>
      </w:pPr>
      <w:r>
        <w:t>Recommendation</w:t>
      </w:r>
    </w:p>
    <w:p>
      <w:r>
        <w:t>For FPGA implementations where IEEE 754 strict compliance is not mandatory, the tri-radix router architecture offers superior performance characteristics with acceptable area overhead.</w:t>
      </w:r>
    </w:p>
    <w:p>
      <w:pPr>
        <w:pStyle w:val="Heading1"/>
      </w:pPr>
      <w:r>
        <w:t>References</w:t>
      </w:r>
    </w:p>
    <w:p>
      <w:r>
        <w:t>• IEEE 754-2008: IEEE Standard for Floating-Point Arithmetic</w:t>
      </w:r>
    </w:p>
    <w:p>
      <w:r>
        <w:t>• IEEE 754-2019: Current revision with clarifications and defect fixes</w:t>
      </w:r>
    </w:p>
    <w:p>
      <w:r>
        <w:t>• Benchmark data from PYNQ-Z1 FPGA implementation at 100 MHz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