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B4D7" w14:textId="5C2D64C8" w:rsidR="007E7920" w:rsidRDefault="007E7920" w:rsidP="007E7920">
      <w:pPr>
        <w:bidi w:val="0"/>
        <w:jc w:val="center"/>
        <w:rPr>
          <w:rFonts w:ascii="Calibri Light" w:hAnsi="Calibri Light" w:cs="Calibri Light"/>
          <w:b/>
          <w:bCs/>
          <w:color w:val="000000"/>
          <w:sz w:val="36"/>
          <w:szCs w:val="36"/>
        </w:rPr>
      </w:pPr>
    </w:p>
    <w:p w14:paraId="3B1FBA68" w14:textId="77777777" w:rsidR="00736357" w:rsidRDefault="00736357" w:rsidP="00736357">
      <w:pPr>
        <w:bidi w:val="0"/>
        <w:jc w:val="center"/>
        <w:rPr>
          <w:rFonts w:ascii="Calibri Light" w:hAnsi="Calibri Light" w:cs="Calibri Light"/>
          <w:b/>
          <w:bCs/>
          <w:color w:val="000000"/>
          <w:sz w:val="36"/>
          <w:szCs w:val="36"/>
        </w:rPr>
      </w:pPr>
      <w:r>
        <w:rPr>
          <w:rFonts w:ascii="Calibri Light" w:hAnsi="Calibri Light" w:cs="Calibri Light"/>
          <w:b/>
          <w:bCs/>
          <w:noProof/>
          <w:color w:val="000000"/>
          <w:sz w:val="36"/>
          <w:szCs w:val="36"/>
        </w:rPr>
        <w:drawing>
          <wp:anchor distT="0" distB="0" distL="114300" distR="114300" simplePos="0" relativeHeight="251659264" behindDoc="1" locked="0" layoutInCell="1" allowOverlap="1" wp14:anchorId="05B30E62" wp14:editId="413B769B">
            <wp:simplePos x="0" y="0"/>
            <wp:positionH relativeFrom="margin">
              <wp:align>center</wp:align>
            </wp:positionH>
            <wp:positionV relativeFrom="page">
              <wp:posOffset>466725</wp:posOffset>
            </wp:positionV>
            <wp:extent cx="951865" cy="1073150"/>
            <wp:effectExtent l="0" t="0" r="635" b="0"/>
            <wp:wrapTight wrapText="bothSides">
              <wp:wrapPolygon edited="0">
                <wp:start x="0" y="0"/>
                <wp:lineTo x="0" y="17254"/>
                <wp:lineTo x="432" y="19172"/>
                <wp:lineTo x="7349" y="21089"/>
                <wp:lineTo x="9510" y="21089"/>
                <wp:lineTo x="11672" y="21089"/>
                <wp:lineTo x="13833" y="21089"/>
                <wp:lineTo x="20750" y="19172"/>
                <wp:lineTo x="21182" y="17254"/>
                <wp:lineTo x="21182" y="0"/>
                <wp:lineTo x="0" y="0"/>
              </wp:wrapPolygon>
            </wp:wrapTight>
            <wp:docPr id="1" name="Picture 1" descr="A picture containing text, sign,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vector graphic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1865" cy="1073150"/>
                    </a:xfrm>
                    <a:prstGeom prst="rect">
                      <a:avLst/>
                    </a:prstGeom>
                  </pic:spPr>
                </pic:pic>
              </a:graphicData>
            </a:graphic>
          </wp:anchor>
        </w:drawing>
      </w:r>
    </w:p>
    <w:p w14:paraId="4B3F0E6F" w14:textId="77777777" w:rsidR="00736357" w:rsidRDefault="00736357" w:rsidP="00736357">
      <w:pPr>
        <w:bidi w:val="0"/>
        <w:jc w:val="center"/>
        <w:rPr>
          <w:rFonts w:ascii="Calibri Light" w:hAnsi="Calibri Light" w:cs="Calibri Light"/>
          <w:b/>
          <w:bCs/>
          <w:color w:val="000000"/>
          <w:sz w:val="36"/>
          <w:szCs w:val="36"/>
        </w:rPr>
      </w:pPr>
    </w:p>
    <w:p w14:paraId="4D198C52" w14:textId="77777777" w:rsidR="00736357" w:rsidRPr="007E7920" w:rsidRDefault="00736357" w:rsidP="00736357">
      <w:pPr>
        <w:bidi w:val="0"/>
        <w:jc w:val="center"/>
        <w:rPr>
          <w:rFonts w:ascii="Calibri Light" w:hAnsi="Calibri Light" w:cs="Calibri Light"/>
          <w:b/>
          <w:bCs/>
          <w:color w:val="000000"/>
          <w:sz w:val="36"/>
          <w:szCs w:val="36"/>
        </w:rPr>
      </w:pPr>
      <w:r w:rsidRPr="007E7920">
        <w:rPr>
          <w:rFonts w:ascii="Calibri Light" w:hAnsi="Calibri Light" w:cs="Calibri Light"/>
          <w:b/>
          <w:bCs/>
          <w:color w:val="000000"/>
          <w:sz w:val="36"/>
          <w:szCs w:val="36"/>
        </w:rPr>
        <w:t>UPDATE OF ISRAEL'S NATIONALLY DETERMINED CONTRIBUTION UNDER THE PARIS AGREEMENT</w:t>
      </w:r>
    </w:p>
    <w:p w14:paraId="2CEB3B42" w14:textId="6193E24C" w:rsidR="00B82134" w:rsidRPr="000032FE" w:rsidRDefault="00736357" w:rsidP="00736357">
      <w:pPr>
        <w:bidi w:val="0"/>
        <w:jc w:val="center"/>
      </w:pPr>
      <w:r w:rsidRPr="000032FE">
        <w:t>Submitted July 2021</w:t>
      </w:r>
    </w:p>
    <w:p w14:paraId="54421910" w14:textId="77777777" w:rsidR="00B82134" w:rsidRPr="001A61B8" w:rsidRDefault="00B82134" w:rsidP="001620F2">
      <w:pPr>
        <w:bidi w:val="0"/>
        <w:jc w:val="both"/>
        <w:rPr>
          <w:sz w:val="24"/>
          <w:szCs w:val="24"/>
        </w:rPr>
      </w:pPr>
    </w:p>
    <w:p w14:paraId="1DA95CC3" w14:textId="4A4D2818" w:rsidR="001620F2" w:rsidRPr="001A61B8" w:rsidRDefault="009B02B7" w:rsidP="00B82134">
      <w:pPr>
        <w:bidi w:val="0"/>
        <w:jc w:val="both"/>
        <w:rPr>
          <w:sz w:val="24"/>
          <w:szCs w:val="24"/>
        </w:rPr>
      </w:pPr>
      <w:r w:rsidRPr="001A61B8">
        <w:rPr>
          <w:sz w:val="24"/>
          <w:szCs w:val="24"/>
        </w:rPr>
        <w:t>This submission is in response to paragraphs 24 and 25 of decision 1/CP.21</w:t>
      </w:r>
      <w:r w:rsidR="00701CC7">
        <w:rPr>
          <w:sz w:val="24"/>
          <w:szCs w:val="24"/>
        </w:rPr>
        <w:t xml:space="preserve"> </w:t>
      </w:r>
      <w:r w:rsidRPr="001A61B8">
        <w:rPr>
          <w:sz w:val="24"/>
          <w:szCs w:val="24"/>
        </w:rPr>
        <w:t>and in particular Israel's commitment to communicate or update its nationally determined contribution (NDC).</w:t>
      </w:r>
      <w:r w:rsidR="001620F2" w:rsidRPr="001A61B8">
        <w:rPr>
          <w:rFonts w:hint="cs"/>
          <w:sz w:val="24"/>
          <w:szCs w:val="24"/>
          <w:rtl/>
        </w:rPr>
        <w:t xml:space="preserve"> </w:t>
      </w:r>
      <w:r w:rsidR="001620F2" w:rsidRPr="001A61B8">
        <w:rPr>
          <w:sz w:val="24"/>
          <w:szCs w:val="24"/>
        </w:rPr>
        <w:t xml:space="preserve">Israel has included in this document accompanying information to facilitate clarity, transparency and understanding (ICTU) of its NDC in compliance with Decision 4/CMA.1. </w:t>
      </w:r>
    </w:p>
    <w:p w14:paraId="3EAD63F9" w14:textId="46027F38" w:rsidR="009B02B7" w:rsidRPr="001A61B8" w:rsidRDefault="009B02B7" w:rsidP="001620F2">
      <w:pPr>
        <w:bidi w:val="0"/>
        <w:jc w:val="both"/>
        <w:rPr>
          <w:sz w:val="24"/>
          <w:szCs w:val="24"/>
          <w:rtl/>
        </w:rPr>
      </w:pPr>
      <w:r w:rsidRPr="001A61B8">
        <w:rPr>
          <w:sz w:val="24"/>
          <w:szCs w:val="24"/>
        </w:rPr>
        <w:t>Israel formally communicated its INDC under the Paris Agreement</w:t>
      </w:r>
      <w:r w:rsidR="004F253A" w:rsidRPr="001A61B8">
        <w:rPr>
          <w:sz w:val="24"/>
          <w:szCs w:val="24"/>
        </w:rPr>
        <w:t xml:space="preserve"> on</w:t>
      </w:r>
      <w:r w:rsidRPr="001A61B8">
        <w:rPr>
          <w:sz w:val="24"/>
          <w:szCs w:val="24"/>
        </w:rPr>
        <w:t xml:space="preserve"> </w:t>
      </w:r>
      <w:r w:rsidR="004F253A" w:rsidRPr="001A61B8">
        <w:rPr>
          <w:sz w:val="24"/>
          <w:szCs w:val="24"/>
        </w:rPr>
        <w:t xml:space="preserve">29 September 2015 </w:t>
      </w:r>
      <w:r w:rsidR="00635098" w:rsidRPr="001A61B8">
        <w:rPr>
          <w:sz w:val="24"/>
          <w:szCs w:val="24"/>
        </w:rPr>
        <w:t xml:space="preserve">which became its NDC </w:t>
      </w:r>
      <w:r w:rsidRPr="001A61B8">
        <w:rPr>
          <w:sz w:val="24"/>
          <w:szCs w:val="24"/>
        </w:rPr>
        <w:t xml:space="preserve">upon ratification of the Paris Agreement on </w:t>
      </w:r>
      <w:r w:rsidR="004F253A" w:rsidRPr="001A61B8">
        <w:rPr>
          <w:sz w:val="24"/>
          <w:szCs w:val="24"/>
        </w:rPr>
        <w:t>22 November 2016</w:t>
      </w:r>
      <w:r w:rsidRPr="001A61B8">
        <w:rPr>
          <w:sz w:val="24"/>
          <w:szCs w:val="24"/>
        </w:rPr>
        <w:t>.</w:t>
      </w:r>
    </w:p>
    <w:p w14:paraId="052302A3" w14:textId="14131AC8" w:rsidR="009B02B7" w:rsidRPr="001A61B8" w:rsidRDefault="009B02B7" w:rsidP="001620F2">
      <w:pPr>
        <w:bidi w:val="0"/>
        <w:jc w:val="both"/>
        <w:rPr>
          <w:b/>
          <w:bCs/>
          <w:sz w:val="24"/>
          <w:szCs w:val="24"/>
          <w:rtl/>
        </w:rPr>
      </w:pPr>
      <w:r w:rsidRPr="001A61B8">
        <w:rPr>
          <w:sz w:val="24"/>
          <w:szCs w:val="24"/>
        </w:rPr>
        <w:t>Since then, Israel has undertaken steps to increase its ambition. Most noteworthy is Government Decision 171 passed on the 25</w:t>
      </w:r>
      <w:r w:rsidRPr="001A61B8">
        <w:rPr>
          <w:sz w:val="24"/>
          <w:szCs w:val="24"/>
          <w:vertAlign w:val="superscript"/>
        </w:rPr>
        <w:t>th</w:t>
      </w:r>
      <w:r w:rsidRPr="001A61B8">
        <w:rPr>
          <w:sz w:val="24"/>
          <w:szCs w:val="24"/>
        </w:rPr>
        <w:t xml:space="preserve"> of July 2021 entitled "Transition to a Low Carbon Economy.</w:t>
      </w:r>
      <w:r w:rsidR="001620F2" w:rsidRPr="001A61B8">
        <w:rPr>
          <w:sz w:val="24"/>
          <w:szCs w:val="24"/>
          <w:lang w:val="en-GB"/>
        </w:rPr>
        <w:t>”</w:t>
      </w:r>
    </w:p>
    <w:p w14:paraId="2B28DA51" w14:textId="68938629" w:rsidR="009B02B7" w:rsidRPr="001A61B8" w:rsidRDefault="009B02B7" w:rsidP="001620F2">
      <w:pPr>
        <w:bidi w:val="0"/>
        <w:jc w:val="both"/>
        <w:rPr>
          <w:b/>
          <w:bCs/>
          <w:sz w:val="24"/>
          <w:szCs w:val="24"/>
        </w:rPr>
      </w:pPr>
      <w:r w:rsidRPr="001A61B8">
        <w:rPr>
          <w:b/>
          <w:bCs/>
          <w:sz w:val="24"/>
          <w:szCs w:val="24"/>
        </w:rPr>
        <w:t xml:space="preserve">Unlike Israel's original NDC, this new Decision includes an unconditional absolute greenhouse gas (GHG) emissions reduction goal for 2030 of 27% relative to 2015 and an unconditional absolute GHG emissions reduction goal for 2050 of 85% relative to 2015. </w:t>
      </w:r>
    </w:p>
    <w:p w14:paraId="594C2A9E" w14:textId="17DBD89B" w:rsidR="009B02B7" w:rsidRPr="001A61B8" w:rsidRDefault="009B02B7" w:rsidP="001620F2">
      <w:pPr>
        <w:bidi w:val="0"/>
        <w:jc w:val="both"/>
        <w:rPr>
          <w:sz w:val="24"/>
          <w:szCs w:val="24"/>
          <w:rtl/>
        </w:rPr>
      </w:pPr>
      <w:r w:rsidRPr="001A61B8">
        <w:rPr>
          <w:sz w:val="24"/>
          <w:szCs w:val="24"/>
        </w:rPr>
        <w:t>Whereas our INDC submitted in 2015 projected 2030 emissions would be 81.65 MtCO2e, under this update they are projected to be 58 MtCO2e by 2030.</w:t>
      </w:r>
    </w:p>
    <w:p w14:paraId="5A0BDD64" w14:textId="2153B2FB" w:rsidR="009B02B7" w:rsidRPr="001A61B8" w:rsidRDefault="009B02B7" w:rsidP="000356E7">
      <w:pPr>
        <w:bidi w:val="0"/>
        <w:jc w:val="both"/>
        <w:rPr>
          <w:sz w:val="24"/>
          <w:szCs w:val="24"/>
        </w:rPr>
      </w:pPr>
      <w:r w:rsidRPr="001A61B8">
        <w:rPr>
          <w:sz w:val="24"/>
          <w:szCs w:val="24"/>
        </w:rPr>
        <w:t xml:space="preserve">This </w:t>
      </w:r>
      <w:r w:rsidR="00635098" w:rsidRPr="001A61B8">
        <w:rPr>
          <w:sz w:val="24"/>
          <w:szCs w:val="24"/>
        </w:rPr>
        <w:t>updated goal</w:t>
      </w:r>
      <w:r w:rsidRPr="001A61B8">
        <w:rPr>
          <w:sz w:val="24"/>
          <w:szCs w:val="24"/>
        </w:rPr>
        <w:t xml:space="preserve"> </w:t>
      </w:r>
      <w:r w:rsidR="00C42D69" w:rsidRPr="001A61B8">
        <w:rPr>
          <w:sz w:val="24"/>
          <w:szCs w:val="24"/>
        </w:rPr>
        <w:t xml:space="preserve">significantly </w:t>
      </w:r>
      <w:r w:rsidRPr="001A61B8">
        <w:rPr>
          <w:sz w:val="24"/>
          <w:szCs w:val="24"/>
        </w:rPr>
        <w:t xml:space="preserve">improves upon Israel's first NDC which was presented as a per capita </w:t>
      </w:r>
      <w:proofErr w:type="gramStart"/>
      <w:r w:rsidRPr="001A61B8">
        <w:rPr>
          <w:sz w:val="24"/>
          <w:szCs w:val="24"/>
        </w:rPr>
        <w:t>economy-wide</w:t>
      </w:r>
      <w:proofErr w:type="gramEnd"/>
      <w:r w:rsidRPr="001A61B8">
        <w:rPr>
          <w:sz w:val="24"/>
          <w:szCs w:val="24"/>
        </w:rPr>
        <w:t xml:space="preserve"> unconditional GHG reduction. The </w:t>
      </w:r>
      <w:r w:rsidR="00C42D69" w:rsidRPr="001A61B8">
        <w:rPr>
          <w:sz w:val="24"/>
          <w:szCs w:val="24"/>
        </w:rPr>
        <w:t xml:space="preserve">previous </w:t>
      </w:r>
      <w:r w:rsidRPr="001A61B8">
        <w:rPr>
          <w:sz w:val="24"/>
          <w:szCs w:val="24"/>
        </w:rPr>
        <w:t xml:space="preserve">target was 7.7 tCO2e by 2030 which </w:t>
      </w:r>
      <w:r w:rsidR="006D6696" w:rsidRPr="001A61B8">
        <w:rPr>
          <w:sz w:val="24"/>
          <w:szCs w:val="24"/>
        </w:rPr>
        <w:t>corresponded to a total of 81.6 MtCO2</w:t>
      </w:r>
      <w:r w:rsidR="000356E7" w:rsidRPr="001A61B8">
        <w:rPr>
          <w:sz w:val="24"/>
          <w:szCs w:val="24"/>
        </w:rPr>
        <w:t>e</w:t>
      </w:r>
      <w:r w:rsidR="006D6696" w:rsidRPr="001A61B8">
        <w:rPr>
          <w:sz w:val="24"/>
          <w:szCs w:val="24"/>
        </w:rPr>
        <w:t xml:space="preserve">. The updated target presented in this NDC </w:t>
      </w:r>
      <w:r w:rsidR="000356E7" w:rsidRPr="001A61B8">
        <w:rPr>
          <w:sz w:val="24"/>
          <w:szCs w:val="24"/>
        </w:rPr>
        <w:t xml:space="preserve">is 58 MtCO2e, which corresponds to a reduction of 23 MtCO2e or 29% in Israel' s total emissions. </w:t>
      </w:r>
    </w:p>
    <w:p w14:paraId="7227DB5B" w14:textId="77777777" w:rsidR="009B02B7" w:rsidRPr="001A61B8" w:rsidRDefault="009B02B7" w:rsidP="001620F2">
      <w:pPr>
        <w:bidi w:val="0"/>
        <w:jc w:val="both"/>
        <w:rPr>
          <w:sz w:val="24"/>
          <w:szCs w:val="24"/>
        </w:rPr>
      </w:pPr>
      <w:r w:rsidRPr="001A61B8">
        <w:rPr>
          <w:sz w:val="24"/>
          <w:szCs w:val="24"/>
        </w:rPr>
        <w:t xml:space="preserve">We believe that this updated NDC is a marked improvement both in the process by which the 2030 and 2050 national and sectoral goals were determined; in the more </w:t>
      </w:r>
      <w:r w:rsidRPr="001A61B8">
        <w:rPr>
          <w:sz w:val="24"/>
          <w:szCs w:val="24"/>
        </w:rPr>
        <w:t>ambitious mitigation goal and in the work carried out to increase preparedness and adaptation to Climate Change.</w:t>
      </w:r>
    </w:p>
    <w:p w14:paraId="7E171855" w14:textId="77777777" w:rsidR="009B02B7" w:rsidRPr="001A61B8" w:rsidRDefault="009B02B7" w:rsidP="001620F2">
      <w:pPr>
        <w:bidi w:val="0"/>
        <w:jc w:val="both"/>
        <w:rPr>
          <w:sz w:val="24"/>
          <w:szCs w:val="24"/>
        </w:rPr>
      </w:pPr>
      <w:r w:rsidRPr="001A61B8">
        <w:rPr>
          <w:sz w:val="24"/>
          <w:szCs w:val="24"/>
        </w:rPr>
        <w:t xml:space="preserve">A multi stakeholder process, entitled </w:t>
      </w:r>
      <w:r w:rsidRPr="001A61B8">
        <w:rPr>
          <w:b/>
          <w:bCs/>
          <w:sz w:val="24"/>
          <w:szCs w:val="24"/>
        </w:rPr>
        <w:t>"</w:t>
      </w:r>
      <w:r w:rsidRPr="001A61B8">
        <w:rPr>
          <w:rFonts w:hint="cs"/>
          <w:b/>
          <w:bCs/>
          <w:sz w:val="24"/>
          <w:szCs w:val="24"/>
        </w:rPr>
        <w:t>I</w:t>
      </w:r>
      <w:r w:rsidRPr="001A61B8">
        <w:rPr>
          <w:b/>
          <w:bCs/>
          <w:sz w:val="24"/>
          <w:szCs w:val="24"/>
        </w:rPr>
        <w:t>srael 2050: A Flourishing Economy in a Sustainable Environment",</w:t>
      </w:r>
      <w:r w:rsidRPr="001A61B8">
        <w:rPr>
          <w:sz w:val="24"/>
          <w:szCs w:val="24"/>
        </w:rPr>
        <w:t xml:space="preserve"> took place over two years to determine 2050 low carbon goals from which 2030 goals and targets were derived, including recommendations </w:t>
      </w:r>
      <w:r w:rsidRPr="001A61B8">
        <w:rPr>
          <w:sz w:val="24"/>
          <w:szCs w:val="24"/>
        </w:rPr>
        <w:lastRenderedPageBreak/>
        <w:t>for implementation. Some of these policies already exist and others will be the subject of future government decisions, ministerial policies or other tools as required.</w:t>
      </w:r>
    </w:p>
    <w:p w14:paraId="570D72D5" w14:textId="77777777" w:rsidR="009B02B7" w:rsidRPr="001A61B8" w:rsidRDefault="009B02B7" w:rsidP="001620F2">
      <w:pPr>
        <w:bidi w:val="0"/>
        <w:jc w:val="both"/>
        <w:rPr>
          <w:sz w:val="24"/>
          <w:szCs w:val="24"/>
        </w:rPr>
      </w:pPr>
      <w:r w:rsidRPr="001A61B8">
        <w:rPr>
          <w:sz w:val="24"/>
          <w:szCs w:val="24"/>
        </w:rPr>
        <w:t>The main provisions of the recently adopted Decision 171 which set out updated national GHG reduction goals are as follows:</w:t>
      </w:r>
    </w:p>
    <w:p w14:paraId="76437283" w14:textId="46AF0640" w:rsidR="009B02B7" w:rsidRPr="001A61B8" w:rsidRDefault="001620F2" w:rsidP="001620F2">
      <w:pPr>
        <w:pStyle w:val="ListParagraph"/>
        <w:numPr>
          <w:ilvl w:val="0"/>
          <w:numId w:val="43"/>
        </w:numPr>
        <w:bidi w:val="0"/>
        <w:jc w:val="both"/>
        <w:rPr>
          <w:sz w:val="24"/>
          <w:szCs w:val="24"/>
        </w:rPr>
      </w:pPr>
      <w:r w:rsidRPr="001A61B8">
        <w:rPr>
          <w:sz w:val="24"/>
          <w:szCs w:val="24"/>
        </w:rPr>
        <w:t>Revision of</w:t>
      </w:r>
      <w:r w:rsidR="009B02B7" w:rsidRPr="001A61B8">
        <w:rPr>
          <w:sz w:val="24"/>
          <w:szCs w:val="24"/>
        </w:rPr>
        <w:t xml:space="preserve"> the existing national greenhouse gas emission reduction target for 2030 set by Government Decision 542 so that the annual amount of greenhouse gas emissions by 2030 will be reduced by at least 27% from the annual amount measured in 2015 </w:t>
      </w:r>
      <w:r w:rsidRPr="001A61B8">
        <w:rPr>
          <w:sz w:val="24"/>
          <w:szCs w:val="24"/>
        </w:rPr>
        <w:t>(</w:t>
      </w:r>
      <w:r w:rsidR="009B02B7" w:rsidRPr="001A61B8">
        <w:rPr>
          <w:sz w:val="24"/>
          <w:szCs w:val="24"/>
        </w:rPr>
        <w:t xml:space="preserve">79 </w:t>
      </w:r>
      <w:r w:rsidRPr="001A61B8">
        <w:rPr>
          <w:sz w:val="24"/>
          <w:szCs w:val="24"/>
        </w:rPr>
        <w:t>M</w:t>
      </w:r>
      <w:r w:rsidR="009B02B7" w:rsidRPr="001A61B8">
        <w:rPr>
          <w:sz w:val="24"/>
          <w:szCs w:val="24"/>
        </w:rPr>
        <w:t>tCO2e</w:t>
      </w:r>
      <w:r w:rsidRPr="001A61B8">
        <w:rPr>
          <w:sz w:val="24"/>
          <w:szCs w:val="24"/>
        </w:rPr>
        <w:t>)</w:t>
      </w:r>
      <w:r w:rsidR="009B02B7" w:rsidRPr="001A61B8">
        <w:rPr>
          <w:sz w:val="24"/>
          <w:szCs w:val="24"/>
        </w:rPr>
        <w:t xml:space="preserve">. The annual amount of greenhouse gas emissions in 2030 will be about 58 </w:t>
      </w:r>
      <w:r w:rsidRPr="001A61B8">
        <w:rPr>
          <w:sz w:val="24"/>
          <w:szCs w:val="24"/>
        </w:rPr>
        <w:t>M</w:t>
      </w:r>
      <w:r w:rsidR="009B02B7" w:rsidRPr="001A61B8">
        <w:rPr>
          <w:sz w:val="24"/>
          <w:szCs w:val="24"/>
        </w:rPr>
        <w:t>tCO2e.</w:t>
      </w:r>
    </w:p>
    <w:p w14:paraId="148CF0D2" w14:textId="5CE0F45C" w:rsidR="009B02B7" w:rsidRPr="001A61B8" w:rsidRDefault="001620F2" w:rsidP="001620F2">
      <w:pPr>
        <w:pStyle w:val="ListParagraph"/>
        <w:numPr>
          <w:ilvl w:val="0"/>
          <w:numId w:val="43"/>
        </w:numPr>
        <w:bidi w:val="0"/>
        <w:jc w:val="both"/>
        <w:rPr>
          <w:sz w:val="24"/>
          <w:szCs w:val="24"/>
        </w:rPr>
      </w:pPr>
      <w:r w:rsidRPr="001A61B8">
        <w:rPr>
          <w:sz w:val="24"/>
          <w:szCs w:val="24"/>
        </w:rPr>
        <w:t>Approval of</w:t>
      </w:r>
      <w:r w:rsidR="009B02B7" w:rsidRPr="001A61B8">
        <w:rPr>
          <w:sz w:val="24"/>
          <w:szCs w:val="24"/>
        </w:rPr>
        <w:t xml:space="preserve"> a national reduction target for greenhouse gas emissions by 2050, of at least 85% of the annual amount measured in 2015. Accordingly, the annual amount of greenhouse gas emissions in 2050 will be about 12 </w:t>
      </w:r>
      <w:r w:rsidRPr="001A61B8">
        <w:rPr>
          <w:sz w:val="24"/>
          <w:szCs w:val="24"/>
        </w:rPr>
        <w:t>M</w:t>
      </w:r>
      <w:r w:rsidR="009B02B7" w:rsidRPr="001A61B8">
        <w:rPr>
          <w:sz w:val="24"/>
          <w:szCs w:val="24"/>
        </w:rPr>
        <w:t>tCO2e</w:t>
      </w:r>
      <w:r w:rsidR="009B02B7" w:rsidRPr="001A61B8">
        <w:rPr>
          <w:rFonts w:cs="Arial"/>
          <w:sz w:val="24"/>
          <w:szCs w:val="24"/>
          <w:rtl/>
        </w:rPr>
        <w:t>.</w:t>
      </w:r>
    </w:p>
    <w:p w14:paraId="5A800C06" w14:textId="260178C9" w:rsidR="001620F2" w:rsidRPr="001A61B8" w:rsidRDefault="001620F2" w:rsidP="001620F2">
      <w:pPr>
        <w:pStyle w:val="ListParagraph"/>
        <w:numPr>
          <w:ilvl w:val="0"/>
          <w:numId w:val="43"/>
        </w:numPr>
        <w:bidi w:val="0"/>
        <w:jc w:val="both"/>
        <w:rPr>
          <w:sz w:val="24"/>
          <w:szCs w:val="24"/>
        </w:rPr>
      </w:pPr>
      <w:r w:rsidRPr="001A61B8">
        <w:rPr>
          <w:sz w:val="24"/>
          <w:szCs w:val="24"/>
        </w:rPr>
        <w:t>Recognition of the desirability of a net-zero emissions goal by 2050 and a global target to limit temperature increase to 1.5 degrees Celsius. Therefore the 2050 target of 85% GHG emissions reduction will be periodically revisited.</w:t>
      </w:r>
    </w:p>
    <w:p w14:paraId="7DFF6B0C" w14:textId="77777777" w:rsidR="009B02B7" w:rsidRPr="001A61B8" w:rsidRDefault="009B02B7" w:rsidP="001620F2">
      <w:pPr>
        <w:bidi w:val="0"/>
        <w:jc w:val="both"/>
        <w:rPr>
          <w:sz w:val="24"/>
          <w:szCs w:val="24"/>
        </w:rPr>
      </w:pPr>
      <w:r w:rsidRPr="001A61B8">
        <w:rPr>
          <w:rFonts w:cs="Arial"/>
          <w:sz w:val="24"/>
          <w:szCs w:val="24"/>
        </w:rPr>
        <w:t>The following sectoral targets were set:</w:t>
      </w:r>
    </w:p>
    <w:p w14:paraId="4ABAA57E" w14:textId="77777777" w:rsidR="009B02B7" w:rsidRPr="001A61B8" w:rsidRDefault="009B02B7" w:rsidP="001620F2">
      <w:pPr>
        <w:pStyle w:val="ListParagraph"/>
        <w:numPr>
          <w:ilvl w:val="0"/>
          <w:numId w:val="43"/>
        </w:numPr>
        <w:bidi w:val="0"/>
        <w:jc w:val="both"/>
        <w:rPr>
          <w:b/>
          <w:bCs/>
          <w:sz w:val="24"/>
          <w:szCs w:val="24"/>
        </w:rPr>
      </w:pPr>
      <w:r w:rsidRPr="001A61B8">
        <w:rPr>
          <w:b/>
          <w:bCs/>
          <w:sz w:val="24"/>
          <w:szCs w:val="24"/>
        </w:rPr>
        <w:t>Transport</w:t>
      </w:r>
    </w:p>
    <w:p w14:paraId="756BAF9B" w14:textId="3D0B44A4" w:rsidR="009B02B7" w:rsidRPr="001A61B8" w:rsidRDefault="009B02B7" w:rsidP="001620F2">
      <w:pPr>
        <w:pStyle w:val="ListParagraph"/>
        <w:numPr>
          <w:ilvl w:val="1"/>
          <w:numId w:val="43"/>
        </w:numPr>
        <w:bidi w:val="0"/>
        <w:jc w:val="both"/>
        <w:rPr>
          <w:sz w:val="24"/>
          <w:szCs w:val="24"/>
        </w:rPr>
      </w:pPr>
      <w:r w:rsidRPr="001A61B8">
        <w:rPr>
          <w:sz w:val="24"/>
          <w:szCs w:val="24"/>
        </w:rPr>
        <w:t>As of 2026, all new municipal buses purchased will be clean vehicles as defined in section 77A of the Transport Ordinance [New Version]</w:t>
      </w:r>
      <w:r w:rsidR="001620F2" w:rsidRPr="001A61B8">
        <w:rPr>
          <w:sz w:val="24"/>
          <w:szCs w:val="24"/>
        </w:rPr>
        <w:t>.</w:t>
      </w:r>
    </w:p>
    <w:p w14:paraId="3F3CCF89" w14:textId="4D86FFD1" w:rsidR="009B02B7" w:rsidRPr="001A61B8" w:rsidRDefault="001620F2" w:rsidP="001620F2">
      <w:pPr>
        <w:pStyle w:val="ListParagraph"/>
        <w:numPr>
          <w:ilvl w:val="1"/>
          <w:numId w:val="43"/>
        </w:numPr>
        <w:bidi w:val="0"/>
        <w:jc w:val="both"/>
        <w:rPr>
          <w:sz w:val="24"/>
          <w:szCs w:val="24"/>
        </w:rPr>
      </w:pPr>
      <w:r w:rsidRPr="001A61B8">
        <w:rPr>
          <w:sz w:val="24"/>
          <w:szCs w:val="24"/>
        </w:rPr>
        <w:t>Limit</w:t>
      </w:r>
      <w:r w:rsidR="009B02B7" w:rsidRPr="001A61B8">
        <w:rPr>
          <w:sz w:val="24"/>
          <w:szCs w:val="24"/>
        </w:rPr>
        <w:t xml:space="preserve"> the increase in greenhouse gas emissions from transportation by 2030, so that the total increase in emissions will be only 3.3% compared to emissions measured in 2015, which </w:t>
      </w:r>
      <w:r w:rsidRPr="001A61B8">
        <w:rPr>
          <w:sz w:val="24"/>
          <w:szCs w:val="24"/>
        </w:rPr>
        <w:t>were</w:t>
      </w:r>
      <w:r w:rsidR="009B02B7" w:rsidRPr="001A61B8">
        <w:rPr>
          <w:sz w:val="24"/>
          <w:szCs w:val="24"/>
        </w:rPr>
        <w:t xml:space="preserve"> 17.6 </w:t>
      </w:r>
      <w:r w:rsidRPr="001A61B8">
        <w:rPr>
          <w:sz w:val="24"/>
          <w:szCs w:val="24"/>
        </w:rPr>
        <w:t>M</w:t>
      </w:r>
      <w:r w:rsidR="009B02B7" w:rsidRPr="001A61B8">
        <w:rPr>
          <w:sz w:val="24"/>
          <w:szCs w:val="24"/>
        </w:rPr>
        <w:t>tCO2e</w:t>
      </w:r>
      <w:r w:rsidRPr="001A61B8">
        <w:rPr>
          <w:sz w:val="24"/>
          <w:szCs w:val="24"/>
        </w:rPr>
        <w:t>.</w:t>
      </w:r>
    </w:p>
    <w:p w14:paraId="1AF288EC" w14:textId="1623A261" w:rsidR="009B02B7" w:rsidRPr="001A61B8" w:rsidRDefault="009B02B7" w:rsidP="001620F2">
      <w:pPr>
        <w:pStyle w:val="ListParagraph"/>
        <w:numPr>
          <w:ilvl w:val="1"/>
          <w:numId w:val="43"/>
        </w:numPr>
        <w:bidi w:val="0"/>
        <w:jc w:val="both"/>
        <w:rPr>
          <w:sz w:val="24"/>
          <w:szCs w:val="24"/>
        </w:rPr>
      </w:pPr>
      <w:r w:rsidRPr="001A61B8">
        <w:rPr>
          <w:sz w:val="24"/>
          <w:szCs w:val="24"/>
        </w:rPr>
        <w:t xml:space="preserve">Limit the amount of greenhouse gas emissions from new vehicles, weighing up to 3.5 </w:t>
      </w:r>
      <w:proofErr w:type="spellStart"/>
      <w:r w:rsidRPr="001A61B8">
        <w:rPr>
          <w:sz w:val="24"/>
          <w:szCs w:val="24"/>
        </w:rPr>
        <w:t>ton</w:t>
      </w:r>
      <w:r w:rsidR="004F253A" w:rsidRPr="001A61B8">
        <w:rPr>
          <w:sz w:val="24"/>
          <w:szCs w:val="24"/>
        </w:rPr>
        <w:t>ne</w:t>
      </w:r>
      <w:r w:rsidRPr="001A61B8">
        <w:rPr>
          <w:sz w:val="24"/>
          <w:szCs w:val="24"/>
        </w:rPr>
        <w:t>s</w:t>
      </w:r>
      <w:proofErr w:type="spellEnd"/>
      <w:r w:rsidRPr="001A61B8">
        <w:rPr>
          <w:sz w:val="24"/>
          <w:szCs w:val="24"/>
        </w:rPr>
        <w:t xml:space="preserve">, registered from 2030, to an amount equal to 5% of the average greenhouse gas emissions for a new vehicle, weighing up to 3.5 </w:t>
      </w:r>
      <w:proofErr w:type="spellStart"/>
      <w:r w:rsidRPr="001A61B8">
        <w:rPr>
          <w:sz w:val="24"/>
          <w:szCs w:val="24"/>
        </w:rPr>
        <w:t>ton</w:t>
      </w:r>
      <w:r w:rsidR="004F253A" w:rsidRPr="001A61B8">
        <w:rPr>
          <w:sz w:val="24"/>
          <w:szCs w:val="24"/>
        </w:rPr>
        <w:t>ne</w:t>
      </w:r>
      <w:r w:rsidRPr="001A61B8">
        <w:rPr>
          <w:sz w:val="24"/>
          <w:szCs w:val="24"/>
        </w:rPr>
        <w:t>s</w:t>
      </w:r>
      <w:proofErr w:type="spellEnd"/>
      <w:r w:rsidRPr="001A61B8">
        <w:rPr>
          <w:sz w:val="24"/>
          <w:szCs w:val="24"/>
        </w:rPr>
        <w:t xml:space="preserve">, registered in 2020. This target will be reexamined in 2025, and will be updated as necessary, having regard to technological developments, the extent of the penetration of electric vehicles in Israel and </w:t>
      </w:r>
      <w:r w:rsidR="001620F2" w:rsidRPr="001A61B8">
        <w:rPr>
          <w:sz w:val="24"/>
          <w:szCs w:val="24"/>
        </w:rPr>
        <w:t>globally</w:t>
      </w:r>
      <w:r w:rsidRPr="001A61B8">
        <w:rPr>
          <w:sz w:val="24"/>
          <w:szCs w:val="24"/>
        </w:rPr>
        <w:t>, electricity infrastructure and the deployment of charging stations in Israel</w:t>
      </w:r>
      <w:r w:rsidRPr="001A61B8">
        <w:rPr>
          <w:rFonts w:cs="Arial"/>
          <w:sz w:val="24"/>
          <w:szCs w:val="24"/>
          <w:rtl/>
        </w:rPr>
        <w:t>.</w:t>
      </w:r>
    </w:p>
    <w:p w14:paraId="657B8A84" w14:textId="0D080893" w:rsidR="009B02B7" w:rsidRDefault="009B02B7" w:rsidP="001620F2">
      <w:pPr>
        <w:pStyle w:val="ListParagraph"/>
        <w:numPr>
          <w:ilvl w:val="1"/>
          <w:numId w:val="43"/>
        </w:numPr>
        <w:bidi w:val="0"/>
        <w:jc w:val="both"/>
        <w:rPr>
          <w:sz w:val="24"/>
          <w:szCs w:val="24"/>
        </w:rPr>
      </w:pPr>
      <w:r w:rsidRPr="001A61B8">
        <w:rPr>
          <w:sz w:val="24"/>
          <w:szCs w:val="24"/>
        </w:rPr>
        <w:t>Reduction of greenhouse gas emissions from transport by 2050 by at least 96% compared to emissions measured in 2015</w:t>
      </w:r>
      <w:r w:rsidRPr="001A61B8">
        <w:rPr>
          <w:rFonts w:cs="Arial"/>
          <w:sz w:val="24"/>
          <w:szCs w:val="24"/>
          <w:rtl/>
        </w:rPr>
        <w:t>.</w:t>
      </w:r>
    </w:p>
    <w:p w14:paraId="4F7DE06A" w14:textId="77777777" w:rsidR="009B02B7" w:rsidRPr="001A61B8" w:rsidRDefault="009B02B7" w:rsidP="001620F2">
      <w:pPr>
        <w:pStyle w:val="ListParagraph"/>
        <w:numPr>
          <w:ilvl w:val="0"/>
          <w:numId w:val="43"/>
        </w:numPr>
        <w:bidi w:val="0"/>
        <w:jc w:val="both"/>
        <w:rPr>
          <w:b/>
          <w:bCs/>
          <w:sz w:val="24"/>
          <w:szCs w:val="24"/>
        </w:rPr>
      </w:pPr>
      <w:r w:rsidRPr="001A61B8">
        <w:rPr>
          <w:b/>
          <w:bCs/>
          <w:sz w:val="24"/>
          <w:szCs w:val="24"/>
        </w:rPr>
        <w:t>Waste</w:t>
      </w:r>
    </w:p>
    <w:p w14:paraId="2B172304" w14:textId="42582E2A" w:rsidR="009B02B7" w:rsidRPr="001A61B8" w:rsidRDefault="009B02B7" w:rsidP="001620F2">
      <w:pPr>
        <w:pStyle w:val="ListParagraph"/>
        <w:numPr>
          <w:ilvl w:val="1"/>
          <w:numId w:val="43"/>
        </w:numPr>
        <w:bidi w:val="0"/>
        <w:jc w:val="both"/>
        <w:rPr>
          <w:sz w:val="24"/>
          <w:szCs w:val="24"/>
        </w:rPr>
      </w:pPr>
      <w:r w:rsidRPr="001A61B8">
        <w:rPr>
          <w:sz w:val="24"/>
          <w:szCs w:val="24"/>
        </w:rPr>
        <w:t xml:space="preserve">Reduction of greenhouse gas emissions from solid waste by 2030 by at least 47% compared to emissions measured in 2015, which </w:t>
      </w:r>
      <w:r w:rsidR="001620F2" w:rsidRPr="001A61B8">
        <w:rPr>
          <w:sz w:val="24"/>
          <w:szCs w:val="24"/>
        </w:rPr>
        <w:t>were</w:t>
      </w:r>
      <w:r w:rsidRPr="001A61B8">
        <w:rPr>
          <w:sz w:val="24"/>
          <w:szCs w:val="24"/>
        </w:rPr>
        <w:t xml:space="preserve"> 5.5</w:t>
      </w:r>
      <w:r w:rsidR="001620F2" w:rsidRPr="001A61B8">
        <w:rPr>
          <w:sz w:val="24"/>
          <w:szCs w:val="24"/>
        </w:rPr>
        <w:t>M</w:t>
      </w:r>
      <w:r w:rsidRPr="001A61B8">
        <w:rPr>
          <w:sz w:val="24"/>
          <w:szCs w:val="24"/>
        </w:rPr>
        <w:t>tCO2e</w:t>
      </w:r>
      <w:r w:rsidRPr="001A61B8">
        <w:rPr>
          <w:rFonts w:cs="Arial"/>
          <w:sz w:val="24"/>
          <w:szCs w:val="24"/>
          <w:rtl/>
        </w:rPr>
        <w:t>.</w:t>
      </w:r>
    </w:p>
    <w:p w14:paraId="31A7287F" w14:textId="4DF405E3" w:rsidR="009B02B7" w:rsidRPr="001A61B8" w:rsidRDefault="009B02B7" w:rsidP="001620F2">
      <w:pPr>
        <w:pStyle w:val="ListParagraph"/>
        <w:numPr>
          <w:ilvl w:val="1"/>
          <w:numId w:val="43"/>
        </w:numPr>
        <w:bidi w:val="0"/>
        <w:jc w:val="both"/>
        <w:rPr>
          <w:sz w:val="24"/>
          <w:szCs w:val="24"/>
        </w:rPr>
      </w:pPr>
      <w:r w:rsidRPr="001A61B8">
        <w:rPr>
          <w:sz w:val="24"/>
          <w:szCs w:val="24"/>
        </w:rPr>
        <w:t xml:space="preserve">A 71% reduction in the amount of municipal waste landfilled by 2030 compared to the amount of municipal waste landfilled in 2018, which </w:t>
      </w:r>
      <w:r w:rsidR="001620F2" w:rsidRPr="001A61B8">
        <w:rPr>
          <w:sz w:val="24"/>
          <w:szCs w:val="24"/>
        </w:rPr>
        <w:t>was</w:t>
      </w:r>
      <w:r w:rsidRPr="001A61B8">
        <w:rPr>
          <w:sz w:val="24"/>
          <w:szCs w:val="24"/>
        </w:rPr>
        <w:t xml:space="preserve"> about 4.5 million </w:t>
      </w:r>
      <w:proofErr w:type="spellStart"/>
      <w:r w:rsidRPr="001A61B8">
        <w:rPr>
          <w:sz w:val="24"/>
          <w:szCs w:val="24"/>
        </w:rPr>
        <w:t>tonnes</w:t>
      </w:r>
      <w:proofErr w:type="spellEnd"/>
      <w:r w:rsidRPr="001A61B8">
        <w:rPr>
          <w:rFonts w:cs="Arial"/>
          <w:sz w:val="24"/>
          <w:szCs w:val="24"/>
          <w:rtl/>
        </w:rPr>
        <w:t>.</w:t>
      </w:r>
      <w:r w:rsidRPr="001A61B8">
        <w:rPr>
          <w:rFonts w:cs="Arial"/>
          <w:sz w:val="24"/>
          <w:szCs w:val="24"/>
          <w:rtl/>
        </w:rPr>
        <w:tab/>
      </w:r>
    </w:p>
    <w:p w14:paraId="74C95405" w14:textId="6076DC94" w:rsidR="009B02B7" w:rsidRPr="001A61B8" w:rsidRDefault="009B02B7" w:rsidP="001620F2">
      <w:pPr>
        <w:pStyle w:val="ListParagraph"/>
        <w:numPr>
          <w:ilvl w:val="1"/>
          <w:numId w:val="43"/>
        </w:numPr>
        <w:bidi w:val="0"/>
        <w:jc w:val="both"/>
        <w:rPr>
          <w:sz w:val="24"/>
          <w:szCs w:val="24"/>
        </w:rPr>
      </w:pPr>
      <w:r w:rsidRPr="001A61B8">
        <w:rPr>
          <w:rFonts w:hint="cs"/>
          <w:sz w:val="24"/>
          <w:szCs w:val="24"/>
        </w:rPr>
        <w:t>R</w:t>
      </w:r>
      <w:r w:rsidRPr="001A61B8">
        <w:rPr>
          <w:sz w:val="24"/>
          <w:szCs w:val="24"/>
        </w:rPr>
        <w:t>eduction of GHG emissions from municipal waste by 2050 by at least 92% compared to emissions measured in 2015</w:t>
      </w:r>
      <w:r w:rsidRPr="001A61B8">
        <w:rPr>
          <w:rFonts w:cs="Arial"/>
          <w:sz w:val="24"/>
          <w:szCs w:val="24"/>
          <w:rtl/>
        </w:rPr>
        <w:t>.</w:t>
      </w:r>
    </w:p>
    <w:p w14:paraId="6AA93362" w14:textId="6FCCCA76" w:rsidR="009B02B7" w:rsidRPr="001A61B8" w:rsidRDefault="009B02B7" w:rsidP="001620F2">
      <w:pPr>
        <w:pStyle w:val="ListParagraph"/>
        <w:numPr>
          <w:ilvl w:val="0"/>
          <w:numId w:val="43"/>
        </w:numPr>
        <w:bidi w:val="0"/>
        <w:jc w:val="both"/>
        <w:rPr>
          <w:b/>
          <w:bCs/>
          <w:strike/>
          <w:sz w:val="24"/>
          <w:szCs w:val="24"/>
        </w:rPr>
      </w:pPr>
      <w:r w:rsidRPr="001A61B8">
        <w:rPr>
          <w:b/>
          <w:bCs/>
          <w:sz w:val="24"/>
          <w:szCs w:val="24"/>
        </w:rPr>
        <w:t xml:space="preserve">Electricity Generation </w:t>
      </w:r>
    </w:p>
    <w:p w14:paraId="78252245" w14:textId="2332507F" w:rsidR="009B02B7" w:rsidRPr="001A61B8" w:rsidRDefault="009B02B7" w:rsidP="001620F2">
      <w:pPr>
        <w:pStyle w:val="ListParagraph"/>
        <w:numPr>
          <w:ilvl w:val="1"/>
          <w:numId w:val="43"/>
        </w:numPr>
        <w:bidi w:val="0"/>
        <w:jc w:val="both"/>
        <w:rPr>
          <w:sz w:val="24"/>
          <w:szCs w:val="24"/>
        </w:rPr>
      </w:pPr>
      <w:r w:rsidRPr="001A61B8">
        <w:rPr>
          <w:sz w:val="24"/>
          <w:szCs w:val="24"/>
        </w:rPr>
        <w:lastRenderedPageBreak/>
        <w:t xml:space="preserve">Reduction of greenhouse gas emissions from electricity generation by 2030 by 30% compared to emissions measured in 2015, which </w:t>
      </w:r>
      <w:r w:rsidR="001620F2" w:rsidRPr="001A61B8">
        <w:rPr>
          <w:sz w:val="24"/>
          <w:szCs w:val="24"/>
        </w:rPr>
        <w:t>were</w:t>
      </w:r>
      <w:r w:rsidRPr="001A61B8">
        <w:rPr>
          <w:sz w:val="24"/>
          <w:szCs w:val="24"/>
        </w:rPr>
        <w:t xml:space="preserve"> 37.6 </w:t>
      </w:r>
      <w:r w:rsidR="0012135A" w:rsidRPr="001A61B8">
        <w:rPr>
          <w:sz w:val="24"/>
          <w:szCs w:val="24"/>
        </w:rPr>
        <w:t>M</w:t>
      </w:r>
      <w:r w:rsidRPr="001A61B8">
        <w:rPr>
          <w:sz w:val="24"/>
          <w:szCs w:val="24"/>
        </w:rPr>
        <w:t xml:space="preserve">tCO2e, </w:t>
      </w:r>
      <w:proofErr w:type="gramStart"/>
      <w:r w:rsidRPr="001A61B8">
        <w:rPr>
          <w:sz w:val="24"/>
          <w:szCs w:val="24"/>
        </w:rPr>
        <w:t>taking into account</w:t>
      </w:r>
      <w:proofErr w:type="gramEnd"/>
      <w:r w:rsidRPr="001A61B8">
        <w:rPr>
          <w:sz w:val="24"/>
          <w:szCs w:val="24"/>
        </w:rPr>
        <w:t xml:space="preserve"> the renewable energy targets</w:t>
      </w:r>
      <w:r w:rsidR="0012135A" w:rsidRPr="001A61B8">
        <w:rPr>
          <w:sz w:val="24"/>
          <w:szCs w:val="24"/>
        </w:rPr>
        <w:t xml:space="preserve"> </w:t>
      </w:r>
      <w:r w:rsidRPr="001A61B8">
        <w:rPr>
          <w:sz w:val="24"/>
          <w:szCs w:val="24"/>
        </w:rPr>
        <w:t>set in Government Decision No. 465</w:t>
      </w:r>
      <w:r w:rsidR="0012135A" w:rsidRPr="001A61B8">
        <w:rPr>
          <w:rFonts w:cs="Arial"/>
          <w:sz w:val="24"/>
          <w:szCs w:val="24"/>
        </w:rPr>
        <w:t xml:space="preserve"> (see below).</w:t>
      </w:r>
    </w:p>
    <w:p w14:paraId="43A0B1F1" w14:textId="16146D85" w:rsidR="009B02B7" w:rsidRPr="001A61B8" w:rsidRDefault="009B02B7" w:rsidP="001620F2">
      <w:pPr>
        <w:pStyle w:val="ListParagraph"/>
        <w:numPr>
          <w:ilvl w:val="1"/>
          <w:numId w:val="43"/>
        </w:numPr>
        <w:bidi w:val="0"/>
        <w:jc w:val="both"/>
        <w:rPr>
          <w:sz w:val="24"/>
          <w:szCs w:val="24"/>
        </w:rPr>
      </w:pPr>
      <w:r w:rsidRPr="001A61B8">
        <w:rPr>
          <w:sz w:val="24"/>
          <w:szCs w:val="24"/>
        </w:rPr>
        <w:t xml:space="preserve">Reduction of greenhouse gas emissions from electricity generation by 2050 by at least 85% compared to emissions measured in 2015. </w:t>
      </w:r>
    </w:p>
    <w:p w14:paraId="0DD46612" w14:textId="77777777" w:rsidR="009B02B7" w:rsidRPr="001A61B8" w:rsidRDefault="009B02B7" w:rsidP="001620F2">
      <w:pPr>
        <w:pStyle w:val="ListParagraph"/>
        <w:numPr>
          <w:ilvl w:val="0"/>
          <w:numId w:val="43"/>
        </w:numPr>
        <w:bidi w:val="0"/>
        <w:jc w:val="both"/>
        <w:rPr>
          <w:b/>
          <w:bCs/>
          <w:sz w:val="24"/>
          <w:szCs w:val="24"/>
        </w:rPr>
      </w:pPr>
      <w:r w:rsidRPr="001A61B8">
        <w:rPr>
          <w:b/>
          <w:bCs/>
          <w:sz w:val="24"/>
          <w:szCs w:val="24"/>
        </w:rPr>
        <w:t>Energy Intensity</w:t>
      </w:r>
    </w:p>
    <w:p w14:paraId="285C6BC6" w14:textId="3AE1FF07" w:rsidR="009B02B7" w:rsidRPr="001A61B8" w:rsidRDefault="009B02B7" w:rsidP="001620F2">
      <w:pPr>
        <w:pStyle w:val="ListParagraph"/>
        <w:numPr>
          <w:ilvl w:val="1"/>
          <w:numId w:val="43"/>
        </w:numPr>
        <w:bidi w:val="0"/>
        <w:jc w:val="both"/>
        <w:rPr>
          <w:sz w:val="24"/>
          <w:szCs w:val="24"/>
        </w:rPr>
      </w:pPr>
      <w:r w:rsidRPr="001A61B8">
        <w:rPr>
          <w:sz w:val="24"/>
          <w:szCs w:val="24"/>
        </w:rPr>
        <w:t xml:space="preserve">To set a new energy intensity target so that by 2030 the energy intensity of GDP will be 122 </w:t>
      </w:r>
      <w:r w:rsidR="001620F2" w:rsidRPr="001A61B8">
        <w:rPr>
          <w:sz w:val="24"/>
          <w:szCs w:val="24"/>
        </w:rPr>
        <w:t>MWh per NIS 1 million</w:t>
      </w:r>
      <w:r w:rsidRPr="001A61B8">
        <w:rPr>
          <w:rFonts w:cs="Arial"/>
          <w:sz w:val="24"/>
          <w:szCs w:val="24"/>
          <w:rtl/>
        </w:rPr>
        <w:t>.</w:t>
      </w:r>
    </w:p>
    <w:p w14:paraId="7C9F5D59" w14:textId="5595BF8C" w:rsidR="009B02B7" w:rsidRPr="001A61B8" w:rsidRDefault="009B02B7" w:rsidP="001620F2">
      <w:pPr>
        <w:pStyle w:val="ListParagraph"/>
        <w:numPr>
          <w:ilvl w:val="0"/>
          <w:numId w:val="43"/>
        </w:numPr>
        <w:bidi w:val="0"/>
        <w:jc w:val="both"/>
        <w:rPr>
          <w:b/>
          <w:bCs/>
          <w:sz w:val="24"/>
          <w:szCs w:val="24"/>
        </w:rPr>
      </w:pPr>
      <w:r w:rsidRPr="001A61B8">
        <w:rPr>
          <w:b/>
          <w:bCs/>
          <w:sz w:val="24"/>
          <w:szCs w:val="24"/>
        </w:rPr>
        <w:t xml:space="preserve">Industry </w:t>
      </w:r>
    </w:p>
    <w:p w14:paraId="08CD180C" w14:textId="20C7A4E5" w:rsidR="009B02B7" w:rsidRPr="001A61B8" w:rsidRDefault="009B02B7" w:rsidP="001620F2">
      <w:pPr>
        <w:pStyle w:val="ListParagraph"/>
        <w:numPr>
          <w:ilvl w:val="1"/>
          <w:numId w:val="43"/>
        </w:numPr>
        <w:bidi w:val="0"/>
        <w:jc w:val="both"/>
        <w:rPr>
          <w:sz w:val="24"/>
          <w:szCs w:val="24"/>
        </w:rPr>
      </w:pPr>
      <w:r w:rsidRPr="001A61B8">
        <w:rPr>
          <w:sz w:val="24"/>
          <w:szCs w:val="24"/>
        </w:rPr>
        <w:t xml:space="preserve">Reduction of greenhouse gas emissions from industry by 2030 by at least 30% relative to emissions in 2015, which </w:t>
      </w:r>
      <w:r w:rsidR="0012135A" w:rsidRPr="001A61B8">
        <w:rPr>
          <w:sz w:val="24"/>
          <w:szCs w:val="24"/>
        </w:rPr>
        <w:t>were</w:t>
      </w:r>
      <w:r w:rsidRPr="001A61B8">
        <w:rPr>
          <w:sz w:val="24"/>
          <w:szCs w:val="24"/>
        </w:rPr>
        <w:t xml:space="preserve"> 12 </w:t>
      </w:r>
      <w:r w:rsidR="0012135A" w:rsidRPr="001A61B8">
        <w:rPr>
          <w:sz w:val="24"/>
          <w:szCs w:val="24"/>
        </w:rPr>
        <w:t>M</w:t>
      </w:r>
      <w:r w:rsidRPr="001A61B8">
        <w:rPr>
          <w:sz w:val="24"/>
          <w:szCs w:val="24"/>
        </w:rPr>
        <w:t>tCO2e</w:t>
      </w:r>
      <w:r w:rsidRPr="001A61B8">
        <w:rPr>
          <w:rFonts w:cs="Arial"/>
          <w:sz w:val="24"/>
          <w:szCs w:val="24"/>
          <w:rtl/>
        </w:rPr>
        <w:t>.</w:t>
      </w:r>
      <w:r w:rsidRPr="001A61B8">
        <w:rPr>
          <w:sz w:val="24"/>
          <w:szCs w:val="24"/>
        </w:rPr>
        <w:t xml:space="preserve"> </w:t>
      </w:r>
    </w:p>
    <w:p w14:paraId="3F202973" w14:textId="6CE23621" w:rsidR="009B02B7" w:rsidRPr="001A61B8" w:rsidRDefault="009B02B7" w:rsidP="001620F2">
      <w:pPr>
        <w:pStyle w:val="ListParagraph"/>
        <w:numPr>
          <w:ilvl w:val="1"/>
          <w:numId w:val="43"/>
        </w:numPr>
        <w:bidi w:val="0"/>
        <w:jc w:val="both"/>
        <w:rPr>
          <w:sz w:val="24"/>
          <w:szCs w:val="24"/>
        </w:rPr>
      </w:pPr>
      <w:r w:rsidRPr="001A61B8">
        <w:rPr>
          <w:sz w:val="24"/>
          <w:szCs w:val="24"/>
        </w:rPr>
        <w:t xml:space="preserve">Reduction of </w:t>
      </w:r>
      <w:r w:rsidR="0012135A" w:rsidRPr="001A61B8">
        <w:rPr>
          <w:sz w:val="24"/>
          <w:szCs w:val="24"/>
        </w:rPr>
        <w:t xml:space="preserve">industrial </w:t>
      </w:r>
      <w:r w:rsidRPr="001A61B8">
        <w:rPr>
          <w:sz w:val="24"/>
          <w:szCs w:val="24"/>
        </w:rPr>
        <w:t>greenhouse gas emissions by 2050 by at least 56% relative to emissions in 2015</w:t>
      </w:r>
      <w:r w:rsidR="0012135A" w:rsidRPr="001A61B8">
        <w:rPr>
          <w:sz w:val="24"/>
          <w:szCs w:val="24"/>
        </w:rPr>
        <w:t>.</w:t>
      </w:r>
    </w:p>
    <w:p w14:paraId="770A41BB" w14:textId="77777777" w:rsidR="009B02B7" w:rsidRPr="001A61B8" w:rsidRDefault="009B02B7" w:rsidP="001620F2">
      <w:pPr>
        <w:pStyle w:val="ListParagraph"/>
        <w:numPr>
          <w:ilvl w:val="0"/>
          <w:numId w:val="43"/>
        </w:numPr>
        <w:bidi w:val="0"/>
        <w:jc w:val="both"/>
        <w:rPr>
          <w:b/>
          <w:bCs/>
          <w:sz w:val="24"/>
          <w:szCs w:val="24"/>
        </w:rPr>
      </w:pPr>
      <w:r w:rsidRPr="001A61B8">
        <w:rPr>
          <w:b/>
          <w:bCs/>
          <w:sz w:val="24"/>
          <w:szCs w:val="24"/>
        </w:rPr>
        <w:t xml:space="preserve">Climate Impacts of Goods and Services </w:t>
      </w:r>
    </w:p>
    <w:p w14:paraId="5F889DD0" w14:textId="7B150624" w:rsidR="009B02B7" w:rsidRPr="001A61B8" w:rsidRDefault="009B02B7" w:rsidP="001620F2">
      <w:pPr>
        <w:pStyle w:val="ListParagraph"/>
        <w:numPr>
          <w:ilvl w:val="0"/>
          <w:numId w:val="45"/>
        </w:numPr>
        <w:bidi w:val="0"/>
        <w:jc w:val="both"/>
        <w:rPr>
          <w:sz w:val="24"/>
          <w:szCs w:val="24"/>
        </w:rPr>
      </w:pPr>
      <w:r w:rsidRPr="001A61B8">
        <w:rPr>
          <w:sz w:val="24"/>
          <w:szCs w:val="24"/>
        </w:rPr>
        <w:t xml:space="preserve">To </w:t>
      </w:r>
      <w:r w:rsidR="0012135A" w:rsidRPr="001A61B8">
        <w:rPr>
          <w:sz w:val="24"/>
          <w:szCs w:val="24"/>
        </w:rPr>
        <w:t xml:space="preserve">establish </w:t>
      </w:r>
      <w:r w:rsidRPr="001A61B8">
        <w:rPr>
          <w:sz w:val="24"/>
          <w:szCs w:val="24"/>
        </w:rPr>
        <w:t xml:space="preserve">a voluntary mechanism for reporting and </w:t>
      </w:r>
      <w:r w:rsidR="0012135A" w:rsidRPr="001A61B8">
        <w:rPr>
          <w:sz w:val="24"/>
          <w:szCs w:val="24"/>
        </w:rPr>
        <w:t xml:space="preserve">publicizing </w:t>
      </w:r>
      <w:r w:rsidRPr="001A61B8">
        <w:rPr>
          <w:sz w:val="24"/>
          <w:szCs w:val="24"/>
        </w:rPr>
        <w:t xml:space="preserve">information on the GHG emissions </w:t>
      </w:r>
      <w:r w:rsidR="0012135A" w:rsidRPr="001A61B8">
        <w:rPr>
          <w:sz w:val="24"/>
          <w:szCs w:val="24"/>
        </w:rPr>
        <w:t xml:space="preserve">associated with </w:t>
      </w:r>
      <w:r w:rsidRPr="001A61B8">
        <w:rPr>
          <w:sz w:val="24"/>
          <w:szCs w:val="24"/>
        </w:rPr>
        <w:t>products and services manufactured in and imported to Israel</w:t>
      </w:r>
      <w:r w:rsidR="0012135A" w:rsidRPr="001A61B8">
        <w:rPr>
          <w:sz w:val="24"/>
          <w:szCs w:val="24"/>
        </w:rPr>
        <w:t>.</w:t>
      </w:r>
    </w:p>
    <w:p w14:paraId="09231C1F" w14:textId="77777777" w:rsidR="009B02B7" w:rsidRPr="001A61B8" w:rsidRDefault="009B02B7" w:rsidP="002951FF">
      <w:pPr>
        <w:bidi w:val="0"/>
        <w:jc w:val="both"/>
        <w:rPr>
          <w:b/>
          <w:bCs/>
          <w:sz w:val="24"/>
          <w:szCs w:val="24"/>
        </w:rPr>
      </w:pPr>
    </w:p>
    <w:p w14:paraId="22FA84E4" w14:textId="77777777" w:rsidR="009B02B7" w:rsidRPr="001A61B8" w:rsidRDefault="009B02B7" w:rsidP="001A3372">
      <w:pPr>
        <w:bidi w:val="0"/>
        <w:jc w:val="both"/>
        <w:rPr>
          <w:b/>
          <w:bCs/>
          <w:sz w:val="24"/>
          <w:szCs w:val="24"/>
        </w:rPr>
      </w:pPr>
      <w:r w:rsidRPr="001A61B8">
        <w:rPr>
          <w:b/>
          <w:bCs/>
          <w:sz w:val="24"/>
          <w:szCs w:val="24"/>
        </w:rPr>
        <w:t>Mid-century, long-term low greenhouse gas emission development strategies</w:t>
      </w:r>
    </w:p>
    <w:p w14:paraId="7FC8D812" w14:textId="2B858CC6" w:rsidR="009B02B7" w:rsidRPr="001A61B8" w:rsidRDefault="009B02B7" w:rsidP="001A3372">
      <w:pPr>
        <w:bidi w:val="0"/>
        <w:jc w:val="both"/>
        <w:rPr>
          <w:sz w:val="24"/>
          <w:szCs w:val="24"/>
        </w:rPr>
      </w:pPr>
      <w:r w:rsidRPr="001A61B8">
        <w:rPr>
          <w:sz w:val="24"/>
          <w:szCs w:val="24"/>
        </w:rPr>
        <w:t>Government Decision 171 detailed above also includes targets for 2050 in furtherance of Article 4, paragraph 19, of the Paris Agreement, and paragraph 35 of decision 1/CP.21</w:t>
      </w:r>
      <w:r w:rsidR="00635098" w:rsidRPr="001A61B8">
        <w:rPr>
          <w:sz w:val="24"/>
          <w:szCs w:val="24"/>
        </w:rPr>
        <w:t xml:space="preserve"> and</w:t>
      </w:r>
      <w:r w:rsidR="00DB57CB" w:rsidRPr="001A61B8">
        <w:rPr>
          <w:sz w:val="24"/>
          <w:szCs w:val="24"/>
        </w:rPr>
        <w:t xml:space="preserve"> </w:t>
      </w:r>
      <w:r w:rsidRPr="001A61B8">
        <w:rPr>
          <w:sz w:val="24"/>
          <w:szCs w:val="24"/>
        </w:rPr>
        <w:t>constitutes Israel's current low greenhouse gas emission development strategy. GHG reductions will be reduced from 79.4 MtCO2e emissions in 2019 to 58 MtCO2e in 2030 and 12 MtCO2e in 2050.</w:t>
      </w:r>
    </w:p>
    <w:p w14:paraId="5716220C" w14:textId="77777777" w:rsidR="009B02B7" w:rsidRPr="001A61B8" w:rsidRDefault="009B02B7" w:rsidP="001A3372">
      <w:pPr>
        <w:bidi w:val="0"/>
        <w:jc w:val="both"/>
        <w:rPr>
          <w:sz w:val="24"/>
          <w:szCs w:val="24"/>
        </w:rPr>
      </w:pPr>
    </w:p>
    <w:p w14:paraId="07251BC7" w14:textId="77777777" w:rsidR="009B02B7" w:rsidRPr="001A61B8" w:rsidRDefault="009B02B7" w:rsidP="001A3372">
      <w:pPr>
        <w:bidi w:val="0"/>
        <w:jc w:val="both"/>
        <w:rPr>
          <w:b/>
          <w:bCs/>
          <w:sz w:val="24"/>
          <w:szCs w:val="24"/>
        </w:rPr>
      </w:pPr>
      <w:r w:rsidRPr="001A61B8">
        <w:rPr>
          <w:b/>
          <w:bCs/>
          <w:sz w:val="24"/>
          <w:szCs w:val="24"/>
        </w:rPr>
        <w:t>Fair and ambitious</w:t>
      </w:r>
    </w:p>
    <w:p w14:paraId="680F5770" w14:textId="5C81BE55" w:rsidR="00A26362" w:rsidRPr="001A61B8" w:rsidRDefault="00A26362" w:rsidP="00A26362">
      <w:pPr>
        <w:bidi w:val="0"/>
        <w:spacing w:before="60" w:line="264" w:lineRule="auto"/>
        <w:rPr>
          <w:sz w:val="24"/>
          <w:szCs w:val="24"/>
          <w:rtl/>
          <w:cs/>
        </w:rPr>
      </w:pPr>
      <w:r w:rsidRPr="001A61B8">
        <w:rPr>
          <w:sz w:val="24"/>
          <w:szCs w:val="24"/>
        </w:rPr>
        <w:t>Taking into consideration its national circumstances, Israel believes its target to be fair and ambitious reflecting genuine efforts to move forward in a sustainable manner to facilitate the transition to a low-carbon and climate-resilient economy. Further information can be found in section 6</w:t>
      </w:r>
      <w:r w:rsidR="00635098" w:rsidRPr="001A61B8">
        <w:rPr>
          <w:sz w:val="24"/>
          <w:szCs w:val="24"/>
        </w:rPr>
        <w:t>(</w:t>
      </w:r>
      <w:r w:rsidRPr="001A61B8">
        <w:rPr>
          <w:sz w:val="24"/>
          <w:szCs w:val="24"/>
        </w:rPr>
        <w:t>a</w:t>
      </w:r>
      <w:r w:rsidR="00635098" w:rsidRPr="001A61B8">
        <w:rPr>
          <w:sz w:val="24"/>
          <w:szCs w:val="24"/>
        </w:rPr>
        <w:t xml:space="preserve">) </w:t>
      </w:r>
      <w:r w:rsidRPr="001A61B8">
        <w:rPr>
          <w:sz w:val="24"/>
          <w:szCs w:val="24"/>
        </w:rPr>
        <w:t xml:space="preserve">of the </w:t>
      </w:r>
      <w:r w:rsidR="00635098" w:rsidRPr="001A61B8">
        <w:rPr>
          <w:sz w:val="24"/>
          <w:szCs w:val="24"/>
        </w:rPr>
        <w:t xml:space="preserve">ICTU </w:t>
      </w:r>
      <w:r w:rsidRPr="001A61B8">
        <w:rPr>
          <w:sz w:val="24"/>
          <w:szCs w:val="24"/>
        </w:rPr>
        <w:t>table</w:t>
      </w:r>
      <w:r w:rsidR="00635098" w:rsidRPr="001A61B8">
        <w:rPr>
          <w:sz w:val="24"/>
          <w:szCs w:val="24"/>
        </w:rPr>
        <w:t xml:space="preserve"> below</w:t>
      </w:r>
      <w:r w:rsidRPr="001A61B8">
        <w:rPr>
          <w:sz w:val="24"/>
          <w:szCs w:val="24"/>
        </w:rPr>
        <w:t>.</w:t>
      </w:r>
    </w:p>
    <w:p w14:paraId="6AC2CD5C" w14:textId="77777777" w:rsidR="00701CC7" w:rsidRDefault="00701CC7" w:rsidP="00043745">
      <w:pPr>
        <w:bidi w:val="0"/>
        <w:jc w:val="both"/>
        <w:rPr>
          <w:b/>
          <w:bCs/>
          <w:sz w:val="24"/>
          <w:szCs w:val="24"/>
        </w:rPr>
      </w:pPr>
    </w:p>
    <w:p w14:paraId="2DCA5F37" w14:textId="7E8C631A" w:rsidR="009B02B7" w:rsidRPr="001A61B8" w:rsidRDefault="009B02B7" w:rsidP="00701CC7">
      <w:pPr>
        <w:bidi w:val="0"/>
        <w:jc w:val="both"/>
        <w:rPr>
          <w:b/>
          <w:bCs/>
          <w:sz w:val="24"/>
          <w:szCs w:val="24"/>
        </w:rPr>
      </w:pPr>
      <w:r w:rsidRPr="001A61B8">
        <w:rPr>
          <w:b/>
          <w:bCs/>
          <w:sz w:val="24"/>
          <w:szCs w:val="24"/>
        </w:rPr>
        <w:t>Key sectoral approved decisions and strategies contributing to the NDC’s achievement:</w:t>
      </w:r>
    </w:p>
    <w:p w14:paraId="1DC663CB" w14:textId="41C3A924" w:rsidR="009E4D68" w:rsidRPr="001A61B8" w:rsidRDefault="009B02B7" w:rsidP="00F64148">
      <w:pPr>
        <w:bidi w:val="0"/>
        <w:jc w:val="both"/>
        <w:rPr>
          <w:sz w:val="24"/>
          <w:szCs w:val="24"/>
        </w:rPr>
      </w:pPr>
      <w:r w:rsidRPr="001A61B8">
        <w:rPr>
          <w:rFonts w:cs="Calibri Light"/>
          <w:sz w:val="24"/>
          <w:szCs w:val="24"/>
        </w:rPr>
        <w:t>Government Decision N</w:t>
      </w:r>
      <w:r w:rsidRPr="001A61B8">
        <w:rPr>
          <w:rFonts w:cs="Calibri Light"/>
          <w:sz w:val="24"/>
          <w:szCs w:val="24"/>
          <w:vertAlign w:val="superscript"/>
        </w:rPr>
        <w:t>o</w:t>
      </w:r>
      <w:r w:rsidRPr="001A61B8">
        <w:rPr>
          <w:rFonts w:cs="Calibri Light"/>
          <w:sz w:val="24"/>
          <w:szCs w:val="24"/>
        </w:rPr>
        <w:t xml:space="preserve"> 465 (approved on October 25, 2020)</w:t>
      </w:r>
      <w:r w:rsidR="00ED5C78" w:rsidRPr="001A61B8">
        <w:rPr>
          <w:rFonts w:cs="Calibri Light"/>
          <w:sz w:val="24"/>
          <w:szCs w:val="24"/>
        </w:rPr>
        <w:t xml:space="preserve"> which formalized the decision undertaken by the Minister of Energy to phase-out coal-fired power generation no later than 2026 </w:t>
      </w:r>
      <w:r w:rsidR="008C486A" w:rsidRPr="001A61B8">
        <w:rPr>
          <w:rFonts w:cs="Calibri Light"/>
          <w:sz w:val="24"/>
          <w:szCs w:val="24"/>
        </w:rPr>
        <w:t>a</w:t>
      </w:r>
      <w:r w:rsidR="00ED5C78" w:rsidRPr="001A61B8">
        <w:rPr>
          <w:rFonts w:cs="Calibri Light"/>
          <w:sz w:val="24"/>
          <w:szCs w:val="24"/>
        </w:rPr>
        <w:t>nd determined targets for a renewable power generation share of 20% in 2025 and 30% in 2030.</w:t>
      </w:r>
    </w:p>
    <w:p w14:paraId="160E19DD" w14:textId="037AD764" w:rsidR="009B02B7" w:rsidRPr="001A61B8" w:rsidRDefault="009B02B7" w:rsidP="009E4D68">
      <w:pPr>
        <w:bidi w:val="0"/>
        <w:jc w:val="both"/>
        <w:rPr>
          <w:sz w:val="24"/>
          <w:szCs w:val="24"/>
        </w:rPr>
      </w:pPr>
      <w:r w:rsidRPr="001A61B8">
        <w:rPr>
          <w:sz w:val="24"/>
          <w:szCs w:val="24"/>
        </w:rPr>
        <w:t>Implementation of the Kigali Amendment to the Montreal Protocol</w:t>
      </w:r>
      <w:r w:rsidR="00701CC7">
        <w:rPr>
          <w:sz w:val="24"/>
          <w:szCs w:val="24"/>
        </w:rPr>
        <w:t>.</w:t>
      </w:r>
      <w:r w:rsidRPr="001A61B8">
        <w:rPr>
          <w:sz w:val="24"/>
          <w:szCs w:val="24"/>
        </w:rPr>
        <w:t xml:space="preserve"> In November 2020, the Internal Affairs and Environment Committee of the Knesset amended the Hazardous Materials Regulations to set quotas on the import of HFC </w:t>
      </w:r>
      <w:r w:rsidR="00201602" w:rsidRPr="001A61B8">
        <w:rPr>
          <w:sz w:val="24"/>
          <w:szCs w:val="24"/>
        </w:rPr>
        <w:t>refrigerant gases</w:t>
      </w:r>
      <w:r w:rsidRPr="001A61B8">
        <w:rPr>
          <w:sz w:val="24"/>
          <w:szCs w:val="24"/>
        </w:rPr>
        <w:t>, in line with Israel’s targets under the Kigali Amendment</w:t>
      </w:r>
      <w:r w:rsidR="009E4D68" w:rsidRPr="001A61B8">
        <w:rPr>
          <w:sz w:val="24"/>
          <w:szCs w:val="24"/>
        </w:rPr>
        <w:t xml:space="preserve">, to </w:t>
      </w:r>
      <w:r w:rsidRPr="001A61B8">
        <w:rPr>
          <w:sz w:val="24"/>
          <w:szCs w:val="24"/>
        </w:rPr>
        <w:t>take effect in July 2022.</w:t>
      </w:r>
    </w:p>
    <w:p w14:paraId="28B79460" w14:textId="1AA5BB5F" w:rsidR="009B02B7" w:rsidRPr="001A61B8" w:rsidRDefault="009B02B7" w:rsidP="001A3372">
      <w:pPr>
        <w:bidi w:val="0"/>
        <w:spacing w:after="0"/>
        <w:rPr>
          <w:rFonts w:cstheme="minorHAnsi"/>
          <w:sz w:val="24"/>
          <w:szCs w:val="24"/>
          <w:lang w:val="en"/>
        </w:rPr>
      </w:pPr>
      <w:r w:rsidRPr="001A61B8">
        <w:rPr>
          <w:rFonts w:cstheme="minorHAnsi"/>
          <w:sz w:val="24"/>
          <w:szCs w:val="24"/>
        </w:rPr>
        <w:t>National Waste Strategy:</w:t>
      </w:r>
      <w:r w:rsidR="009E4D68" w:rsidRPr="001A61B8">
        <w:rPr>
          <w:rFonts w:cstheme="minorHAnsi"/>
          <w:sz w:val="24"/>
          <w:szCs w:val="24"/>
          <w:lang w:val="en"/>
        </w:rPr>
        <w:t xml:space="preserve"> </w:t>
      </w:r>
      <w:r w:rsidRPr="001A61B8">
        <w:rPr>
          <w:rFonts w:cstheme="minorHAnsi"/>
          <w:sz w:val="24"/>
          <w:szCs w:val="24"/>
          <w:lang w:val="en"/>
        </w:rPr>
        <w:t>In February 2021, the Ministry of Environmental Protection published a new National Strategy for a Circular Economy in 2050 and a Sustainable Waste Sector in 2030. The strategy addresses treatment of Municipal Solid Waste (MSW) in a comprehensive manner</w:t>
      </w:r>
      <w:r w:rsidR="00DB57CB" w:rsidRPr="001A61B8">
        <w:rPr>
          <w:rFonts w:cstheme="minorHAnsi"/>
          <w:sz w:val="24"/>
          <w:szCs w:val="24"/>
          <w:lang w:val="en"/>
        </w:rPr>
        <w:t xml:space="preserve"> </w:t>
      </w:r>
      <w:r w:rsidRPr="001A61B8">
        <w:rPr>
          <w:rFonts w:cstheme="minorHAnsi"/>
          <w:sz w:val="24"/>
          <w:szCs w:val="24"/>
          <w:lang w:val="en"/>
        </w:rPr>
        <w:t>and includes the following key abatement measures in relation to sources of GHG emissions.</w:t>
      </w:r>
    </w:p>
    <w:p w14:paraId="25C3EF7C" w14:textId="77777777" w:rsidR="009B02B7" w:rsidRPr="001A61B8" w:rsidRDefault="009B02B7" w:rsidP="007921AA">
      <w:pPr>
        <w:pStyle w:val="Bullets"/>
        <w:spacing w:before="0" w:after="0"/>
        <w:ind w:left="714" w:hanging="357"/>
        <w:rPr>
          <w:rFonts w:asciiTheme="minorHAnsi" w:hAnsiTheme="minorHAnsi" w:cstheme="minorHAnsi"/>
          <w:sz w:val="24"/>
          <w:szCs w:val="24"/>
          <w:lang w:val="en"/>
        </w:rPr>
      </w:pPr>
      <w:r w:rsidRPr="001A61B8">
        <w:rPr>
          <w:rFonts w:asciiTheme="minorHAnsi" w:hAnsiTheme="minorHAnsi" w:cstheme="minorHAnsi"/>
          <w:sz w:val="24"/>
          <w:szCs w:val="24"/>
          <w:lang w:val="en"/>
        </w:rPr>
        <w:t xml:space="preserve">Transition from 80% of waste landfilling in 2020, to only 20% by </w:t>
      </w:r>
      <w:proofErr w:type="gramStart"/>
      <w:r w:rsidRPr="001A61B8">
        <w:rPr>
          <w:rFonts w:asciiTheme="minorHAnsi" w:hAnsiTheme="minorHAnsi" w:cstheme="minorHAnsi"/>
          <w:sz w:val="24"/>
          <w:szCs w:val="24"/>
          <w:lang w:val="en"/>
        </w:rPr>
        <w:t>2030;</w:t>
      </w:r>
      <w:proofErr w:type="gramEnd"/>
      <w:r w:rsidRPr="001A61B8">
        <w:rPr>
          <w:rFonts w:asciiTheme="minorHAnsi" w:hAnsiTheme="minorHAnsi" w:cstheme="minorHAnsi"/>
          <w:sz w:val="24"/>
          <w:szCs w:val="24"/>
          <w:lang w:val="en"/>
        </w:rPr>
        <w:t xml:space="preserve"> </w:t>
      </w:r>
    </w:p>
    <w:p w14:paraId="68C71BE5" w14:textId="6311ED26" w:rsidR="009B02B7" w:rsidRPr="001A61B8" w:rsidRDefault="009B02B7" w:rsidP="007921AA">
      <w:pPr>
        <w:pStyle w:val="Bullets"/>
        <w:spacing w:before="0" w:after="0"/>
        <w:ind w:left="714" w:hanging="357"/>
        <w:rPr>
          <w:rFonts w:asciiTheme="minorHAnsi" w:hAnsiTheme="minorHAnsi" w:cstheme="minorHAnsi"/>
          <w:sz w:val="24"/>
          <w:szCs w:val="24"/>
          <w:lang w:val="en"/>
        </w:rPr>
      </w:pPr>
      <w:r w:rsidRPr="001A61B8">
        <w:rPr>
          <w:rFonts w:asciiTheme="minorHAnsi" w:hAnsiTheme="minorHAnsi" w:cstheme="minorHAnsi"/>
          <w:sz w:val="24"/>
          <w:szCs w:val="24"/>
          <w:lang w:val="en"/>
        </w:rPr>
        <w:t xml:space="preserve">Zero landfilling of untreated organic waste and paper and cardboard by </w:t>
      </w:r>
      <w:proofErr w:type="gramStart"/>
      <w:r w:rsidRPr="001A61B8">
        <w:rPr>
          <w:rFonts w:asciiTheme="minorHAnsi" w:hAnsiTheme="minorHAnsi" w:cstheme="minorHAnsi"/>
          <w:sz w:val="24"/>
          <w:szCs w:val="24"/>
          <w:lang w:val="en"/>
        </w:rPr>
        <w:t>2030</w:t>
      </w:r>
      <w:r w:rsidR="00701CC7">
        <w:rPr>
          <w:rFonts w:asciiTheme="minorHAnsi" w:hAnsiTheme="minorHAnsi" w:cstheme="minorHAnsi"/>
          <w:sz w:val="24"/>
          <w:szCs w:val="24"/>
          <w:lang w:val="en"/>
        </w:rPr>
        <w:t>;</w:t>
      </w:r>
      <w:proofErr w:type="gramEnd"/>
    </w:p>
    <w:p w14:paraId="7781063A" w14:textId="0DBE4F94" w:rsidR="009B02B7" w:rsidRPr="001A61B8" w:rsidRDefault="009B02B7" w:rsidP="006A75A2">
      <w:pPr>
        <w:pStyle w:val="ListParagraph"/>
        <w:numPr>
          <w:ilvl w:val="0"/>
          <w:numId w:val="47"/>
        </w:numPr>
        <w:bidi w:val="0"/>
        <w:rPr>
          <w:sz w:val="24"/>
          <w:szCs w:val="24"/>
        </w:rPr>
      </w:pPr>
      <w:r w:rsidRPr="001A61B8">
        <w:rPr>
          <w:sz w:val="24"/>
          <w:szCs w:val="24"/>
          <w:lang w:val="en"/>
        </w:rPr>
        <w:t xml:space="preserve">All active landfills will be sealed, and methane collection and destruction/utilization systems </w:t>
      </w:r>
      <w:r w:rsidR="006A75A2" w:rsidRPr="001A61B8">
        <w:rPr>
          <w:sz w:val="24"/>
          <w:szCs w:val="24"/>
          <w:lang w:val="en"/>
        </w:rPr>
        <w:t xml:space="preserve">will </w:t>
      </w:r>
      <w:r w:rsidRPr="001A61B8">
        <w:rPr>
          <w:sz w:val="24"/>
          <w:szCs w:val="24"/>
          <w:lang w:val="en"/>
        </w:rPr>
        <w:t xml:space="preserve">be installed, </w:t>
      </w:r>
      <w:r w:rsidR="006A75A2" w:rsidRPr="001A61B8">
        <w:rPr>
          <w:sz w:val="24"/>
          <w:szCs w:val="24"/>
          <w:lang w:val="en"/>
        </w:rPr>
        <w:t>so</w:t>
      </w:r>
      <w:r w:rsidRPr="001A61B8">
        <w:rPr>
          <w:sz w:val="24"/>
          <w:szCs w:val="24"/>
          <w:lang w:val="en"/>
        </w:rPr>
        <w:t xml:space="preserve"> that methane collection </w:t>
      </w:r>
      <w:r w:rsidR="006A75A2" w:rsidRPr="001A61B8">
        <w:rPr>
          <w:sz w:val="24"/>
          <w:szCs w:val="24"/>
          <w:lang w:val="en"/>
        </w:rPr>
        <w:t>will amount to</w:t>
      </w:r>
      <w:r w:rsidRPr="001A61B8">
        <w:rPr>
          <w:sz w:val="24"/>
          <w:szCs w:val="24"/>
          <w:lang w:val="en"/>
        </w:rPr>
        <w:t xml:space="preserve"> no less than 50% of total methane production in the landfill.</w:t>
      </w:r>
    </w:p>
    <w:p w14:paraId="58FF8C73" w14:textId="7105B21B" w:rsidR="008C486A" w:rsidRPr="001A61B8" w:rsidRDefault="008C486A" w:rsidP="008C486A">
      <w:pPr>
        <w:pStyle w:val="ListParagraph"/>
        <w:bidi w:val="0"/>
        <w:rPr>
          <w:sz w:val="24"/>
          <w:szCs w:val="24"/>
          <w:rtl/>
        </w:rPr>
      </w:pPr>
    </w:p>
    <w:p w14:paraId="10CA11A6" w14:textId="3975C870" w:rsidR="009E4D68" w:rsidRPr="001A61B8" w:rsidRDefault="009E4D68" w:rsidP="009E4D68">
      <w:pPr>
        <w:bidi w:val="0"/>
        <w:spacing w:after="0" w:line="240" w:lineRule="auto"/>
        <w:jc w:val="both"/>
        <w:outlineLvl w:val="1"/>
        <w:rPr>
          <w:b/>
          <w:bCs/>
          <w:sz w:val="24"/>
          <w:szCs w:val="24"/>
        </w:rPr>
      </w:pPr>
    </w:p>
    <w:p w14:paraId="544B3CB2" w14:textId="77777777" w:rsidR="001A3372" w:rsidRPr="001A61B8" w:rsidRDefault="001A3372" w:rsidP="001A3372">
      <w:pPr>
        <w:bidi w:val="0"/>
        <w:jc w:val="both"/>
        <w:rPr>
          <w:b/>
          <w:bCs/>
          <w:sz w:val="24"/>
          <w:szCs w:val="24"/>
        </w:rPr>
      </w:pPr>
      <w:r w:rsidRPr="001A61B8">
        <w:rPr>
          <w:b/>
          <w:bCs/>
          <w:sz w:val="24"/>
          <w:szCs w:val="24"/>
        </w:rPr>
        <w:t>Implementation</w:t>
      </w:r>
    </w:p>
    <w:p w14:paraId="656462B0" w14:textId="6C4A35C6" w:rsidR="001A3372" w:rsidRPr="001A61B8" w:rsidRDefault="00EA4D5A" w:rsidP="001A3372">
      <w:pPr>
        <w:bidi w:val="0"/>
        <w:jc w:val="both"/>
        <w:rPr>
          <w:sz w:val="24"/>
          <w:szCs w:val="24"/>
        </w:rPr>
      </w:pPr>
      <w:r w:rsidRPr="001A61B8">
        <w:rPr>
          <w:sz w:val="24"/>
          <w:szCs w:val="24"/>
        </w:rPr>
        <w:t>The government</w:t>
      </w:r>
      <w:r w:rsidR="001A3372" w:rsidRPr="001A61B8">
        <w:rPr>
          <w:sz w:val="24"/>
          <w:szCs w:val="24"/>
        </w:rPr>
        <w:t xml:space="preserve"> intend</w:t>
      </w:r>
      <w:r w:rsidRPr="001A61B8">
        <w:rPr>
          <w:sz w:val="24"/>
          <w:szCs w:val="24"/>
        </w:rPr>
        <w:t>s</w:t>
      </w:r>
      <w:r w:rsidR="001A3372" w:rsidRPr="001A61B8">
        <w:rPr>
          <w:sz w:val="24"/>
          <w:szCs w:val="24"/>
        </w:rPr>
        <w:t xml:space="preserve"> </w:t>
      </w:r>
      <w:r w:rsidRPr="001A61B8">
        <w:rPr>
          <w:sz w:val="24"/>
          <w:szCs w:val="24"/>
        </w:rPr>
        <w:t>to review the national GHG reduction goals and strategy every five years which will</w:t>
      </w:r>
      <w:r w:rsidR="00701CC7">
        <w:rPr>
          <w:sz w:val="24"/>
          <w:szCs w:val="24"/>
        </w:rPr>
        <w:t xml:space="preserve"> also</w:t>
      </w:r>
      <w:r w:rsidRPr="001A61B8">
        <w:rPr>
          <w:sz w:val="24"/>
          <w:szCs w:val="24"/>
        </w:rPr>
        <w:t xml:space="preserve"> include an independent review process</w:t>
      </w:r>
      <w:r w:rsidR="001A3372" w:rsidRPr="001A61B8">
        <w:rPr>
          <w:sz w:val="24"/>
          <w:szCs w:val="24"/>
        </w:rPr>
        <w:t xml:space="preserve">. </w:t>
      </w:r>
    </w:p>
    <w:p w14:paraId="478FEB88" w14:textId="36CEDA93" w:rsidR="009E4D68" w:rsidRDefault="009E4D68" w:rsidP="001A3372">
      <w:pPr>
        <w:bidi w:val="0"/>
        <w:jc w:val="both"/>
        <w:rPr>
          <w:sz w:val="24"/>
          <w:szCs w:val="24"/>
        </w:rPr>
      </w:pPr>
      <w:r w:rsidRPr="001A61B8">
        <w:rPr>
          <w:sz w:val="24"/>
          <w:szCs w:val="24"/>
        </w:rPr>
        <w:t xml:space="preserve">More detailed information on implementation is included in Israel's Third National Communication and in Israel’s Second Biennial Update Report to be submitted </w:t>
      </w:r>
      <w:proofErr w:type="gramStart"/>
      <w:r w:rsidRPr="001A61B8">
        <w:rPr>
          <w:sz w:val="24"/>
          <w:szCs w:val="24"/>
        </w:rPr>
        <w:t>in the near future</w:t>
      </w:r>
      <w:proofErr w:type="gramEnd"/>
      <w:r w:rsidRPr="001A61B8">
        <w:rPr>
          <w:sz w:val="24"/>
          <w:szCs w:val="24"/>
        </w:rPr>
        <w:t xml:space="preserve">. </w:t>
      </w:r>
    </w:p>
    <w:p w14:paraId="38A40E5F" w14:textId="77777777" w:rsidR="00C82FBE" w:rsidRPr="001A61B8" w:rsidRDefault="00C82FBE" w:rsidP="00C82FBE">
      <w:pPr>
        <w:bidi w:val="0"/>
        <w:jc w:val="both"/>
        <w:rPr>
          <w:sz w:val="24"/>
          <w:szCs w:val="24"/>
        </w:rPr>
      </w:pPr>
    </w:p>
    <w:p w14:paraId="2431456C" w14:textId="77777777" w:rsidR="009B02B7" w:rsidRPr="001A61B8" w:rsidRDefault="009B02B7" w:rsidP="001A3372">
      <w:pPr>
        <w:bidi w:val="0"/>
        <w:jc w:val="both"/>
        <w:rPr>
          <w:b/>
          <w:bCs/>
          <w:sz w:val="24"/>
          <w:szCs w:val="24"/>
        </w:rPr>
      </w:pPr>
      <w:r w:rsidRPr="001A61B8">
        <w:rPr>
          <w:b/>
          <w:bCs/>
          <w:sz w:val="24"/>
          <w:szCs w:val="24"/>
        </w:rPr>
        <w:t xml:space="preserve">Monitoring Reporting and Verification </w:t>
      </w:r>
    </w:p>
    <w:p w14:paraId="2899759F" w14:textId="76191BFC" w:rsidR="009B02B7" w:rsidRPr="001A61B8" w:rsidRDefault="00A26362" w:rsidP="001A3372">
      <w:pPr>
        <w:bidi w:val="0"/>
        <w:spacing w:before="60" w:line="264" w:lineRule="auto"/>
        <w:rPr>
          <w:rFonts w:cstheme="minorHAnsi"/>
          <w:sz w:val="24"/>
          <w:szCs w:val="24"/>
        </w:rPr>
      </w:pPr>
      <w:r w:rsidRPr="001A61B8">
        <w:rPr>
          <w:rFonts w:cstheme="minorHAnsi"/>
          <w:sz w:val="24"/>
          <w:szCs w:val="24"/>
        </w:rPr>
        <w:t xml:space="preserve">In April 2016, the Israeli government set out in its National Greenhouse Gas Emissions Reduction Plan (Resolution 1403) the establishment of a national system for monitoring, </w:t>
      </w:r>
      <w:r w:rsidR="001A3372" w:rsidRPr="001A61B8">
        <w:rPr>
          <w:rFonts w:cstheme="minorHAnsi"/>
          <w:sz w:val="24"/>
          <w:szCs w:val="24"/>
        </w:rPr>
        <w:t>reporting and verification</w:t>
      </w:r>
      <w:r w:rsidRPr="001A61B8">
        <w:rPr>
          <w:rFonts w:cstheme="minorHAnsi"/>
          <w:sz w:val="24"/>
          <w:szCs w:val="24"/>
        </w:rPr>
        <w:t>, relating to the implementation of the program and national targets for reducing greenhouse gas emissions</w:t>
      </w:r>
      <w:r w:rsidRPr="001A61B8">
        <w:rPr>
          <w:rFonts w:cs="Calibri"/>
          <w:sz w:val="24"/>
          <w:szCs w:val="24"/>
        </w:rPr>
        <w:t>. Further information can be found in the table below.</w:t>
      </w:r>
    </w:p>
    <w:p w14:paraId="3C9B57B6" w14:textId="77777777" w:rsidR="00736357" w:rsidRDefault="00736357" w:rsidP="001A3372">
      <w:pPr>
        <w:bidi w:val="0"/>
        <w:jc w:val="both"/>
        <w:rPr>
          <w:b/>
          <w:bCs/>
          <w:sz w:val="24"/>
          <w:szCs w:val="24"/>
        </w:rPr>
      </w:pPr>
    </w:p>
    <w:p w14:paraId="224222D7" w14:textId="0AF38E00" w:rsidR="009B02B7" w:rsidRPr="001A61B8" w:rsidRDefault="009B02B7" w:rsidP="00736357">
      <w:pPr>
        <w:bidi w:val="0"/>
        <w:jc w:val="both"/>
        <w:rPr>
          <w:b/>
          <w:bCs/>
          <w:sz w:val="24"/>
          <w:szCs w:val="24"/>
        </w:rPr>
      </w:pPr>
      <w:r w:rsidRPr="001A61B8">
        <w:rPr>
          <w:b/>
          <w:bCs/>
          <w:sz w:val="24"/>
          <w:szCs w:val="24"/>
        </w:rPr>
        <w:t>Research and Development</w:t>
      </w:r>
    </w:p>
    <w:p w14:paraId="5E3F4FEB" w14:textId="4CB506D8" w:rsidR="009B02B7" w:rsidRPr="001A61B8" w:rsidRDefault="009B02B7" w:rsidP="001A3372">
      <w:pPr>
        <w:bidi w:val="0"/>
        <w:jc w:val="both"/>
        <w:rPr>
          <w:sz w:val="24"/>
          <w:szCs w:val="24"/>
        </w:rPr>
      </w:pPr>
      <w:r w:rsidRPr="001A61B8">
        <w:rPr>
          <w:sz w:val="24"/>
          <w:szCs w:val="24"/>
        </w:rPr>
        <w:t xml:space="preserve">Israel continues to be one of the largest investors in Research and Development per capita among OECD countries. A portion of that investment goes to Clean Tech and to climate technologies specifically in areas in which Israel has a relative advantage such as water use, </w:t>
      </w:r>
      <w:proofErr w:type="spellStart"/>
      <w:r w:rsidRPr="001A61B8">
        <w:rPr>
          <w:sz w:val="24"/>
          <w:szCs w:val="24"/>
        </w:rPr>
        <w:t>agritech</w:t>
      </w:r>
      <w:proofErr w:type="spellEnd"/>
      <w:r w:rsidRPr="001A61B8">
        <w:rPr>
          <w:sz w:val="24"/>
          <w:szCs w:val="24"/>
        </w:rPr>
        <w:t xml:space="preserve">, and adaptation to arid and semi-arid conditions. </w:t>
      </w:r>
    </w:p>
    <w:p w14:paraId="038D956E" w14:textId="77777777" w:rsidR="00E979DD" w:rsidRPr="001A61B8" w:rsidRDefault="00E979DD" w:rsidP="00E979DD">
      <w:pPr>
        <w:bidi w:val="0"/>
        <w:jc w:val="both"/>
        <w:rPr>
          <w:b/>
          <w:bCs/>
          <w:sz w:val="24"/>
          <w:szCs w:val="24"/>
        </w:rPr>
      </w:pPr>
    </w:p>
    <w:p w14:paraId="78C1FC7A" w14:textId="77777777" w:rsidR="00736357" w:rsidRDefault="00736357" w:rsidP="00E979DD">
      <w:pPr>
        <w:bidi w:val="0"/>
        <w:jc w:val="both"/>
        <w:rPr>
          <w:b/>
          <w:bCs/>
          <w:sz w:val="24"/>
          <w:szCs w:val="24"/>
        </w:rPr>
      </w:pPr>
    </w:p>
    <w:p w14:paraId="22755967" w14:textId="77777777" w:rsidR="00736357" w:rsidRDefault="00736357" w:rsidP="00736357">
      <w:pPr>
        <w:bidi w:val="0"/>
        <w:jc w:val="both"/>
        <w:rPr>
          <w:b/>
          <w:bCs/>
          <w:sz w:val="24"/>
          <w:szCs w:val="24"/>
        </w:rPr>
      </w:pPr>
    </w:p>
    <w:p w14:paraId="0422791E" w14:textId="44FFBFFE" w:rsidR="009B02B7" w:rsidRPr="001A61B8" w:rsidRDefault="009B02B7" w:rsidP="00736357">
      <w:pPr>
        <w:bidi w:val="0"/>
        <w:jc w:val="both"/>
        <w:rPr>
          <w:b/>
          <w:bCs/>
          <w:sz w:val="24"/>
          <w:szCs w:val="24"/>
        </w:rPr>
      </w:pPr>
      <w:r w:rsidRPr="001A61B8">
        <w:rPr>
          <w:b/>
          <w:bCs/>
          <w:sz w:val="24"/>
          <w:szCs w:val="24"/>
        </w:rPr>
        <w:t xml:space="preserve">Adaptation to Climate Change </w:t>
      </w:r>
    </w:p>
    <w:p w14:paraId="398D1504" w14:textId="29E5E555" w:rsidR="009B02B7" w:rsidRPr="001A61B8" w:rsidRDefault="009B02B7" w:rsidP="001A3372">
      <w:pPr>
        <w:bidi w:val="0"/>
        <w:jc w:val="both"/>
        <w:rPr>
          <w:sz w:val="24"/>
          <w:szCs w:val="24"/>
        </w:rPr>
      </w:pPr>
      <w:r w:rsidRPr="001A61B8">
        <w:rPr>
          <w:sz w:val="24"/>
          <w:szCs w:val="24"/>
        </w:rPr>
        <w:t xml:space="preserve">Israel has also been focusing on formulating adaptation policies, based on the increasingly severe climate predictions and trends for Israel and the region. The government adopted a government decision in 2018 for Adaptation to Climate Change and established the National Adaptation to Climate Change Committee (NACCC). The role of the NACCC is to mainstream adaptation efforts in all </w:t>
      </w:r>
      <w:r w:rsidR="00C82FBE">
        <w:rPr>
          <w:sz w:val="24"/>
          <w:szCs w:val="24"/>
        </w:rPr>
        <w:t>g</w:t>
      </w:r>
      <w:r w:rsidRPr="001A61B8">
        <w:rPr>
          <w:sz w:val="24"/>
          <w:szCs w:val="24"/>
        </w:rPr>
        <w:t xml:space="preserve">overnment bodies and relevant organizations, to coordinate cross sector adaptation activities and projects, to mainstream adaptation and to develop and distribute climate knowledge. </w:t>
      </w:r>
    </w:p>
    <w:p w14:paraId="746C1F3B" w14:textId="77777777" w:rsidR="009B02B7" w:rsidRPr="001A61B8" w:rsidRDefault="009B02B7" w:rsidP="001A3372">
      <w:pPr>
        <w:bidi w:val="0"/>
        <w:jc w:val="both"/>
        <w:rPr>
          <w:sz w:val="24"/>
          <w:szCs w:val="24"/>
        </w:rPr>
      </w:pPr>
      <w:r w:rsidRPr="001A61B8">
        <w:rPr>
          <w:sz w:val="24"/>
          <w:szCs w:val="24"/>
        </w:rPr>
        <w:t xml:space="preserve">In 2019, The Israel Meteorological Service published the "Climate change in Israel – historical trends and future predictions of temperature and precipitation Report". This report presents the first comprehensive analysis of temperature and precipitation trends for Israel, based on data for various areas in Israel, and an analysis of projected </w:t>
      </w:r>
      <w:r w:rsidRPr="001A61B8">
        <w:rPr>
          <w:sz w:val="24"/>
          <w:szCs w:val="24"/>
        </w:rPr>
        <w:t xml:space="preserve">climate models for the coming decades. </w:t>
      </w:r>
    </w:p>
    <w:p w14:paraId="72F70009" w14:textId="4D08813E" w:rsidR="009B02B7" w:rsidRPr="001A61B8" w:rsidRDefault="009B02B7" w:rsidP="001A3372">
      <w:pPr>
        <w:bidi w:val="0"/>
        <w:jc w:val="both"/>
        <w:rPr>
          <w:sz w:val="24"/>
          <w:szCs w:val="24"/>
          <w:rtl/>
        </w:rPr>
      </w:pPr>
      <w:r w:rsidRPr="001A61B8">
        <w:rPr>
          <w:sz w:val="24"/>
          <w:szCs w:val="24"/>
        </w:rPr>
        <w:t xml:space="preserve">The Adaptation Committee submitted its first National Adaptation Report in May 2021 including recommendations to recognize Climate Change as a national security threat; outlining steps to be taken at the national and particularly at the local level for which a budget of 2.5 </w:t>
      </w:r>
      <w:r w:rsidR="0093744B" w:rsidRPr="001A61B8">
        <w:rPr>
          <w:sz w:val="24"/>
          <w:szCs w:val="24"/>
        </w:rPr>
        <w:t>b</w:t>
      </w:r>
      <w:r w:rsidRPr="001A61B8">
        <w:rPr>
          <w:sz w:val="24"/>
          <w:szCs w:val="24"/>
        </w:rPr>
        <w:t xml:space="preserve">illion NIS over 5 years is </w:t>
      </w:r>
      <w:r w:rsidR="0093744B" w:rsidRPr="001A61B8">
        <w:rPr>
          <w:sz w:val="24"/>
          <w:szCs w:val="24"/>
        </w:rPr>
        <w:t>proposed</w:t>
      </w:r>
      <w:r w:rsidRPr="001A61B8">
        <w:rPr>
          <w:sz w:val="24"/>
          <w:szCs w:val="24"/>
        </w:rPr>
        <w:t xml:space="preserve">.  </w:t>
      </w:r>
      <w:r w:rsidR="00C82FBE">
        <w:rPr>
          <w:sz w:val="24"/>
          <w:szCs w:val="24"/>
        </w:rPr>
        <w:t>It is intended that t</w:t>
      </w:r>
      <w:r w:rsidRPr="001A61B8">
        <w:rPr>
          <w:sz w:val="24"/>
          <w:szCs w:val="24"/>
        </w:rPr>
        <w:t xml:space="preserve">his Report will </w:t>
      </w:r>
      <w:r w:rsidR="00C82FBE">
        <w:rPr>
          <w:sz w:val="24"/>
          <w:szCs w:val="24"/>
        </w:rPr>
        <w:t>form the basis</w:t>
      </w:r>
      <w:r w:rsidRPr="001A61B8">
        <w:rPr>
          <w:sz w:val="24"/>
          <w:szCs w:val="24"/>
        </w:rPr>
        <w:t xml:space="preserve"> of a future government decision.  </w:t>
      </w:r>
    </w:p>
    <w:p w14:paraId="08C93ECD" w14:textId="5A530C87" w:rsidR="009B02B7" w:rsidRPr="001A61B8" w:rsidRDefault="009B02B7" w:rsidP="001A3372">
      <w:pPr>
        <w:bidi w:val="0"/>
        <w:jc w:val="both"/>
        <w:rPr>
          <w:sz w:val="24"/>
          <w:szCs w:val="24"/>
        </w:rPr>
      </w:pPr>
      <w:r w:rsidRPr="001A61B8">
        <w:rPr>
          <w:sz w:val="24"/>
          <w:szCs w:val="24"/>
        </w:rPr>
        <w:t>In the interim, the Water Authority, for example</w:t>
      </w:r>
      <w:r w:rsidR="00C82FBE">
        <w:rPr>
          <w:sz w:val="24"/>
          <w:szCs w:val="24"/>
        </w:rPr>
        <w:t>,</w:t>
      </w:r>
      <w:r w:rsidRPr="001A61B8">
        <w:rPr>
          <w:sz w:val="24"/>
          <w:szCs w:val="24"/>
        </w:rPr>
        <w:t xml:space="preserve"> is already incorporating data on the trends and projection into its master plans, thus maintaining Israel's ability to develop new desalination plants and to provide water supply both in Israel and for neighboring countries as well </w:t>
      </w:r>
      <w:r w:rsidR="002F00FC" w:rsidRPr="001A61B8">
        <w:rPr>
          <w:sz w:val="24"/>
          <w:szCs w:val="24"/>
        </w:rPr>
        <w:t xml:space="preserve">as </w:t>
      </w:r>
      <w:r w:rsidRPr="001A61B8">
        <w:rPr>
          <w:sz w:val="24"/>
          <w:szCs w:val="24"/>
        </w:rPr>
        <w:t xml:space="preserve">continuing to develop innovation wastewater treatment and water recycling technologies. Enhancing the resilience of the public health system will be another area of focus </w:t>
      </w:r>
    </w:p>
    <w:p w14:paraId="2B7AF6BF" w14:textId="2DDEF78F" w:rsidR="009B02B7" w:rsidRPr="001A61B8" w:rsidRDefault="009B02B7" w:rsidP="006644F2">
      <w:pPr>
        <w:bidi w:val="0"/>
        <w:jc w:val="both"/>
        <w:rPr>
          <w:sz w:val="24"/>
          <w:szCs w:val="24"/>
        </w:rPr>
      </w:pPr>
      <w:r w:rsidRPr="001A61B8">
        <w:rPr>
          <w:sz w:val="24"/>
          <w:szCs w:val="24"/>
        </w:rPr>
        <w:t xml:space="preserve">Tel Aviv – Yafo was the first city to publish its Adaptation to Climate Change Plan in 2020, in line with the C-40 covenant. </w:t>
      </w:r>
      <w:r w:rsidR="006644F2" w:rsidRPr="001A61B8">
        <w:rPr>
          <w:sz w:val="24"/>
          <w:szCs w:val="24"/>
        </w:rPr>
        <w:t xml:space="preserve">15 local authorities are currently developing their adaptation plans and </w:t>
      </w:r>
      <w:proofErr w:type="gramStart"/>
      <w:r w:rsidRPr="001A61B8">
        <w:rPr>
          <w:sz w:val="24"/>
          <w:szCs w:val="24"/>
        </w:rPr>
        <w:t>In</w:t>
      </w:r>
      <w:proofErr w:type="gramEnd"/>
      <w:r w:rsidR="00B82134" w:rsidRPr="001A61B8">
        <w:rPr>
          <w:sz w:val="24"/>
          <w:szCs w:val="24"/>
        </w:rPr>
        <w:t xml:space="preserve"> </w:t>
      </w:r>
      <w:r w:rsidRPr="001A61B8">
        <w:rPr>
          <w:sz w:val="24"/>
          <w:szCs w:val="24"/>
        </w:rPr>
        <w:t xml:space="preserve">the next few years, it is expected that many more local authorities will follow suit. In recognition of the importance of the local government's role in adaptation efforts and </w:t>
      </w:r>
      <w:proofErr w:type="gramStart"/>
      <w:r w:rsidRPr="001A61B8">
        <w:rPr>
          <w:sz w:val="24"/>
          <w:szCs w:val="24"/>
        </w:rPr>
        <w:t>in order to</w:t>
      </w:r>
      <w:proofErr w:type="gramEnd"/>
      <w:r w:rsidRPr="001A61B8">
        <w:rPr>
          <w:sz w:val="24"/>
          <w:szCs w:val="24"/>
        </w:rPr>
        <w:t xml:space="preserve"> mainstream adaptation efforts, </w:t>
      </w:r>
      <w:r w:rsidR="00C82FBE">
        <w:rPr>
          <w:sz w:val="24"/>
          <w:szCs w:val="24"/>
        </w:rPr>
        <w:t>t</w:t>
      </w:r>
      <w:r w:rsidRPr="001A61B8">
        <w:rPr>
          <w:sz w:val="24"/>
          <w:szCs w:val="24"/>
        </w:rPr>
        <w:t xml:space="preserve">he NACCC developed Adaptation Guidelines for local government to be adopted by all local authorities. </w:t>
      </w:r>
    </w:p>
    <w:p w14:paraId="4060D304" w14:textId="5F135FE1" w:rsidR="006E40B9" w:rsidRPr="001A61B8" w:rsidRDefault="006E40B9" w:rsidP="001A3372">
      <w:pPr>
        <w:bidi w:val="0"/>
        <w:spacing w:before="60" w:after="0" w:line="264" w:lineRule="auto"/>
        <w:rPr>
          <w:sz w:val="24"/>
          <w:szCs w:val="24"/>
        </w:rPr>
      </w:pPr>
    </w:p>
    <w:p w14:paraId="2E6F1E75" w14:textId="14FA4D41" w:rsidR="00026182" w:rsidRPr="001A61B8" w:rsidRDefault="00026182" w:rsidP="00AB6D3A">
      <w:pPr>
        <w:spacing w:before="60" w:after="0" w:line="264" w:lineRule="auto"/>
        <w:jc w:val="center"/>
        <w:rPr>
          <w:b/>
          <w:bCs/>
          <w:sz w:val="24"/>
          <w:szCs w:val="24"/>
          <w:rtl/>
        </w:rPr>
      </w:pPr>
    </w:p>
    <w:p w14:paraId="6172795F" w14:textId="7FA72BA4" w:rsidR="006A1A08" w:rsidRPr="001A61B8" w:rsidRDefault="006A1A08" w:rsidP="00AB6D3A">
      <w:pPr>
        <w:spacing w:before="60" w:after="0" w:line="264" w:lineRule="auto"/>
        <w:jc w:val="center"/>
        <w:rPr>
          <w:b/>
          <w:bCs/>
          <w:sz w:val="24"/>
          <w:szCs w:val="24"/>
          <w:rtl/>
        </w:rPr>
      </w:pPr>
    </w:p>
    <w:p w14:paraId="4B4235A1" w14:textId="46102F7D" w:rsidR="006A1A08" w:rsidRPr="001A61B8" w:rsidRDefault="006A1A08" w:rsidP="00AB6D3A">
      <w:pPr>
        <w:spacing w:before="60" w:after="0" w:line="264" w:lineRule="auto"/>
        <w:jc w:val="center"/>
        <w:rPr>
          <w:b/>
          <w:bCs/>
          <w:sz w:val="24"/>
          <w:szCs w:val="24"/>
          <w:rtl/>
        </w:rPr>
      </w:pPr>
    </w:p>
    <w:p w14:paraId="75FAAB9E" w14:textId="2C96CB1B" w:rsidR="006A1A08" w:rsidRPr="001A61B8" w:rsidRDefault="006A1A08" w:rsidP="00AB6D3A">
      <w:pPr>
        <w:spacing w:before="60" w:after="0" w:line="264" w:lineRule="auto"/>
        <w:jc w:val="center"/>
        <w:rPr>
          <w:b/>
          <w:bCs/>
          <w:sz w:val="24"/>
          <w:szCs w:val="24"/>
          <w:rtl/>
        </w:rPr>
      </w:pPr>
    </w:p>
    <w:p w14:paraId="6C8814D0" w14:textId="77777777" w:rsidR="006A1A08" w:rsidRDefault="006A1A08" w:rsidP="00AB6D3A">
      <w:pPr>
        <w:spacing w:before="60" w:after="0" w:line="264" w:lineRule="auto"/>
        <w:jc w:val="center"/>
        <w:rPr>
          <w:b/>
          <w:bCs/>
          <w:sz w:val="36"/>
          <w:szCs w:val="36"/>
          <w:rtl/>
        </w:rPr>
        <w:sectPr w:rsidR="006A1A08" w:rsidSect="006A1A08">
          <w:pgSz w:w="11906" w:h="16838"/>
          <w:pgMar w:top="1440" w:right="1800" w:bottom="1440" w:left="1800" w:header="708" w:footer="708" w:gutter="0"/>
          <w:cols w:space="708"/>
          <w:bidi/>
          <w:rtlGutter/>
          <w:docGrid w:linePitch="360"/>
        </w:sectPr>
      </w:pPr>
    </w:p>
    <w:p w14:paraId="0C35B072" w14:textId="02BECB40" w:rsidR="006A1A08" w:rsidRDefault="006A1A08" w:rsidP="00AB6D3A">
      <w:pPr>
        <w:spacing w:before="60" w:after="0" w:line="264" w:lineRule="auto"/>
        <w:jc w:val="center"/>
        <w:rPr>
          <w:b/>
          <w:bCs/>
          <w:sz w:val="36"/>
          <w:szCs w:val="36"/>
        </w:rPr>
      </w:pPr>
    </w:p>
    <w:p w14:paraId="2F6DD21F" w14:textId="77777777" w:rsidR="00310AF3" w:rsidRDefault="00310AF3" w:rsidP="00310AF3">
      <w:pPr>
        <w:autoSpaceDE w:val="0"/>
        <w:autoSpaceDN w:val="0"/>
        <w:bidi w:val="0"/>
        <w:adjustRightInd w:val="0"/>
        <w:spacing w:after="0" w:line="240" w:lineRule="auto"/>
        <w:jc w:val="center"/>
        <w:rPr>
          <w:rFonts w:ascii="Arial" w:hAnsi="Arial" w:cs="Arial"/>
          <w:color w:val="000000"/>
          <w:sz w:val="36"/>
          <w:szCs w:val="36"/>
        </w:rPr>
      </w:pPr>
      <w:r w:rsidRPr="0085327F">
        <w:rPr>
          <w:rFonts w:ascii="Arial" w:hAnsi="Arial" w:cs="Arial"/>
          <w:color w:val="000000"/>
          <w:sz w:val="36"/>
          <w:szCs w:val="36"/>
        </w:rPr>
        <w:t>Information to facilitate clarity, transparency and understanding</w:t>
      </w:r>
    </w:p>
    <w:p w14:paraId="2322A8BC" w14:textId="77777777" w:rsidR="00310AF3" w:rsidRDefault="00310AF3" w:rsidP="00310AF3">
      <w:pPr>
        <w:autoSpaceDE w:val="0"/>
        <w:autoSpaceDN w:val="0"/>
        <w:bidi w:val="0"/>
        <w:adjustRightInd w:val="0"/>
        <w:spacing w:after="0" w:line="240" w:lineRule="auto"/>
        <w:jc w:val="center"/>
        <w:rPr>
          <w:rFonts w:ascii="Arial" w:hAnsi="Arial" w:cs="Arial"/>
          <w:color w:val="000000"/>
          <w:sz w:val="36"/>
          <w:szCs w:val="36"/>
        </w:rPr>
      </w:pPr>
      <w:r>
        <w:rPr>
          <w:sz w:val="23"/>
          <w:szCs w:val="23"/>
        </w:rPr>
        <w:t>In line with Article 4, paragraph 8 of the Paris Agreement and Decision 4/CMA.1 Israel submits the following ICTU.</w:t>
      </w:r>
    </w:p>
    <w:p w14:paraId="0C2440DB" w14:textId="57762DA9" w:rsidR="00DB57CB" w:rsidRDefault="00DB57CB" w:rsidP="00DB57CB">
      <w:pPr>
        <w:jc w:val="center"/>
        <w:rPr>
          <w:rFonts w:ascii="Arial" w:hAnsi="Arial" w:cs="Arial"/>
          <w:color w:val="000000"/>
          <w:sz w:val="24"/>
          <w:szCs w:val="24"/>
          <w:rtl/>
        </w:rPr>
      </w:pPr>
    </w:p>
    <w:tbl>
      <w:tblPr>
        <w:tblStyle w:val="MediumShading2-Accent5"/>
        <w:bidiVisual/>
        <w:tblW w:w="5062" w:type="pct"/>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9444"/>
        <w:gridCol w:w="3694"/>
        <w:gridCol w:w="983"/>
      </w:tblGrid>
      <w:tr w:rsidR="00DF702C" w:rsidRPr="00CB7CEF" w14:paraId="5BE28262" w14:textId="77777777" w:rsidTr="00641D69">
        <w:trPr>
          <w:cnfStyle w:val="100000000000" w:firstRow="1" w:lastRow="0" w:firstColumn="0" w:lastColumn="0" w:oddVBand="0" w:evenVBand="0" w:oddHBand="0" w:evenHBand="0" w:firstRowFirstColumn="0" w:firstRowLastColumn="0" w:lastRowFirstColumn="0" w:lastRowLastColumn="0"/>
          <w:trHeight w:val="643"/>
        </w:trPr>
        <w:tc>
          <w:tcPr>
            <w:tcW w:w="5000" w:type="pct"/>
            <w:gridSpan w:val="3"/>
            <w:tcBorders>
              <w:top w:val="none" w:sz="0" w:space="0" w:color="auto"/>
              <w:left w:val="none" w:sz="0" w:space="0" w:color="auto"/>
              <w:bottom w:val="none" w:sz="0" w:space="0" w:color="auto"/>
              <w:right w:val="none" w:sz="0" w:space="0" w:color="auto"/>
            </w:tcBorders>
            <w:shd w:val="clear" w:color="auto" w:fill="5B9BD5" w:themeFill="accent1"/>
            <w:noWrap/>
          </w:tcPr>
          <w:p w14:paraId="25662D3F" w14:textId="77777777" w:rsidR="00DF702C" w:rsidRPr="00CB7CEF" w:rsidRDefault="00DF702C" w:rsidP="00AB6D3A">
            <w:pPr>
              <w:pStyle w:val="DecimalAligned"/>
              <w:bidi w:val="0"/>
              <w:spacing w:before="60" w:after="0" w:line="264" w:lineRule="auto"/>
            </w:pPr>
            <w:r w:rsidRPr="00CB7CEF">
              <w:t xml:space="preserve">Information to facilitate clarity, transparency and understanding of nationally determined contributions, referred to in decision 1/CP.21, paragraph 28 </w:t>
            </w:r>
          </w:p>
        </w:tc>
      </w:tr>
      <w:tr w:rsidR="005B5013" w:rsidRPr="00CB7CEF" w14:paraId="066A46F2" w14:textId="77777777" w:rsidTr="00CB7CEF">
        <w:trPr>
          <w:trHeight w:val="80"/>
        </w:trPr>
        <w:tc>
          <w:tcPr>
            <w:tcW w:w="3344" w:type="pct"/>
            <w:shd w:val="clear" w:color="auto" w:fill="5B9BD5" w:themeFill="accent1"/>
            <w:noWrap/>
          </w:tcPr>
          <w:p w14:paraId="0713D2D6" w14:textId="77777777" w:rsidR="000E5752" w:rsidRPr="00CB7CEF" w:rsidRDefault="000E5752" w:rsidP="00AB6D3A">
            <w:pPr>
              <w:bidi w:val="0"/>
              <w:spacing w:before="60" w:line="264" w:lineRule="auto"/>
              <w:rPr>
                <w:b/>
                <w:bCs/>
                <w:cs w:val="0"/>
              </w:rPr>
            </w:pPr>
          </w:p>
          <w:p w14:paraId="1E8C20AE" w14:textId="77777777" w:rsidR="0082055A" w:rsidRPr="00CB7CEF" w:rsidRDefault="0082055A" w:rsidP="00AB6D3A">
            <w:pPr>
              <w:bidi w:val="0"/>
              <w:spacing w:before="60" w:line="264" w:lineRule="auto"/>
              <w:jc w:val="right"/>
              <w:rPr>
                <w:b/>
                <w:bCs/>
                <w:cs w:val="0"/>
              </w:rPr>
            </w:pPr>
          </w:p>
        </w:tc>
        <w:tc>
          <w:tcPr>
            <w:tcW w:w="1308" w:type="pct"/>
            <w:shd w:val="clear" w:color="auto" w:fill="5B9BD5" w:themeFill="accent1"/>
          </w:tcPr>
          <w:p w14:paraId="00CE6AE3" w14:textId="77777777" w:rsidR="0082055A" w:rsidRPr="00CB7CEF" w:rsidRDefault="00B866DA" w:rsidP="00AB6D3A">
            <w:pPr>
              <w:pStyle w:val="DecimalAligned"/>
              <w:bidi w:val="0"/>
              <w:spacing w:before="60" w:after="0" w:line="264" w:lineRule="auto"/>
              <w:rPr>
                <w:b/>
                <w:bCs/>
              </w:rPr>
            </w:pPr>
            <w:r w:rsidRPr="00CB7CEF">
              <w:rPr>
                <w:b/>
                <w:bCs/>
                <w:rtl/>
              </w:rPr>
              <w:t xml:space="preserve"> </w:t>
            </w:r>
            <w:r w:rsidRPr="00CB7CEF">
              <w:rPr>
                <w:b/>
                <w:bCs/>
              </w:rPr>
              <w:t xml:space="preserve">Quantifiable information on the reference point (including, as appropriate, a base year): </w:t>
            </w:r>
          </w:p>
        </w:tc>
        <w:tc>
          <w:tcPr>
            <w:tcW w:w="348" w:type="pct"/>
            <w:shd w:val="clear" w:color="auto" w:fill="5B9BD5" w:themeFill="accent1"/>
          </w:tcPr>
          <w:p w14:paraId="09E7385F" w14:textId="77777777" w:rsidR="0082055A" w:rsidRPr="00CB7CEF" w:rsidRDefault="000E5752" w:rsidP="00AB6D3A">
            <w:pPr>
              <w:pStyle w:val="DecimalAligned"/>
              <w:bidi w:val="0"/>
              <w:spacing w:before="60" w:after="0" w:line="264" w:lineRule="auto"/>
              <w:rPr>
                <w:b/>
                <w:bCs/>
                <w:rtl/>
                <w:cs/>
              </w:rPr>
            </w:pPr>
            <w:r w:rsidRPr="00CB7CEF">
              <w:rPr>
                <w:b/>
                <w:bCs/>
              </w:rPr>
              <w:t xml:space="preserve">1. </w:t>
            </w:r>
          </w:p>
        </w:tc>
      </w:tr>
      <w:tr w:rsidR="005B5013" w:rsidRPr="00CB7CEF" w14:paraId="409115A0" w14:textId="77777777" w:rsidTr="00814688">
        <w:trPr>
          <w:trHeight w:val="80"/>
        </w:trPr>
        <w:tc>
          <w:tcPr>
            <w:tcW w:w="3344" w:type="pct"/>
            <w:noWrap/>
          </w:tcPr>
          <w:p w14:paraId="363053E5" w14:textId="1AA11CF8" w:rsidR="0082055A" w:rsidRPr="00CB7CEF" w:rsidRDefault="009944D5" w:rsidP="00AB6D3A">
            <w:pPr>
              <w:bidi w:val="0"/>
              <w:spacing w:before="60" w:line="264" w:lineRule="auto"/>
              <w:rPr>
                <w:rFonts w:cstheme="minorHAnsi"/>
                <w:rtl w:val="0"/>
                <w:cs w:val="0"/>
              </w:rPr>
            </w:pPr>
            <w:r>
              <w:rPr>
                <w:rFonts w:cstheme="minorHAnsi"/>
                <w:rtl w:val="0"/>
                <w:cs w:val="0"/>
              </w:rPr>
              <w:t xml:space="preserve">The </w:t>
            </w:r>
            <w:r w:rsidR="00807055" w:rsidRPr="00CB7CEF">
              <w:rPr>
                <w:rFonts w:cstheme="minorHAnsi"/>
                <w:rtl w:val="0"/>
                <w:cs w:val="0"/>
              </w:rPr>
              <w:t xml:space="preserve">reference year </w:t>
            </w:r>
            <w:r>
              <w:rPr>
                <w:rFonts w:cstheme="minorHAnsi"/>
                <w:rtl w:val="0"/>
                <w:cs w:val="0"/>
              </w:rPr>
              <w:t>for all</w:t>
            </w:r>
            <w:r w:rsidRPr="00CB7CEF">
              <w:rPr>
                <w:rFonts w:cstheme="minorHAnsi"/>
                <w:rtl w:val="0"/>
                <w:cs w:val="0"/>
              </w:rPr>
              <w:t xml:space="preserve"> </w:t>
            </w:r>
            <w:r w:rsidR="00807055" w:rsidRPr="00CB7CEF">
              <w:rPr>
                <w:rFonts w:cstheme="minorHAnsi"/>
                <w:rtl w:val="0"/>
                <w:cs w:val="0"/>
              </w:rPr>
              <w:t>GHG emissions is 2015</w:t>
            </w:r>
            <w:r w:rsidR="007D14FC" w:rsidRPr="00CB7CEF">
              <w:rPr>
                <w:rFonts w:cstheme="minorHAnsi"/>
                <w:rtl w:val="0"/>
                <w:cs w:val="0"/>
              </w:rPr>
              <w:t>.</w:t>
            </w:r>
          </w:p>
          <w:p w14:paraId="770F4D32" w14:textId="77777777" w:rsidR="008F3469" w:rsidRPr="00CB7CEF" w:rsidRDefault="008F3469" w:rsidP="00AB6D3A">
            <w:pPr>
              <w:bidi w:val="0"/>
              <w:spacing w:before="60" w:line="264" w:lineRule="auto"/>
              <w:rPr>
                <w:rFonts w:cstheme="minorHAnsi"/>
                <w:cs w:val="0"/>
              </w:rPr>
            </w:pPr>
          </w:p>
        </w:tc>
        <w:tc>
          <w:tcPr>
            <w:tcW w:w="1308" w:type="pct"/>
            <w:shd w:val="clear" w:color="auto" w:fill="auto"/>
          </w:tcPr>
          <w:p w14:paraId="211166F6" w14:textId="77777777" w:rsidR="0082055A" w:rsidRPr="00CB7CEF" w:rsidRDefault="00B30B70" w:rsidP="00AB6D3A">
            <w:pPr>
              <w:pStyle w:val="DecimalAligned"/>
              <w:bidi w:val="0"/>
              <w:spacing w:before="60" w:after="0" w:line="264" w:lineRule="auto"/>
              <w:rPr>
                <w:highlight w:val="yellow"/>
              </w:rPr>
            </w:pPr>
            <w:r w:rsidRPr="00CB7CEF">
              <w:t>Reference year(s), base year(s), reference period(s) or other starting point(s);</w:t>
            </w:r>
          </w:p>
        </w:tc>
        <w:tc>
          <w:tcPr>
            <w:tcW w:w="348" w:type="pct"/>
          </w:tcPr>
          <w:p w14:paraId="33A79F25" w14:textId="77777777" w:rsidR="0082055A" w:rsidRPr="00CB7CEF" w:rsidRDefault="0082055A" w:rsidP="00AB6D3A">
            <w:pPr>
              <w:pStyle w:val="DecimalAligned"/>
              <w:numPr>
                <w:ilvl w:val="0"/>
                <w:numId w:val="12"/>
              </w:numPr>
              <w:bidi w:val="0"/>
              <w:spacing w:before="60" w:after="0" w:line="264" w:lineRule="auto"/>
              <w:rPr>
                <w:rtl/>
                <w:cs/>
              </w:rPr>
            </w:pPr>
          </w:p>
        </w:tc>
      </w:tr>
      <w:tr w:rsidR="005B5013" w:rsidRPr="00CB7CEF" w14:paraId="7D37E8F4" w14:textId="77777777" w:rsidTr="00CB7CEF">
        <w:trPr>
          <w:trHeight w:val="80"/>
        </w:trPr>
        <w:tc>
          <w:tcPr>
            <w:tcW w:w="3344" w:type="pct"/>
            <w:noWrap/>
          </w:tcPr>
          <w:p w14:paraId="6718169F" w14:textId="39F13CEC" w:rsidR="009944D5" w:rsidRDefault="009944D5" w:rsidP="00AB6D3A">
            <w:pPr>
              <w:bidi w:val="0"/>
              <w:spacing w:before="60" w:line="264" w:lineRule="auto"/>
              <w:rPr>
                <w:rFonts w:cstheme="minorHAnsi"/>
                <w:rtl w:val="0"/>
                <w:cs w:val="0"/>
              </w:rPr>
            </w:pPr>
            <w:r>
              <w:rPr>
                <w:rFonts w:cstheme="minorHAnsi"/>
                <w:rtl w:val="0"/>
                <w:cs w:val="0"/>
              </w:rPr>
              <w:t>Reference indicator: Net greenhouse gas (GHG) emissions in MtCO2e.</w:t>
            </w:r>
          </w:p>
          <w:p w14:paraId="65F0A228" w14:textId="2AE9D610" w:rsidR="00AB6D3A" w:rsidRDefault="00AB6D3A" w:rsidP="00AB6D3A">
            <w:pPr>
              <w:bidi w:val="0"/>
              <w:spacing w:before="60" w:line="264" w:lineRule="auto"/>
              <w:rPr>
                <w:rFonts w:cstheme="minorHAnsi"/>
                <w:rtl w:val="0"/>
                <w:cs w:val="0"/>
              </w:rPr>
            </w:pPr>
            <w:r w:rsidRPr="00AB6D3A">
              <w:rPr>
                <w:rFonts w:cstheme="minorHAnsi"/>
                <w:rtl w:val="0"/>
                <w:cs w:val="0"/>
              </w:rPr>
              <w:t>In 2015, Israel’s net GHG emissions were 79 MtCO2e. Achieving the targets will reduce emissions to approximately 58 MtCO2e by 2030 and approximately 12 MtCO2e by 2050.</w:t>
            </w:r>
          </w:p>
          <w:p w14:paraId="50EA923B" w14:textId="77777777" w:rsidR="00497772" w:rsidRDefault="00497772" w:rsidP="00AB6D3A">
            <w:pPr>
              <w:bidi w:val="0"/>
              <w:spacing w:before="60" w:line="264" w:lineRule="auto"/>
              <w:rPr>
                <w:rFonts w:cstheme="minorHAnsi"/>
                <w:rtl w:val="0"/>
                <w:cs w:val="0"/>
              </w:rPr>
            </w:pPr>
            <w:r w:rsidRPr="00497772">
              <w:rPr>
                <w:rFonts w:cstheme="minorHAnsi"/>
                <w:rtl w:val="0"/>
                <w:cs w:val="0"/>
              </w:rPr>
              <w:t>Values in the reference year for the sectorial emission reduction targets are as follows:</w:t>
            </w:r>
          </w:p>
          <w:tbl>
            <w:tblPr>
              <w:tblStyle w:val="TableGrid"/>
              <w:tblW w:w="0" w:type="auto"/>
              <w:tblLayout w:type="fixed"/>
              <w:tblLook w:val="04A0" w:firstRow="1" w:lastRow="0" w:firstColumn="1" w:lastColumn="0" w:noHBand="0" w:noVBand="1"/>
            </w:tblPr>
            <w:tblGrid>
              <w:gridCol w:w="1622"/>
              <w:gridCol w:w="2532"/>
              <w:gridCol w:w="2532"/>
              <w:gridCol w:w="2532"/>
            </w:tblGrid>
            <w:tr w:rsidR="006F520D" w:rsidRPr="00CB7CEF" w14:paraId="47CFC163" w14:textId="1BDE0F90" w:rsidTr="006F520D">
              <w:tc>
                <w:tcPr>
                  <w:tcW w:w="1622" w:type="dxa"/>
                </w:tcPr>
                <w:p w14:paraId="6938EC57" w14:textId="77777777" w:rsidR="006F520D" w:rsidRPr="00CB7CEF" w:rsidRDefault="006F520D" w:rsidP="006F520D">
                  <w:pPr>
                    <w:bidi w:val="0"/>
                    <w:spacing w:before="60" w:line="264" w:lineRule="auto"/>
                    <w:rPr>
                      <w:rFonts w:cstheme="minorHAnsi"/>
                    </w:rPr>
                  </w:pPr>
                  <w:r w:rsidRPr="00CB7CEF">
                    <w:rPr>
                      <w:rFonts w:cstheme="minorHAnsi"/>
                    </w:rPr>
                    <w:t>Sector</w:t>
                  </w:r>
                </w:p>
              </w:tc>
              <w:tc>
                <w:tcPr>
                  <w:tcW w:w="2532" w:type="dxa"/>
                  <w:vAlign w:val="center"/>
                </w:tcPr>
                <w:p w14:paraId="1C26FB29" w14:textId="52DBFEF6" w:rsidR="006F520D" w:rsidRPr="00CB7CEF" w:rsidRDefault="006F520D" w:rsidP="006F520D">
                  <w:pPr>
                    <w:bidi w:val="0"/>
                    <w:spacing w:before="60" w:line="264" w:lineRule="auto"/>
                    <w:jc w:val="center"/>
                    <w:rPr>
                      <w:rFonts w:cstheme="minorHAnsi"/>
                    </w:rPr>
                  </w:pPr>
                  <w:r>
                    <w:rPr>
                      <w:rFonts w:cstheme="minorHAnsi"/>
                    </w:rPr>
                    <w:t>GHG emissions (MtCO2e) in 2015</w:t>
                  </w:r>
                </w:p>
              </w:tc>
              <w:tc>
                <w:tcPr>
                  <w:tcW w:w="2532" w:type="dxa"/>
                </w:tcPr>
                <w:p w14:paraId="3E603393" w14:textId="2D730CF6" w:rsidR="006F520D" w:rsidRDefault="006F520D" w:rsidP="006F520D">
                  <w:pPr>
                    <w:bidi w:val="0"/>
                    <w:spacing w:before="60" w:line="264" w:lineRule="auto"/>
                    <w:jc w:val="center"/>
                    <w:rPr>
                      <w:rFonts w:cstheme="minorHAnsi"/>
                    </w:rPr>
                  </w:pPr>
                  <w:r>
                    <w:rPr>
                      <w:rFonts w:cstheme="minorHAnsi"/>
                    </w:rPr>
                    <w:t>GHG emissions (MtCO2e) in 2030</w:t>
                  </w:r>
                </w:p>
              </w:tc>
              <w:tc>
                <w:tcPr>
                  <w:tcW w:w="2532" w:type="dxa"/>
                </w:tcPr>
                <w:p w14:paraId="3107C25B" w14:textId="4EF594F4" w:rsidR="006F520D" w:rsidRDefault="006F520D" w:rsidP="006F520D">
                  <w:pPr>
                    <w:bidi w:val="0"/>
                    <w:spacing w:before="60" w:line="264" w:lineRule="auto"/>
                    <w:jc w:val="center"/>
                    <w:rPr>
                      <w:rFonts w:cstheme="minorHAnsi"/>
                    </w:rPr>
                  </w:pPr>
                  <w:r>
                    <w:rPr>
                      <w:rFonts w:cstheme="minorHAnsi"/>
                    </w:rPr>
                    <w:t>GHG emissions (MtCO2e) in 2050</w:t>
                  </w:r>
                </w:p>
              </w:tc>
            </w:tr>
            <w:tr w:rsidR="00310AF3" w:rsidRPr="00CB7CEF" w14:paraId="533747DA" w14:textId="11B7FBFF" w:rsidTr="00A26362">
              <w:tc>
                <w:tcPr>
                  <w:tcW w:w="1622" w:type="dxa"/>
                </w:tcPr>
                <w:p w14:paraId="083ACF81" w14:textId="77777777" w:rsidR="00310AF3" w:rsidRPr="00CB7CEF" w:rsidRDefault="00310AF3" w:rsidP="00310AF3">
                  <w:pPr>
                    <w:bidi w:val="0"/>
                    <w:spacing w:before="60" w:line="264" w:lineRule="auto"/>
                    <w:rPr>
                      <w:rFonts w:cstheme="minorHAnsi"/>
                      <w:b/>
                      <w:bCs/>
                    </w:rPr>
                  </w:pPr>
                  <w:r w:rsidRPr="00CB7CEF">
                    <w:rPr>
                      <w:rFonts w:cstheme="minorHAnsi"/>
                      <w:b/>
                      <w:bCs/>
                    </w:rPr>
                    <w:t>Electricity generation</w:t>
                  </w:r>
                </w:p>
              </w:tc>
              <w:tc>
                <w:tcPr>
                  <w:tcW w:w="2532" w:type="dxa"/>
                  <w:vAlign w:val="center"/>
                </w:tcPr>
                <w:p w14:paraId="7D45609E" w14:textId="42AE824C" w:rsidR="00310AF3" w:rsidRPr="00AB6D3A" w:rsidRDefault="00310AF3" w:rsidP="00310AF3">
                  <w:pPr>
                    <w:bidi w:val="0"/>
                    <w:spacing w:before="60" w:line="264" w:lineRule="auto"/>
                    <w:jc w:val="center"/>
                    <w:rPr>
                      <w:rFonts w:cstheme="minorHAnsi"/>
                    </w:rPr>
                  </w:pPr>
                  <w:r w:rsidRPr="00AB6D3A">
                    <w:rPr>
                      <w:rFonts w:cstheme="minorHAnsi"/>
                    </w:rPr>
                    <w:t>37.6</w:t>
                  </w:r>
                </w:p>
              </w:tc>
              <w:tc>
                <w:tcPr>
                  <w:tcW w:w="2532" w:type="dxa"/>
                  <w:vAlign w:val="center"/>
                </w:tcPr>
                <w:p w14:paraId="3122FB04" w14:textId="3D111C62" w:rsidR="00310AF3" w:rsidRPr="00AB6D3A" w:rsidRDefault="00310AF3" w:rsidP="00310AF3">
                  <w:pPr>
                    <w:bidi w:val="0"/>
                    <w:spacing w:before="60" w:line="264" w:lineRule="auto"/>
                    <w:jc w:val="center"/>
                    <w:rPr>
                      <w:rFonts w:cstheme="minorHAnsi"/>
                    </w:rPr>
                  </w:pPr>
                  <w:r>
                    <w:rPr>
                      <w:rFonts w:cstheme="minorHAnsi"/>
                    </w:rPr>
                    <w:t>26.3</w:t>
                  </w:r>
                </w:p>
              </w:tc>
              <w:tc>
                <w:tcPr>
                  <w:tcW w:w="2532" w:type="dxa"/>
                  <w:vAlign w:val="center"/>
                </w:tcPr>
                <w:p w14:paraId="5A4B1E6E" w14:textId="547AB73D" w:rsidR="00310AF3" w:rsidRPr="00AB6D3A" w:rsidRDefault="00310AF3">
                  <w:pPr>
                    <w:bidi w:val="0"/>
                    <w:spacing w:before="60" w:line="264" w:lineRule="auto"/>
                    <w:jc w:val="center"/>
                    <w:rPr>
                      <w:rFonts w:cstheme="minorHAnsi"/>
                    </w:rPr>
                  </w:pPr>
                  <w:r>
                    <w:rPr>
                      <w:rFonts w:cstheme="minorHAnsi"/>
                    </w:rPr>
                    <w:t>5.6</w:t>
                  </w:r>
                </w:p>
              </w:tc>
            </w:tr>
            <w:tr w:rsidR="00310AF3" w:rsidRPr="00CB7CEF" w14:paraId="5BD972EC" w14:textId="0EDB5607" w:rsidTr="006F520D">
              <w:tc>
                <w:tcPr>
                  <w:tcW w:w="1622" w:type="dxa"/>
                </w:tcPr>
                <w:p w14:paraId="0ACC54AF" w14:textId="77777777" w:rsidR="00310AF3" w:rsidRPr="00CB7CEF" w:rsidRDefault="00310AF3" w:rsidP="00310AF3">
                  <w:pPr>
                    <w:bidi w:val="0"/>
                    <w:spacing w:before="60" w:line="264" w:lineRule="auto"/>
                    <w:rPr>
                      <w:rFonts w:cstheme="minorHAnsi"/>
                      <w:b/>
                      <w:bCs/>
                    </w:rPr>
                  </w:pPr>
                  <w:r w:rsidRPr="00CB7CEF">
                    <w:rPr>
                      <w:rFonts w:cstheme="minorHAnsi"/>
                      <w:b/>
                      <w:bCs/>
                    </w:rPr>
                    <w:t>Transport</w:t>
                  </w:r>
                </w:p>
              </w:tc>
              <w:tc>
                <w:tcPr>
                  <w:tcW w:w="2532" w:type="dxa"/>
                  <w:vAlign w:val="center"/>
                </w:tcPr>
                <w:p w14:paraId="4E95EEFE" w14:textId="274C7018" w:rsidR="00310AF3" w:rsidRPr="00AB6D3A" w:rsidRDefault="00310AF3" w:rsidP="00310AF3">
                  <w:pPr>
                    <w:bidi w:val="0"/>
                    <w:spacing w:before="60" w:line="264" w:lineRule="auto"/>
                    <w:jc w:val="center"/>
                    <w:rPr>
                      <w:rFonts w:cstheme="minorHAnsi"/>
                    </w:rPr>
                  </w:pPr>
                  <w:r w:rsidRPr="00AB6D3A">
                    <w:rPr>
                      <w:rFonts w:cstheme="minorHAnsi"/>
                    </w:rPr>
                    <w:t>17.6</w:t>
                  </w:r>
                </w:p>
              </w:tc>
              <w:tc>
                <w:tcPr>
                  <w:tcW w:w="2532" w:type="dxa"/>
                </w:tcPr>
                <w:p w14:paraId="1726F336" w14:textId="02D47E9F" w:rsidR="00310AF3" w:rsidRPr="00AB6D3A" w:rsidRDefault="00310AF3" w:rsidP="00310AF3">
                  <w:pPr>
                    <w:bidi w:val="0"/>
                    <w:spacing w:before="60" w:line="264" w:lineRule="auto"/>
                    <w:jc w:val="center"/>
                    <w:rPr>
                      <w:rFonts w:cstheme="minorHAnsi"/>
                    </w:rPr>
                  </w:pPr>
                  <w:r>
                    <w:rPr>
                      <w:rFonts w:cstheme="minorHAnsi"/>
                    </w:rPr>
                    <w:t>17</w:t>
                  </w:r>
                </w:p>
              </w:tc>
              <w:tc>
                <w:tcPr>
                  <w:tcW w:w="2532" w:type="dxa"/>
                </w:tcPr>
                <w:p w14:paraId="0F800BE2" w14:textId="2D0A5CF9" w:rsidR="00310AF3" w:rsidRPr="00AB6D3A" w:rsidRDefault="00310AF3" w:rsidP="00310AF3">
                  <w:pPr>
                    <w:bidi w:val="0"/>
                    <w:spacing w:before="60" w:line="264" w:lineRule="auto"/>
                    <w:jc w:val="center"/>
                    <w:rPr>
                      <w:rFonts w:cstheme="minorHAnsi"/>
                    </w:rPr>
                  </w:pPr>
                  <w:r>
                    <w:rPr>
                      <w:rFonts w:cstheme="minorHAnsi"/>
                    </w:rPr>
                    <w:t>0.7</w:t>
                  </w:r>
                </w:p>
              </w:tc>
            </w:tr>
            <w:tr w:rsidR="00310AF3" w:rsidRPr="00CB7CEF" w14:paraId="5A984059" w14:textId="3E549F90" w:rsidTr="006F520D">
              <w:tc>
                <w:tcPr>
                  <w:tcW w:w="1622" w:type="dxa"/>
                </w:tcPr>
                <w:p w14:paraId="401AAE29" w14:textId="77777777" w:rsidR="00310AF3" w:rsidRPr="00CB7CEF" w:rsidRDefault="00310AF3" w:rsidP="00310AF3">
                  <w:pPr>
                    <w:bidi w:val="0"/>
                    <w:spacing w:before="60" w:line="264" w:lineRule="auto"/>
                    <w:rPr>
                      <w:rFonts w:cstheme="minorHAnsi"/>
                      <w:b/>
                      <w:bCs/>
                    </w:rPr>
                  </w:pPr>
                  <w:r w:rsidRPr="00CB7CEF">
                    <w:rPr>
                      <w:rFonts w:cstheme="minorHAnsi"/>
                      <w:b/>
                      <w:bCs/>
                    </w:rPr>
                    <w:t>Industry</w:t>
                  </w:r>
                </w:p>
              </w:tc>
              <w:tc>
                <w:tcPr>
                  <w:tcW w:w="2532" w:type="dxa"/>
                  <w:vAlign w:val="center"/>
                </w:tcPr>
                <w:p w14:paraId="1DB8AB0C" w14:textId="35777647" w:rsidR="00310AF3" w:rsidRPr="00AB6D3A" w:rsidRDefault="00310AF3" w:rsidP="00310AF3">
                  <w:pPr>
                    <w:bidi w:val="0"/>
                    <w:spacing w:before="60" w:line="264" w:lineRule="auto"/>
                    <w:jc w:val="center"/>
                    <w:rPr>
                      <w:rFonts w:cstheme="minorHAnsi"/>
                    </w:rPr>
                  </w:pPr>
                  <w:r w:rsidRPr="00AB6D3A">
                    <w:rPr>
                      <w:rFonts w:cstheme="minorHAnsi"/>
                    </w:rPr>
                    <w:t>12</w:t>
                  </w:r>
                </w:p>
              </w:tc>
              <w:tc>
                <w:tcPr>
                  <w:tcW w:w="2532" w:type="dxa"/>
                </w:tcPr>
                <w:p w14:paraId="44658CC3" w14:textId="019D93AE" w:rsidR="00310AF3" w:rsidRPr="00AB6D3A" w:rsidRDefault="00310AF3" w:rsidP="00310AF3">
                  <w:pPr>
                    <w:bidi w:val="0"/>
                    <w:spacing w:before="60" w:line="264" w:lineRule="auto"/>
                    <w:jc w:val="center"/>
                    <w:rPr>
                      <w:rFonts w:cstheme="minorHAnsi"/>
                    </w:rPr>
                  </w:pPr>
                  <w:r>
                    <w:rPr>
                      <w:rFonts w:cstheme="minorHAnsi"/>
                    </w:rPr>
                    <w:t>8.4</w:t>
                  </w:r>
                </w:p>
              </w:tc>
              <w:tc>
                <w:tcPr>
                  <w:tcW w:w="2532" w:type="dxa"/>
                </w:tcPr>
                <w:p w14:paraId="4F7A3592" w14:textId="64AEC421" w:rsidR="00310AF3" w:rsidRPr="00AB6D3A" w:rsidRDefault="00310AF3" w:rsidP="00310AF3">
                  <w:pPr>
                    <w:bidi w:val="0"/>
                    <w:spacing w:before="60" w:line="264" w:lineRule="auto"/>
                    <w:jc w:val="center"/>
                    <w:rPr>
                      <w:rFonts w:cstheme="minorHAnsi"/>
                    </w:rPr>
                  </w:pPr>
                  <w:r>
                    <w:rPr>
                      <w:rFonts w:cstheme="minorHAnsi"/>
                    </w:rPr>
                    <w:t>5.3</w:t>
                  </w:r>
                </w:p>
              </w:tc>
            </w:tr>
            <w:tr w:rsidR="00310AF3" w:rsidRPr="00CB7CEF" w14:paraId="1F2ADD8A" w14:textId="1E660F36" w:rsidTr="006F520D">
              <w:tc>
                <w:tcPr>
                  <w:tcW w:w="1622" w:type="dxa"/>
                </w:tcPr>
                <w:p w14:paraId="1DE96DED" w14:textId="77777777" w:rsidR="00310AF3" w:rsidRPr="00CB7CEF" w:rsidRDefault="00310AF3" w:rsidP="00310AF3">
                  <w:pPr>
                    <w:bidi w:val="0"/>
                    <w:spacing w:before="60" w:line="264" w:lineRule="auto"/>
                    <w:rPr>
                      <w:rFonts w:cstheme="minorHAnsi"/>
                      <w:b/>
                      <w:bCs/>
                    </w:rPr>
                  </w:pPr>
                  <w:r w:rsidRPr="00CB7CEF">
                    <w:rPr>
                      <w:rFonts w:cstheme="minorHAnsi"/>
                      <w:b/>
                      <w:bCs/>
                    </w:rPr>
                    <w:t>Waste</w:t>
                  </w:r>
                </w:p>
              </w:tc>
              <w:tc>
                <w:tcPr>
                  <w:tcW w:w="2532" w:type="dxa"/>
                  <w:vAlign w:val="center"/>
                </w:tcPr>
                <w:p w14:paraId="776A2CAC" w14:textId="0AC20E58" w:rsidR="00310AF3" w:rsidRPr="00AB6D3A" w:rsidRDefault="00310AF3" w:rsidP="00310AF3">
                  <w:pPr>
                    <w:bidi w:val="0"/>
                    <w:spacing w:before="60" w:line="264" w:lineRule="auto"/>
                    <w:jc w:val="center"/>
                    <w:rPr>
                      <w:rFonts w:cstheme="minorHAnsi"/>
                    </w:rPr>
                  </w:pPr>
                  <w:r w:rsidRPr="00AB6D3A">
                    <w:rPr>
                      <w:rFonts w:cstheme="minorHAnsi"/>
                    </w:rPr>
                    <w:t>5.5</w:t>
                  </w:r>
                </w:p>
              </w:tc>
              <w:tc>
                <w:tcPr>
                  <w:tcW w:w="2532" w:type="dxa"/>
                </w:tcPr>
                <w:p w14:paraId="562FD208" w14:textId="7C8F1E85" w:rsidR="00310AF3" w:rsidRPr="00AB6D3A" w:rsidRDefault="00310AF3" w:rsidP="00310AF3">
                  <w:pPr>
                    <w:bidi w:val="0"/>
                    <w:spacing w:before="60" w:line="264" w:lineRule="auto"/>
                    <w:jc w:val="center"/>
                    <w:rPr>
                      <w:rFonts w:cstheme="minorHAnsi"/>
                    </w:rPr>
                  </w:pPr>
                  <w:r>
                    <w:rPr>
                      <w:rFonts w:cstheme="minorHAnsi"/>
                    </w:rPr>
                    <w:t>2.9</w:t>
                  </w:r>
                </w:p>
              </w:tc>
              <w:tc>
                <w:tcPr>
                  <w:tcW w:w="2532" w:type="dxa"/>
                </w:tcPr>
                <w:p w14:paraId="4C62570B" w14:textId="65C01D1A" w:rsidR="00310AF3" w:rsidRPr="00AB6D3A" w:rsidRDefault="00310AF3" w:rsidP="00310AF3">
                  <w:pPr>
                    <w:bidi w:val="0"/>
                    <w:spacing w:before="60" w:line="264" w:lineRule="auto"/>
                    <w:jc w:val="center"/>
                    <w:rPr>
                      <w:rFonts w:cstheme="minorHAnsi"/>
                    </w:rPr>
                  </w:pPr>
                  <w:r>
                    <w:rPr>
                      <w:rFonts w:cstheme="minorHAnsi"/>
                    </w:rPr>
                    <w:t>0.4</w:t>
                  </w:r>
                </w:p>
              </w:tc>
            </w:tr>
            <w:tr w:rsidR="00310AF3" w:rsidRPr="00CB7CEF" w14:paraId="61AF5C38" w14:textId="73B22552" w:rsidTr="006F520D">
              <w:tc>
                <w:tcPr>
                  <w:tcW w:w="1622" w:type="dxa"/>
                </w:tcPr>
                <w:p w14:paraId="351BB41B" w14:textId="0751DAF8" w:rsidR="00310AF3" w:rsidRPr="00CB7CEF" w:rsidRDefault="00310AF3" w:rsidP="00310AF3">
                  <w:pPr>
                    <w:bidi w:val="0"/>
                    <w:spacing w:before="60" w:line="264" w:lineRule="auto"/>
                    <w:rPr>
                      <w:rFonts w:cstheme="minorHAnsi"/>
                      <w:b/>
                      <w:bCs/>
                    </w:rPr>
                  </w:pPr>
                  <w:r>
                    <w:rPr>
                      <w:rFonts w:cstheme="minorHAnsi"/>
                      <w:b/>
                      <w:bCs/>
                    </w:rPr>
                    <w:t>Other</w:t>
                  </w:r>
                </w:p>
              </w:tc>
              <w:tc>
                <w:tcPr>
                  <w:tcW w:w="2532" w:type="dxa"/>
                  <w:vAlign w:val="center"/>
                </w:tcPr>
                <w:p w14:paraId="02D93413" w14:textId="14219204" w:rsidR="00310AF3" w:rsidRPr="00AB6D3A" w:rsidRDefault="00310AF3" w:rsidP="00310AF3">
                  <w:pPr>
                    <w:bidi w:val="0"/>
                    <w:spacing w:before="60" w:line="264" w:lineRule="auto"/>
                    <w:jc w:val="center"/>
                    <w:rPr>
                      <w:rFonts w:cstheme="minorHAnsi"/>
                    </w:rPr>
                  </w:pPr>
                  <w:r>
                    <w:rPr>
                      <w:rFonts w:cstheme="minorHAnsi"/>
                    </w:rPr>
                    <w:t>6.3</w:t>
                  </w:r>
                </w:p>
              </w:tc>
              <w:tc>
                <w:tcPr>
                  <w:tcW w:w="2532" w:type="dxa"/>
                </w:tcPr>
                <w:p w14:paraId="2DE0C0B4" w14:textId="136C0330" w:rsidR="00310AF3" w:rsidRDefault="00310AF3" w:rsidP="00310AF3">
                  <w:pPr>
                    <w:bidi w:val="0"/>
                    <w:spacing w:before="60" w:line="264" w:lineRule="auto"/>
                    <w:jc w:val="center"/>
                    <w:rPr>
                      <w:rFonts w:cstheme="minorHAnsi"/>
                    </w:rPr>
                  </w:pPr>
                  <w:r>
                    <w:rPr>
                      <w:rFonts w:cstheme="minorHAnsi"/>
                    </w:rPr>
                    <w:t>N\A</w:t>
                  </w:r>
                </w:p>
              </w:tc>
              <w:tc>
                <w:tcPr>
                  <w:tcW w:w="2532" w:type="dxa"/>
                </w:tcPr>
                <w:p w14:paraId="144EC350" w14:textId="15A5D32F" w:rsidR="00310AF3" w:rsidRDefault="00310AF3" w:rsidP="00310AF3">
                  <w:pPr>
                    <w:bidi w:val="0"/>
                    <w:spacing w:before="60" w:line="264" w:lineRule="auto"/>
                    <w:jc w:val="center"/>
                    <w:rPr>
                      <w:rFonts w:cstheme="minorHAnsi"/>
                    </w:rPr>
                  </w:pPr>
                  <w:r>
                    <w:rPr>
                      <w:rFonts w:cstheme="minorHAnsi"/>
                    </w:rPr>
                    <w:t>N\A</w:t>
                  </w:r>
                </w:p>
              </w:tc>
            </w:tr>
          </w:tbl>
          <w:p w14:paraId="00F390D2" w14:textId="51F8CC0E" w:rsidR="00AB6D3A" w:rsidRPr="00233A9F" w:rsidRDefault="00AB6D3A" w:rsidP="00AB6D3A">
            <w:pPr>
              <w:bidi w:val="0"/>
              <w:spacing w:before="60" w:line="264" w:lineRule="auto"/>
              <w:rPr>
                <w:rFonts w:cstheme="minorHAnsi"/>
                <w:highlight w:val="darkGray"/>
                <w:rtl w:val="0"/>
                <w:cs w:val="0"/>
                <w:lang w:val="en-GB"/>
              </w:rPr>
            </w:pPr>
          </w:p>
        </w:tc>
        <w:tc>
          <w:tcPr>
            <w:tcW w:w="1308" w:type="pct"/>
          </w:tcPr>
          <w:p w14:paraId="1B078176" w14:textId="77777777" w:rsidR="000E5752" w:rsidRPr="00CB7CEF" w:rsidRDefault="00AE4B11" w:rsidP="00AB6D3A">
            <w:pPr>
              <w:pStyle w:val="DecimalAligned"/>
              <w:bidi w:val="0"/>
              <w:spacing w:before="60" w:after="0" w:line="264" w:lineRule="auto"/>
              <w:rPr>
                <w:highlight w:val="yellow"/>
                <w:rtl/>
                <w:cs/>
              </w:rPr>
            </w:pPr>
            <w:r w:rsidRPr="00CB7CEF">
              <w:t>Quantifiable information on the reference indicators, their values in the reference year(s), base year(s), reference period(s) or other starting point(s), and, as applicable, in the target year;</w:t>
            </w:r>
          </w:p>
        </w:tc>
        <w:tc>
          <w:tcPr>
            <w:tcW w:w="348" w:type="pct"/>
          </w:tcPr>
          <w:p w14:paraId="09FE560D" w14:textId="77777777" w:rsidR="000E5752" w:rsidRPr="00CB7CEF" w:rsidRDefault="000E5752" w:rsidP="00AB6D3A">
            <w:pPr>
              <w:pStyle w:val="DecimalAligned"/>
              <w:numPr>
                <w:ilvl w:val="0"/>
                <w:numId w:val="12"/>
              </w:numPr>
              <w:bidi w:val="0"/>
              <w:spacing w:before="60" w:after="0" w:line="264" w:lineRule="auto"/>
              <w:rPr>
                <w:rtl/>
                <w:cs/>
              </w:rPr>
            </w:pPr>
          </w:p>
        </w:tc>
      </w:tr>
      <w:tr w:rsidR="005B5013" w:rsidRPr="00CB7CEF" w14:paraId="1A5D6CF5" w14:textId="77777777" w:rsidTr="00814688">
        <w:trPr>
          <w:trHeight w:val="80"/>
        </w:trPr>
        <w:tc>
          <w:tcPr>
            <w:tcW w:w="3344" w:type="pct"/>
            <w:noWrap/>
          </w:tcPr>
          <w:p w14:paraId="6C8080DE" w14:textId="644468FC" w:rsidR="00AB6D3A" w:rsidRPr="00CB7CEF" w:rsidRDefault="00AB6D3A" w:rsidP="00AB6D3A">
            <w:pPr>
              <w:bidi w:val="0"/>
              <w:spacing w:before="60" w:line="264" w:lineRule="auto"/>
              <w:rPr>
                <w:rFonts w:cstheme="minorHAnsi"/>
                <w:rtl w:val="0"/>
                <w:cs w:val="0"/>
              </w:rPr>
            </w:pPr>
            <w:r w:rsidRPr="00AB6D3A">
              <w:rPr>
                <w:rFonts w:cstheme="minorHAnsi"/>
                <w:rtl w:val="0"/>
                <w:cs w:val="0"/>
              </w:rPr>
              <w:t xml:space="preserve">Not </w:t>
            </w:r>
            <w:r w:rsidR="00223780">
              <w:rPr>
                <w:rFonts w:cstheme="minorHAnsi"/>
                <w:rtl w:val="0"/>
                <w:cs w:val="0"/>
              </w:rPr>
              <w:t>a</w:t>
            </w:r>
            <w:r w:rsidRPr="00AB6D3A">
              <w:rPr>
                <w:rFonts w:cstheme="minorHAnsi"/>
                <w:rtl w:val="0"/>
                <w:cs w:val="0"/>
              </w:rPr>
              <w:t>pplicable.</w:t>
            </w:r>
          </w:p>
          <w:p w14:paraId="05B4A404" w14:textId="77777777" w:rsidR="005B5013" w:rsidRPr="00CB7CEF" w:rsidRDefault="005B5013" w:rsidP="00AB6D3A">
            <w:pPr>
              <w:bidi w:val="0"/>
              <w:spacing w:before="60" w:line="264" w:lineRule="auto"/>
              <w:rPr>
                <w:rFonts w:cstheme="minorHAnsi"/>
                <w:cs w:val="0"/>
              </w:rPr>
            </w:pPr>
          </w:p>
        </w:tc>
        <w:tc>
          <w:tcPr>
            <w:tcW w:w="1308" w:type="pct"/>
          </w:tcPr>
          <w:p w14:paraId="7E04DD67" w14:textId="3A141067" w:rsidR="000E5752" w:rsidRPr="00CB7CEF" w:rsidRDefault="00AE4B11" w:rsidP="00AB6D3A">
            <w:pPr>
              <w:pStyle w:val="DecimalAligned"/>
              <w:bidi w:val="0"/>
              <w:spacing w:before="60" w:after="0" w:line="264" w:lineRule="auto"/>
              <w:rPr>
                <w:rtl/>
                <w:cs/>
              </w:rPr>
            </w:pPr>
            <w:r w:rsidRPr="00CB7CEF">
              <w:rPr>
                <w:sz w:val="20"/>
                <w:szCs w:val="20"/>
              </w:rPr>
              <w:t>For strategies, plans and actions referred to in Article 4, paragraph 6, of the Paris Agreement, or polices and measures as components of nationally determined contributions where paragraph 1(b) above is not applicable, Parties to provide other relevant information;</w:t>
            </w:r>
          </w:p>
        </w:tc>
        <w:tc>
          <w:tcPr>
            <w:tcW w:w="348" w:type="pct"/>
          </w:tcPr>
          <w:p w14:paraId="1BAEC237" w14:textId="77777777" w:rsidR="000E5752" w:rsidRPr="00CB7CEF" w:rsidRDefault="000E5752" w:rsidP="00AB6D3A">
            <w:pPr>
              <w:pStyle w:val="DecimalAligned"/>
              <w:numPr>
                <w:ilvl w:val="0"/>
                <w:numId w:val="12"/>
              </w:numPr>
              <w:bidi w:val="0"/>
              <w:spacing w:before="60" w:after="0" w:line="264" w:lineRule="auto"/>
              <w:rPr>
                <w:rtl/>
                <w:cs/>
              </w:rPr>
            </w:pPr>
          </w:p>
        </w:tc>
      </w:tr>
      <w:tr w:rsidR="005B5013" w:rsidRPr="00CB7CEF" w14:paraId="157C3E51" w14:textId="77777777" w:rsidTr="006F520D">
        <w:trPr>
          <w:trHeight w:val="50"/>
        </w:trPr>
        <w:tc>
          <w:tcPr>
            <w:tcW w:w="3344" w:type="pct"/>
            <w:noWrap/>
          </w:tcPr>
          <w:p w14:paraId="0D3D7563" w14:textId="040E4684" w:rsidR="00AB6D3A" w:rsidRPr="00AB6D3A" w:rsidRDefault="00AB6D3A" w:rsidP="00AB6D3A">
            <w:pPr>
              <w:bidi w:val="0"/>
              <w:spacing w:before="60" w:line="264" w:lineRule="auto"/>
              <w:rPr>
                <w:rFonts w:cstheme="minorHAnsi"/>
                <w:cs w:val="0"/>
              </w:rPr>
            </w:pPr>
            <w:r w:rsidRPr="00AB6D3A">
              <w:rPr>
                <w:rFonts w:cstheme="minorHAnsi"/>
                <w:rtl w:val="0"/>
                <w:cs w:val="0"/>
              </w:rPr>
              <w:t>Israel will achieve an economy-wide net reduction in GHG emissions of 27% by 2030 relative to 2015 emission levels</w:t>
            </w:r>
            <w:r w:rsidRPr="00AB6D3A">
              <w:rPr>
                <w:rFonts w:cs="Calibri"/>
                <w:cs w:val="0"/>
              </w:rPr>
              <w:t>.</w:t>
            </w:r>
          </w:p>
          <w:p w14:paraId="09CD1828" w14:textId="4476C620" w:rsidR="00AB6D3A" w:rsidRPr="00AB6D3A" w:rsidRDefault="00AB6D3A" w:rsidP="00AB6D3A">
            <w:pPr>
              <w:bidi w:val="0"/>
              <w:spacing w:before="60" w:line="264" w:lineRule="auto"/>
              <w:rPr>
                <w:rFonts w:cstheme="minorHAnsi"/>
                <w:cs w:val="0"/>
              </w:rPr>
            </w:pPr>
            <w:r w:rsidRPr="00AB6D3A">
              <w:rPr>
                <w:rFonts w:cstheme="minorHAnsi"/>
                <w:rtl w:val="0"/>
                <w:cs w:val="0"/>
              </w:rPr>
              <w:t xml:space="preserve">Israel will achieve an economy-wide net reduction in GHG emissions of 85% </w:t>
            </w:r>
            <w:r w:rsidR="00A51BF8">
              <w:rPr>
                <w:rFonts w:cstheme="minorHAnsi"/>
                <w:rtl w:val="0"/>
                <w:cs w:val="0"/>
              </w:rPr>
              <w:t xml:space="preserve">by 2050 </w:t>
            </w:r>
            <w:r w:rsidRPr="00AB6D3A">
              <w:rPr>
                <w:rFonts w:cstheme="minorHAnsi"/>
                <w:rtl w:val="0"/>
                <w:cs w:val="0"/>
              </w:rPr>
              <w:t>relative to 2015 emission levels</w:t>
            </w:r>
            <w:r w:rsidRPr="00AB6D3A">
              <w:rPr>
                <w:rFonts w:cs="Calibri"/>
                <w:cs w:val="0"/>
              </w:rPr>
              <w:t>.</w:t>
            </w:r>
          </w:p>
          <w:p w14:paraId="1C246B0F" w14:textId="77777777" w:rsidR="00AB6D3A" w:rsidRPr="00AB6D3A" w:rsidRDefault="00AB6D3A" w:rsidP="00AB6D3A">
            <w:pPr>
              <w:bidi w:val="0"/>
              <w:spacing w:before="60" w:line="264" w:lineRule="auto"/>
              <w:rPr>
                <w:rFonts w:cstheme="minorHAnsi"/>
                <w:cs w:val="0"/>
              </w:rPr>
            </w:pPr>
          </w:p>
          <w:p w14:paraId="727A287F" w14:textId="3C9E0364" w:rsidR="00AB6D3A" w:rsidRDefault="00AB6D3A" w:rsidP="00AB6D3A">
            <w:pPr>
              <w:bidi w:val="0"/>
              <w:spacing w:before="60" w:line="264" w:lineRule="auto"/>
              <w:rPr>
                <w:rFonts w:cstheme="minorHAnsi"/>
                <w:rtl w:val="0"/>
                <w:cs w:val="0"/>
              </w:rPr>
            </w:pPr>
            <w:r w:rsidRPr="00AB6D3A">
              <w:rPr>
                <w:rFonts w:cstheme="minorHAnsi"/>
                <w:rtl w:val="0"/>
                <w:cs w:val="0"/>
              </w:rPr>
              <w:t>In addition, sectorial emissions reduction targets – relative to the annual amount measured in 2015 in each corresponding sector – have been approved:</w:t>
            </w:r>
          </w:p>
          <w:p w14:paraId="14F4EC45" w14:textId="77777777" w:rsidR="00AB6D3A" w:rsidRPr="00CB7CEF" w:rsidRDefault="00AB6D3A" w:rsidP="00AB6D3A">
            <w:pPr>
              <w:bidi w:val="0"/>
              <w:spacing w:before="60" w:line="264" w:lineRule="auto"/>
              <w:rPr>
                <w:rFonts w:cstheme="minorHAnsi"/>
                <w:rtl w:val="0"/>
                <w:cs w:val="0"/>
              </w:rPr>
            </w:pPr>
          </w:p>
          <w:tbl>
            <w:tblPr>
              <w:tblStyle w:val="TableGrid"/>
              <w:tblW w:w="0" w:type="auto"/>
              <w:tblLayout w:type="fixed"/>
              <w:tblLook w:val="04A0" w:firstRow="1" w:lastRow="0" w:firstColumn="1" w:lastColumn="0" w:noHBand="0" w:noVBand="1"/>
            </w:tblPr>
            <w:tblGrid>
              <w:gridCol w:w="2306"/>
              <w:gridCol w:w="2306"/>
              <w:gridCol w:w="2306"/>
            </w:tblGrid>
            <w:tr w:rsidR="007D14FC" w:rsidRPr="00CB7CEF" w14:paraId="32702F38" w14:textId="77777777" w:rsidTr="007D14FC">
              <w:tc>
                <w:tcPr>
                  <w:tcW w:w="2306" w:type="dxa"/>
                </w:tcPr>
                <w:p w14:paraId="745D623D" w14:textId="507B5F95" w:rsidR="007D14FC" w:rsidRPr="00CB7CEF" w:rsidRDefault="007D14FC" w:rsidP="00AB6D3A">
                  <w:pPr>
                    <w:bidi w:val="0"/>
                    <w:spacing w:before="60" w:line="264" w:lineRule="auto"/>
                    <w:rPr>
                      <w:rFonts w:cstheme="minorHAnsi"/>
                    </w:rPr>
                  </w:pPr>
                  <w:r w:rsidRPr="00CB7CEF">
                    <w:rPr>
                      <w:rFonts w:cstheme="minorHAnsi"/>
                    </w:rPr>
                    <w:t>Sector</w:t>
                  </w:r>
                </w:p>
              </w:tc>
              <w:tc>
                <w:tcPr>
                  <w:tcW w:w="2306" w:type="dxa"/>
                </w:tcPr>
                <w:p w14:paraId="3D8EC448" w14:textId="2CD90F22" w:rsidR="007D14FC" w:rsidRPr="00CB7CEF" w:rsidRDefault="007D14FC" w:rsidP="00AB6D3A">
                  <w:pPr>
                    <w:bidi w:val="0"/>
                    <w:spacing w:before="60" w:line="264" w:lineRule="auto"/>
                    <w:jc w:val="center"/>
                    <w:rPr>
                      <w:rFonts w:cstheme="minorHAnsi"/>
                      <w:b/>
                      <w:bCs/>
                    </w:rPr>
                  </w:pPr>
                  <w:r w:rsidRPr="00CB7CEF">
                    <w:rPr>
                      <w:rFonts w:cstheme="minorHAnsi"/>
                      <w:b/>
                      <w:bCs/>
                    </w:rPr>
                    <w:t>2030</w:t>
                  </w:r>
                </w:p>
              </w:tc>
              <w:tc>
                <w:tcPr>
                  <w:tcW w:w="2306" w:type="dxa"/>
                </w:tcPr>
                <w:p w14:paraId="290CDD64" w14:textId="0527349A" w:rsidR="007D14FC" w:rsidRPr="00CB7CEF" w:rsidRDefault="007D14FC" w:rsidP="00AB6D3A">
                  <w:pPr>
                    <w:bidi w:val="0"/>
                    <w:spacing w:before="60" w:line="264" w:lineRule="auto"/>
                    <w:jc w:val="center"/>
                    <w:rPr>
                      <w:rFonts w:cstheme="minorHAnsi"/>
                      <w:b/>
                      <w:bCs/>
                    </w:rPr>
                  </w:pPr>
                  <w:r w:rsidRPr="00CB7CEF">
                    <w:rPr>
                      <w:rFonts w:cstheme="minorHAnsi"/>
                      <w:b/>
                      <w:bCs/>
                    </w:rPr>
                    <w:t>2050</w:t>
                  </w:r>
                </w:p>
              </w:tc>
            </w:tr>
            <w:tr w:rsidR="007D14FC" w:rsidRPr="00CB7CEF" w14:paraId="282F1028" w14:textId="77777777" w:rsidTr="007D14FC">
              <w:tc>
                <w:tcPr>
                  <w:tcW w:w="2306" w:type="dxa"/>
                </w:tcPr>
                <w:p w14:paraId="14D03A42" w14:textId="76FB322D" w:rsidR="007D14FC" w:rsidRPr="00CB7CEF" w:rsidRDefault="007D14FC" w:rsidP="00AB6D3A">
                  <w:pPr>
                    <w:bidi w:val="0"/>
                    <w:spacing w:before="60" w:line="264" w:lineRule="auto"/>
                    <w:rPr>
                      <w:rFonts w:cstheme="minorHAnsi"/>
                      <w:b/>
                      <w:bCs/>
                    </w:rPr>
                  </w:pPr>
                  <w:r w:rsidRPr="00CB7CEF">
                    <w:rPr>
                      <w:rFonts w:cstheme="minorHAnsi"/>
                      <w:b/>
                      <w:bCs/>
                    </w:rPr>
                    <w:t>Electricity generation</w:t>
                  </w:r>
                </w:p>
              </w:tc>
              <w:tc>
                <w:tcPr>
                  <w:tcW w:w="2306" w:type="dxa"/>
                </w:tcPr>
                <w:p w14:paraId="1357B153" w14:textId="2ACF65E2" w:rsidR="007D14FC" w:rsidRPr="00CB7CEF" w:rsidRDefault="007D14FC" w:rsidP="00AB6D3A">
                  <w:pPr>
                    <w:bidi w:val="0"/>
                    <w:spacing w:before="60" w:line="264" w:lineRule="auto"/>
                    <w:jc w:val="center"/>
                    <w:rPr>
                      <w:rFonts w:cstheme="minorHAnsi"/>
                    </w:rPr>
                  </w:pPr>
                  <w:r w:rsidRPr="00CB7CEF">
                    <w:rPr>
                      <w:rFonts w:cstheme="minorHAnsi"/>
                    </w:rPr>
                    <w:t>30%</w:t>
                  </w:r>
                </w:p>
              </w:tc>
              <w:tc>
                <w:tcPr>
                  <w:tcW w:w="2306" w:type="dxa"/>
                </w:tcPr>
                <w:p w14:paraId="263A6B3C" w14:textId="2DEC95E5" w:rsidR="007D14FC" w:rsidRPr="00CB7CEF" w:rsidRDefault="007D14FC" w:rsidP="00AB6D3A">
                  <w:pPr>
                    <w:bidi w:val="0"/>
                    <w:spacing w:before="60" w:line="264" w:lineRule="auto"/>
                    <w:jc w:val="center"/>
                    <w:rPr>
                      <w:rFonts w:cstheme="minorHAnsi"/>
                    </w:rPr>
                  </w:pPr>
                  <w:r w:rsidRPr="00CB7CEF">
                    <w:rPr>
                      <w:rFonts w:cstheme="minorHAnsi"/>
                    </w:rPr>
                    <w:t>85%</w:t>
                  </w:r>
                </w:p>
              </w:tc>
            </w:tr>
            <w:tr w:rsidR="007D14FC" w:rsidRPr="00CB7CEF" w14:paraId="029A36E5" w14:textId="77777777" w:rsidTr="007D14FC">
              <w:tc>
                <w:tcPr>
                  <w:tcW w:w="2306" w:type="dxa"/>
                </w:tcPr>
                <w:p w14:paraId="308BA826" w14:textId="48191E81" w:rsidR="007D14FC" w:rsidRPr="00CB7CEF" w:rsidRDefault="007D14FC" w:rsidP="00AB6D3A">
                  <w:pPr>
                    <w:bidi w:val="0"/>
                    <w:spacing w:before="60" w:line="264" w:lineRule="auto"/>
                    <w:rPr>
                      <w:rFonts w:cstheme="minorHAnsi"/>
                      <w:b/>
                      <w:bCs/>
                    </w:rPr>
                  </w:pPr>
                  <w:r w:rsidRPr="00CB7CEF">
                    <w:rPr>
                      <w:rFonts w:cstheme="minorHAnsi"/>
                      <w:b/>
                      <w:bCs/>
                    </w:rPr>
                    <w:t>Transport</w:t>
                  </w:r>
                </w:p>
              </w:tc>
              <w:tc>
                <w:tcPr>
                  <w:tcW w:w="2306" w:type="dxa"/>
                </w:tcPr>
                <w:p w14:paraId="78BE7692" w14:textId="01CBE57A" w:rsidR="007D14FC" w:rsidRPr="003C2F71" w:rsidRDefault="007D14FC" w:rsidP="00AB6D3A">
                  <w:pPr>
                    <w:bidi w:val="0"/>
                    <w:spacing w:before="60" w:line="264" w:lineRule="auto"/>
                    <w:jc w:val="center"/>
                    <w:rPr>
                      <w:rFonts w:cstheme="minorHAnsi"/>
                      <w:lang w:val="en-GB"/>
                    </w:rPr>
                  </w:pPr>
                  <w:r w:rsidRPr="00CB7CEF">
                    <w:rPr>
                      <w:rFonts w:cstheme="minorHAnsi"/>
                    </w:rPr>
                    <w:t>3.3</w:t>
                  </w:r>
                  <w:proofErr w:type="gramStart"/>
                  <w:r w:rsidRPr="00CB7CEF">
                    <w:rPr>
                      <w:rFonts w:cstheme="minorHAnsi"/>
                    </w:rPr>
                    <w:t>%</w:t>
                  </w:r>
                  <w:r w:rsidR="003C2F71">
                    <w:rPr>
                      <w:rFonts w:cstheme="minorHAnsi" w:hint="cs"/>
                      <w:rtl/>
                    </w:rPr>
                    <w:t xml:space="preserve"> </w:t>
                  </w:r>
                  <w:r w:rsidR="003C2F71">
                    <w:rPr>
                      <w:rFonts w:cstheme="minorHAnsi"/>
                      <w:lang w:val="en-GB"/>
                    </w:rPr>
                    <w:t xml:space="preserve"> increase</w:t>
                  </w:r>
                  <w:proofErr w:type="gramEnd"/>
                </w:p>
              </w:tc>
              <w:tc>
                <w:tcPr>
                  <w:tcW w:w="2306" w:type="dxa"/>
                </w:tcPr>
                <w:p w14:paraId="3DD7A4CB" w14:textId="4EC6456F" w:rsidR="007D14FC" w:rsidRPr="00CB7CEF" w:rsidRDefault="007D14FC" w:rsidP="00AB6D3A">
                  <w:pPr>
                    <w:bidi w:val="0"/>
                    <w:spacing w:before="60" w:line="264" w:lineRule="auto"/>
                    <w:jc w:val="center"/>
                    <w:rPr>
                      <w:rFonts w:cstheme="minorHAnsi"/>
                    </w:rPr>
                  </w:pPr>
                  <w:r w:rsidRPr="00CB7CEF">
                    <w:rPr>
                      <w:rFonts w:cstheme="minorHAnsi"/>
                    </w:rPr>
                    <w:t>96%</w:t>
                  </w:r>
                </w:p>
              </w:tc>
            </w:tr>
            <w:tr w:rsidR="007D14FC" w:rsidRPr="00CB7CEF" w14:paraId="5A794574" w14:textId="77777777" w:rsidTr="007D14FC">
              <w:tc>
                <w:tcPr>
                  <w:tcW w:w="2306" w:type="dxa"/>
                </w:tcPr>
                <w:p w14:paraId="796DA85E" w14:textId="4B78B653" w:rsidR="007D14FC" w:rsidRPr="00CB7CEF" w:rsidRDefault="007D14FC" w:rsidP="00AB6D3A">
                  <w:pPr>
                    <w:bidi w:val="0"/>
                    <w:spacing w:before="60" w:line="264" w:lineRule="auto"/>
                    <w:rPr>
                      <w:rFonts w:cstheme="minorHAnsi"/>
                      <w:b/>
                      <w:bCs/>
                    </w:rPr>
                  </w:pPr>
                  <w:r w:rsidRPr="00CB7CEF">
                    <w:rPr>
                      <w:rFonts w:cstheme="minorHAnsi"/>
                      <w:b/>
                      <w:bCs/>
                    </w:rPr>
                    <w:t>Industry</w:t>
                  </w:r>
                </w:p>
              </w:tc>
              <w:tc>
                <w:tcPr>
                  <w:tcW w:w="2306" w:type="dxa"/>
                </w:tcPr>
                <w:p w14:paraId="7EE10B17" w14:textId="1126B81A" w:rsidR="007D14FC" w:rsidRPr="00CB7CEF" w:rsidRDefault="007D14FC" w:rsidP="00AB6D3A">
                  <w:pPr>
                    <w:bidi w:val="0"/>
                    <w:spacing w:before="60" w:line="264" w:lineRule="auto"/>
                    <w:jc w:val="center"/>
                    <w:rPr>
                      <w:rFonts w:cstheme="minorHAnsi"/>
                    </w:rPr>
                  </w:pPr>
                  <w:r w:rsidRPr="00CB7CEF">
                    <w:rPr>
                      <w:rFonts w:cstheme="minorHAnsi"/>
                    </w:rPr>
                    <w:t>30%</w:t>
                  </w:r>
                </w:p>
              </w:tc>
              <w:tc>
                <w:tcPr>
                  <w:tcW w:w="2306" w:type="dxa"/>
                </w:tcPr>
                <w:p w14:paraId="1A7375C2" w14:textId="65E9AC4E" w:rsidR="007D14FC" w:rsidRPr="00CB7CEF" w:rsidRDefault="007D14FC" w:rsidP="00AB6D3A">
                  <w:pPr>
                    <w:bidi w:val="0"/>
                    <w:spacing w:before="60" w:line="264" w:lineRule="auto"/>
                    <w:jc w:val="center"/>
                    <w:rPr>
                      <w:rFonts w:cstheme="minorHAnsi"/>
                    </w:rPr>
                  </w:pPr>
                  <w:r w:rsidRPr="00CB7CEF">
                    <w:rPr>
                      <w:rFonts w:cstheme="minorHAnsi"/>
                    </w:rPr>
                    <w:t>56%</w:t>
                  </w:r>
                </w:p>
              </w:tc>
            </w:tr>
            <w:tr w:rsidR="007D14FC" w:rsidRPr="00CB7CEF" w14:paraId="0C792B0A" w14:textId="77777777" w:rsidTr="007D14FC">
              <w:tc>
                <w:tcPr>
                  <w:tcW w:w="2306" w:type="dxa"/>
                </w:tcPr>
                <w:p w14:paraId="11DA3838" w14:textId="4A0BC92E" w:rsidR="007D14FC" w:rsidRPr="00CB7CEF" w:rsidRDefault="007D14FC" w:rsidP="00AB6D3A">
                  <w:pPr>
                    <w:bidi w:val="0"/>
                    <w:spacing w:before="60" w:line="264" w:lineRule="auto"/>
                    <w:rPr>
                      <w:rFonts w:cstheme="minorHAnsi"/>
                      <w:b/>
                      <w:bCs/>
                    </w:rPr>
                  </w:pPr>
                  <w:r w:rsidRPr="00CB7CEF">
                    <w:rPr>
                      <w:rFonts w:cstheme="minorHAnsi"/>
                      <w:b/>
                      <w:bCs/>
                    </w:rPr>
                    <w:t>Waste</w:t>
                  </w:r>
                </w:p>
              </w:tc>
              <w:tc>
                <w:tcPr>
                  <w:tcW w:w="2306" w:type="dxa"/>
                </w:tcPr>
                <w:p w14:paraId="7BAB7536" w14:textId="26EB4720" w:rsidR="007D14FC" w:rsidRPr="00CB7CEF" w:rsidRDefault="007D14FC" w:rsidP="00AB6D3A">
                  <w:pPr>
                    <w:bidi w:val="0"/>
                    <w:spacing w:before="60" w:line="264" w:lineRule="auto"/>
                    <w:jc w:val="center"/>
                    <w:rPr>
                      <w:rFonts w:cstheme="minorHAnsi"/>
                    </w:rPr>
                  </w:pPr>
                  <w:r w:rsidRPr="00CB7CEF">
                    <w:rPr>
                      <w:rFonts w:cstheme="minorHAnsi"/>
                    </w:rPr>
                    <w:t>47%</w:t>
                  </w:r>
                </w:p>
              </w:tc>
              <w:tc>
                <w:tcPr>
                  <w:tcW w:w="2306" w:type="dxa"/>
                </w:tcPr>
                <w:p w14:paraId="7BBC93A5" w14:textId="0FEDC105" w:rsidR="007D14FC" w:rsidRPr="00CB7CEF" w:rsidRDefault="007D14FC" w:rsidP="00AB6D3A">
                  <w:pPr>
                    <w:bidi w:val="0"/>
                    <w:spacing w:before="60" w:line="264" w:lineRule="auto"/>
                    <w:jc w:val="center"/>
                    <w:rPr>
                      <w:rFonts w:cstheme="minorHAnsi"/>
                    </w:rPr>
                  </w:pPr>
                  <w:r w:rsidRPr="00CB7CEF">
                    <w:rPr>
                      <w:rFonts w:cstheme="minorHAnsi"/>
                    </w:rPr>
                    <w:t>92%</w:t>
                  </w:r>
                </w:p>
              </w:tc>
            </w:tr>
          </w:tbl>
          <w:p w14:paraId="383EDEF1" w14:textId="77777777" w:rsidR="007D14FC" w:rsidRDefault="007D14FC" w:rsidP="00AB6D3A">
            <w:pPr>
              <w:bidi w:val="0"/>
              <w:spacing w:before="60" w:line="264" w:lineRule="auto"/>
              <w:rPr>
                <w:rFonts w:cstheme="minorHAnsi"/>
                <w:rtl w:val="0"/>
                <w:cs w:val="0"/>
              </w:rPr>
            </w:pPr>
          </w:p>
          <w:p w14:paraId="7F7398EE" w14:textId="77777777" w:rsidR="00233A9F" w:rsidRDefault="00233A9F" w:rsidP="00233A9F">
            <w:pPr>
              <w:bidi w:val="0"/>
              <w:spacing w:before="60" w:line="264" w:lineRule="auto"/>
              <w:rPr>
                <w:rFonts w:cstheme="minorHAnsi"/>
                <w:rtl w:val="0"/>
                <w:cs w:val="0"/>
              </w:rPr>
            </w:pPr>
            <w:r>
              <w:rPr>
                <w:rFonts w:cstheme="minorHAnsi"/>
                <w:rtl w:val="0"/>
                <w:cs w:val="0"/>
              </w:rPr>
              <w:t>Israel has further committed to a complete phase out of coal-fired power generation by 2026, and to increase the share of renewable power generation to 20% in 2025 and 30% in 2030.</w:t>
            </w:r>
          </w:p>
          <w:p w14:paraId="53A999C2" w14:textId="097598CD" w:rsidR="006F520D" w:rsidRPr="00CB7CEF" w:rsidRDefault="006F520D" w:rsidP="006F520D">
            <w:pPr>
              <w:bidi w:val="0"/>
              <w:spacing w:before="60" w:line="264" w:lineRule="auto"/>
              <w:rPr>
                <w:rFonts w:cstheme="minorHAnsi"/>
                <w:cs w:val="0"/>
              </w:rPr>
            </w:pPr>
          </w:p>
        </w:tc>
        <w:tc>
          <w:tcPr>
            <w:tcW w:w="1308" w:type="pct"/>
          </w:tcPr>
          <w:p w14:paraId="2C7C9B78" w14:textId="77777777" w:rsidR="00AE4B11" w:rsidRPr="00CB7CEF" w:rsidRDefault="00AE4B11" w:rsidP="00AB6D3A">
            <w:pPr>
              <w:pStyle w:val="DecimalAligned"/>
              <w:bidi w:val="0"/>
              <w:spacing w:before="60" w:after="0" w:line="264" w:lineRule="auto"/>
              <w:rPr>
                <w:sz w:val="20"/>
                <w:szCs w:val="20"/>
              </w:rPr>
            </w:pPr>
            <w:r w:rsidRPr="00CB7CEF">
              <w:rPr>
                <w:sz w:val="20"/>
                <w:szCs w:val="20"/>
              </w:rPr>
              <w:t>Target relative to the reference indicator, expressed numerically, for example in percentage or amount of reduction;</w:t>
            </w:r>
          </w:p>
        </w:tc>
        <w:tc>
          <w:tcPr>
            <w:tcW w:w="348" w:type="pct"/>
          </w:tcPr>
          <w:p w14:paraId="436504F7" w14:textId="77777777" w:rsidR="00AE4B11" w:rsidRPr="00CB7CEF" w:rsidRDefault="00AE4B11" w:rsidP="00AB6D3A">
            <w:pPr>
              <w:pStyle w:val="DecimalAligned"/>
              <w:numPr>
                <w:ilvl w:val="0"/>
                <w:numId w:val="12"/>
              </w:numPr>
              <w:bidi w:val="0"/>
              <w:spacing w:before="60" w:after="0" w:line="264" w:lineRule="auto"/>
              <w:rPr>
                <w:rtl/>
                <w:cs/>
              </w:rPr>
            </w:pPr>
          </w:p>
        </w:tc>
      </w:tr>
      <w:tr w:rsidR="005B5013" w:rsidRPr="00CB7CEF" w14:paraId="4DDEA359" w14:textId="77777777" w:rsidTr="00CB7CEF">
        <w:trPr>
          <w:trHeight w:val="80"/>
        </w:trPr>
        <w:tc>
          <w:tcPr>
            <w:tcW w:w="3344" w:type="pct"/>
            <w:noWrap/>
          </w:tcPr>
          <w:p w14:paraId="336C6F23" w14:textId="64E1FD3B" w:rsidR="00AB6D3A" w:rsidRPr="00CB7CEF" w:rsidRDefault="00AB6D3A" w:rsidP="00AB6D3A">
            <w:pPr>
              <w:bidi w:val="0"/>
              <w:spacing w:before="60" w:line="264" w:lineRule="auto"/>
              <w:rPr>
                <w:rFonts w:cstheme="minorHAnsi"/>
                <w:cs w:val="0"/>
              </w:rPr>
            </w:pPr>
            <w:r w:rsidRPr="00AB6D3A">
              <w:rPr>
                <w:rFonts w:cstheme="minorHAnsi"/>
                <w:rtl w:val="0"/>
                <w:cs w:val="0"/>
              </w:rPr>
              <w:t>Data used in quantifying the reference points</w:t>
            </w:r>
            <w:r>
              <w:rPr>
                <w:rFonts w:cstheme="minorHAnsi"/>
                <w:rtl w:val="0"/>
                <w:cs w:val="0"/>
              </w:rPr>
              <w:t xml:space="preserve"> </w:t>
            </w:r>
            <w:r w:rsidRPr="00AB6D3A">
              <w:rPr>
                <w:rFonts w:cstheme="minorHAnsi"/>
                <w:rtl w:val="0"/>
                <w:cs w:val="0"/>
              </w:rPr>
              <w:t>will be based on the 2008-2030 Israeli GHG Inventory submitted to the UNFCCC in 2032.</w:t>
            </w:r>
          </w:p>
        </w:tc>
        <w:tc>
          <w:tcPr>
            <w:tcW w:w="1308" w:type="pct"/>
          </w:tcPr>
          <w:p w14:paraId="61F06615" w14:textId="77777777" w:rsidR="00AE4B11" w:rsidRPr="00CB7CEF" w:rsidRDefault="00AE4B11" w:rsidP="00AB6D3A">
            <w:pPr>
              <w:pStyle w:val="DecimalAligned"/>
              <w:bidi w:val="0"/>
              <w:spacing w:before="60" w:after="0" w:line="264" w:lineRule="auto"/>
              <w:rPr>
                <w:sz w:val="20"/>
                <w:szCs w:val="20"/>
              </w:rPr>
            </w:pPr>
            <w:r w:rsidRPr="00CB7CEF">
              <w:rPr>
                <w:sz w:val="20"/>
                <w:szCs w:val="20"/>
              </w:rPr>
              <w:t>Information on sources of data used in quantifying the reference point(s);</w:t>
            </w:r>
          </w:p>
        </w:tc>
        <w:tc>
          <w:tcPr>
            <w:tcW w:w="348" w:type="pct"/>
          </w:tcPr>
          <w:p w14:paraId="5E8921B2" w14:textId="77777777" w:rsidR="00AE4B11" w:rsidRPr="00CB7CEF" w:rsidRDefault="00AE4B11" w:rsidP="00AB6D3A">
            <w:pPr>
              <w:pStyle w:val="DecimalAligned"/>
              <w:numPr>
                <w:ilvl w:val="0"/>
                <w:numId w:val="12"/>
              </w:numPr>
              <w:bidi w:val="0"/>
              <w:spacing w:before="60" w:after="0" w:line="264" w:lineRule="auto"/>
              <w:rPr>
                <w:rtl/>
                <w:cs/>
              </w:rPr>
            </w:pPr>
          </w:p>
        </w:tc>
      </w:tr>
      <w:tr w:rsidR="005B5013" w:rsidRPr="00CB7CEF" w14:paraId="23D3C5EA" w14:textId="77777777" w:rsidTr="00CB7CEF">
        <w:trPr>
          <w:trHeight w:val="80"/>
        </w:trPr>
        <w:tc>
          <w:tcPr>
            <w:tcW w:w="3344" w:type="pct"/>
            <w:noWrap/>
          </w:tcPr>
          <w:p w14:paraId="3FD13B91" w14:textId="0D44051D" w:rsidR="005B5013" w:rsidRPr="00CB7CEF" w:rsidRDefault="00AB6D3A" w:rsidP="00A51BF8">
            <w:pPr>
              <w:bidi w:val="0"/>
              <w:spacing w:before="60" w:line="264" w:lineRule="auto"/>
              <w:rPr>
                <w:rFonts w:cstheme="minorHAnsi"/>
                <w:rtl w:val="0"/>
                <w:cs w:val="0"/>
              </w:rPr>
            </w:pPr>
            <w:r w:rsidRPr="00AB6D3A">
              <w:rPr>
                <w:rFonts w:cstheme="minorHAnsi"/>
                <w:rtl w:val="0"/>
                <w:cs w:val="0"/>
              </w:rPr>
              <w:t xml:space="preserve">Where necessary, the Israeli GHG inventory may be revised to incorporate methodological improvements, changes to international reporting guidelines and new data. </w:t>
            </w:r>
          </w:p>
        </w:tc>
        <w:tc>
          <w:tcPr>
            <w:tcW w:w="1308" w:type="pct"/>
          </w:tcPr>
          <w:p w14:paraId="58E6EEAF" w14:textId="77777777" w:rsidR="00AE4B11" w:rsidRPr="00CB7CEF" w:rsidRDefault="00AE4B11" w:rsidP="00AB6D3A">
            <w:pPr>
              <w:pStyle w:val="DecimalAligned"/>
              <w:bidi w:val="0"/>
              <w:spacing w:before="60" w:after="0" w:line="264" w:lineRule="auto"/>
              <w:rPr>
                <w:sz w:val="20"/>
                <w:szCs w:val="20"/>
              </w:rPr>
            </w:pPr>
            <w:r w:rsidRPr="00CB7CEF">
              <w:rPr>
                <w:sz w:val="20"/>
                <w:szCs w:val="20"/>
              </w:rPr>
              <w:t>Information on the circumstances under which the Party may update the values of the reference indicators.</w:t>
            </w:r>
          </w:p>
        </w:tc>
        <w:tc>
          <w:tcPr>
            <w:tcW w:w="348" w:type="pct"/>
          </w:tcPr>
          <w:p w14:paraId="2E5F9494" w14:textId="77777777" w:rsidR="00AE4B11" w:rsidRPr="00CB7CEF" w:rsidRDefault="00AE4B11" w:rsidP="00AB6D3A">
            <w:pPr>
              <w:pStyle w:val="DecimalAligned"/>
              <w:numPr>
                <w:ilvl w:val="0"/>
                <w:numId w:val="12"/>
              </w:numPr>
              <w:bidi w:val="0"/>
              <w:spacing w:before="60" w:after="0" w:line="264" w:lineRule="auto"/>
              <w:rPr>
                <w:rtl/>
                <w:cs/>
              </w:rPr>
            </w:pPr>
          </w:p>
        </w:tc>
      </w:tr>
      <w:tr w:rsidR="005B5013" w:rsidRPr="00CB7CEF" w14:paraId="6848F532" w14:textId="77777777" w:rsidTr="00CB7CEF">
        <w:trPr>
          <w:trHeight w:val="1125"/>
        </w:trPr>
        <w:tc>
          <w:tcPr>
            <w:tcW w:w="3344" w:type="pct"/>
            <w:shd w:val="clear" w:color="auto" w:fill="5B9BD5" w:themeFill="accent1"/>
            <w:noWrap/>
          </w:tcPr>
          <w:p w14:paraId="0E5C54D0" w14:textId="77777777" w:rsidR="00535B19" w:rsidRPr="00CB7CEF" w:rsidRDefault="00535B19" w:rsidP="00AB6D3A">
            <w:pPr>
              <w:bidi w:val="0"/>
              <w:spacing w:before="60" w:line="264" w:lineRule="auto"/>
              <w:rPr>
                <w:rFonts w:cstheme="minorHAnsi"/>
                <w:cs w:val="0"/>
              </w:rPr>
            </w:pPr>
          </w:p>
        </w:tc>
        <w:tc>
          <w:tcPr>
            <w:tcW w:w="1308" w:type="pct"/>
            <w:shd w:val="clear" w:color="auto" w:fill="5B9BD5" w:themeFill="accent1"/>
          </w:tcPr>
          <w:p w14:paraId="072E68E3" w14:textId="77777777" w:rsidR="00535B19" w:rsidRPr="00CB7CEF" w:rsidRDefault="00535B19" w:rsidP="00AB6D3A">
            <w:pPr>
              <w:pStyle w:val="DecimalAligned"/>
              <w:bidi w:val="0"/>
              <w:spacing w:before="60" w:after="0" w:line="264" w:lineRule="auto"/>
              <w:rPr>
                <w:b/>
                <w:bCs/>
                <w:sz w:val="20"/>
                <w:szCs w:val="20"/>
                <w:rtl/>
                <w:cs/>
              </w:rPr>
            </w:pPr>
            <w:r w:rsidRPr="00CB7CEF">
              <w:rPr>
                <w:b/>
                <w:bCs/>
                <w:sz w:val="20"/>
                <w:szCs w:val="20"/>
              </w:rPr>
              <w:t>Time frames and/or periods for implementation:</w:t>
            </w:r>
          </w:p>
        </w:tc>
        <w:tc>
          <w:tcPr>
            <w:tcW w:w="348" w:type="pct"/>
            <w:shd w:val="clear" w:color="auto" w:fill="5B9BD5" w:themeFill="accent1"/>
          </w:tcPr>
          <w:p w14:paraId="1A7A7E38" w14:textId="77777777" w:rsidR="00535B19" w:rsidRPr="00CB7CEF" w:rsidRDefault="00535B19" w:rsidP="00AB6D3A">
            <w:pPr>
              <w:pStyle w:val="DecimalAligned"/>
              <w:bidi w:val="0"/>
              <w:spacing w:before="60" w:after="0" w:line="264" w:lineRule="auto"/>
              <w:rPr>
                <w:rtl/>
                <w:cs/>
              </w:rPr>
            </w:pPr>
            <w:r w:rsidRPr="00CB7CEF">
              <w:t xml:space="preserve">2. </w:t>
            </w:r>
          </w:p>
        </w:tc>
      </w:tr>
      <w:tr w:rsidR="005B5013" w:rsidRPr="00CB7CEF" w14:paraId="38A9389A" w14:textId="77777777" w:rsidTr="00814688">
        <w:trPr>
          <w:trHeight w:val="80"/>
        </w:trPr>
        <w:tc>
          <w:tcPr>
            <w:tcW w:w="3344" w:type="pct"/>
            <w:shd w:val="clear" w:color="auto" w:fill="FFFFFF" w:themeFill="background1"/>
            <w:noWrap/>
          </w:tcPr>
          <w:p w14:paraId="7273BC5E" w14:textId="77777777" w:rsidR="00AB6D3A" w:rsidRPr="00AB6D3A" w:rsidRDefault="00AB6D3A" w:rsidP="00AB6D3A">
            <w:pPr>
              <w:bidi w:val="0"/>
              <w:spacing w:before="60" w:line="264" w:lineRule="auto"/>
              <w:rPr>
                <w:rFonts w:cstheme="minorHAnsi"/>
                <w:cs w:val="0"/>
              </w:rPr>
            </w:pPr>
            <w:r w:rsidRPr="00AB6D3A">
              <w:rPr>
                <w:rFonts w:cstheme="minorHAnsi"/>
                <w:rtl w:val="0"/>
                <w:cs w:val="0"/>
              </w:rPr>
              <w:t>NDC time frame: January 2021 - 31 December 2030</w:t>
            </w:r>
          </w:p>
          <w:p w14:paraId="2EFD1F07" w14:textId="5D0E67AB" w:rsidR="00AB6D3A" w:rsidRPr="00CB7CEF" w:rsidRDefault="00AB6D3A" w:rsidP="00AB6D3A">
            <w:pPr>
              <w:bidi w:val="0"/>
              <w:spacing w:before="60" w:line="264" w:lineRule="auto"/>
              <w:jc w:val="both"/>
              <w:rPr>
                <w:rFonts w:cstheme="minorHAnsi"/>
                <w:cs w:val="0"/>
              </w:rPr>
            </w:pPr>
            <w:r w:rsidRPr="00AB6D3A">
              <w:rPr>
                <w:rFonts w:cstheme="minorHAnsi"/>
                <w:rtl w:val="0"/>
                <w:cs w:val="0"/>
              </w:rPr>
              <w:t>Long-term low-emission development strategy timeframe: January 2021 – 31 December 2050</w:t>
            </w:r>
          </w:p>
        </w:tc>
        <w:tc>
          <w:tcPr>
            <w:tcW w:w="1308" w:type="pct"/>
            <w:shd w:val="clear" w:color="auto" w:fill="FFFFFF" w:themeFill="background1"/>
          </w:tcPr>
          <w:p w14:paraId="3F9C2988" w14:textId="77777777" w:rsidR="00564D96" w:rsidRPr="00CB7CEF" w:rsidRDefault="00564D96" w:rsidP="00AB6D3A">
            <w:pPr>
              <w:pStyle w:val="DecimalAligned"/>
              <w:bidi w:val="0"/>
              <w:spacing w:before="60" w:after="0" w:line="264" w:lineRule="auto"/>
              <w:rPr>
                <w:b/>
                <w:bCs/>
                <w:sz w:val="20"/>
                <w:szCs w:val="20"/>
                <w:highlight w:val="yellow"/>
                <w:rtl/>
                <w:cs/>
              </w:rPr>
            </w:pPr>
            <w:r w:rsidRPr="00CB7CEF">
              <w:rPr>
                <w:rFonts w:ascii="Times New Roman" w:hAnsi="Times New Roman"/>
                <w:color w:val="000000"/>
                <w:sz w:val="20"/>
                <w:szCs w:val="20"/>
              </w:rPr>
              <w:t>Time frame and/or period for implementation, including start and end date, consistent with any further relevant decision adopted by the Conference of the Parties serving as the meeting of the Parties to the Paris Agreement (CMA);</w:t>
            </w:r>
          </w:p>
        </w:tc>
        <w:tc>
          <w:tcPr>
            <w:tcW w:w="348" w:type="pct"/>
            <w:shd w:val="clear" w:color="auto" w:fill="FFFFFF" w:themeFill="background1"/>
          </w:tcPr>
          <w:p w14:paraId="64F22603" w14:textId="77777777" w:rsidR="00564D96" w:rsidRPr="00CB7CEF" w:rsidRDefault="00564D96" w:rsidP="00AB6D3A">
            <w:pPr>
              <w:pStyle w:val="DecimalAligned"/>
              <w:numPr>
                <w:ilvl w:val="0"/>
                <w:numId w:val="13"/>
              </w:numPr>
              <w:bidi w:val="0"/>
              <w:spacing w:before="60" w:after="0" w:line="264" w:lineRule="auto"/>
            </w:pPr>
          </w:p>
        </w:tc>
      </w:tr>
      <w:tr w:rsidR="005B5013" w:rsidRPr="00CB7CEF" w14:paraId="63D0CAC6" w14:textId="77777777" w:rsidTr="00CB7CEF">
        <w:trPr>
          <w:trHeight w:val="80"/>
        </w:trPr>
        <w:tc>
          <w:tcPr>
            <w:tcW w:w="3344" w:type="pct"/>
            <w:shd w:val="clear" w:color="auto" w:fill="FFFFFF" w:themeFill="background1"/>
            <w:noWrap/>
          </w:tcPr>
          <w:p w14:paraId="51C63320" w14:textId="3D7BC85F" w:rsidR="00AB6D3A" w:rsidRPr="00CB7CEF" w:rsidRDefault="00800CCD" w:rsidP="00AB6D3A">
            <w:pPr>
              <w:bidi w:val="0"/>
              <w:spacing w:before="60" w:line="264" w:lineRule="auto"/>
              <w:rPr>
                <w:rFonts w:cstheme="minorHAnsi"/>
                <w:cs w:val="0"/>
              </w:rPr>
            </w:pPr>
            <w:r w:rsidRPr="00CB7CEF">
              <w:rPr>
                <w:rFonts w:cstheme="minorHAnsi"/>
                <w:cs w:val="0"/>
              </w:rPr>
              <w:t xml:space="preserve"> </w:t>
            </w:r>
            <w:r w:rsidR="00AB6D3A" w:rsidRPr="00AB6D3A">
              <w:rPr>
                <w:rFonts w:cstheme="minorHAnsi"/>
                <w:rtl w:val="0"/>
                <w:cs w:val="0"/>
              </w:rPr>
              <w:t>Single-year target in 2030</w:t>
            </w:r>
            <w:r w:rsidR="00A96440">
              <w:rPr>
                <w:rFonts w:cstheme="minorHAnsi"/>
                <w:rtl w:val="0"/>
                <w:cs w:val="0"/>
              </w:rPr>
              <w:t xml:space="preserve"> </w:t>
            </w:r>
            <w:r w:rsidR="00AB6D3A" w:rsidRPr="00AB6D3A">
              <w:rPr>
                <w:rFonts w:cstheme="minorHAnsi"/>
                <w:rtl w:val="0"/>
                <w:cs w:val="0"/>
              </w:rPr>
              <w:t>and in 2050.</w:t>
            </w:r>
          </w:p>
        </w:tc>
        <w:tc>
          <w:tcPr>
            <w:tcW w:w="1308" w:type="pct"/>
            <w:shd w:val="clear" w:color="auto" w:fill="FFFFFF" w:themeFill="background1"/>
          </w:tcPr>
          <w:p w14:paraId="3BA42A4B" w14:textId="77777777" w:rsidR="004D04E9" w:rsidRPr="00CB7CEF" w:rsidRDefault="004D04E9" w:rsidP="00AB6D3A">
            <w:pPr>
              <w:pStyle w:val="DecimalAligned"/>
              <w:bidi w:val="0"/>
              <w:spacing w:before="60" w:after="0" w:line="264" w:lineRule="auto"/>
              <w:rPr>
                <w:rFonts w:ascii="Times New Roman" w:hAnsi="Times New Roman"/>
                <w:color w:val="000000"/>
                <w:sz w:val="20"/>
                <w:szCs w:val="20"/>
                <w:highlight w:val="yellow"/>
              </w:rPr>
            </w:pPr>
            <w:r w:rsidRPr="00CB7CEF">
              <w:rPr>
                <w:rFonts w:ascii="Times New Roman" w:hAnsi="Times New Roman"/>
                <w:color w:val="000000"/>
                <w:sz w:val="20"/>
                <w:szCs w:val="20"/>
              </w:rPr>
              <w:t>Whether it is a single-year or multi-year target, as applicable.</w:t>
            </w:r>
          </w:p>
        </w:tc>
        <w:tc>
          <w:tcPr>
            <w:tcW w:w="348" w:type="pct"/>
            <w:shd w:val="clear" w:color="auto" w:fill="FFFFFF" w:themeFill="background1"/>
          </w:tcPr>
          <w:p w14:paraId="23F75DA8" w14:textId="77777777" w:rsidR="004D04E9" w:rsidRPr="00CB7CEF" w:rsidRDefault="004D04E9" w:rsidP="00AB6D3A">
            <w:pPr>
              <w:pStyle w:val="DecimalAligned"/>
              <w:numPr>
                <w:ilvl w:val="0"/>
                <w:numId w:val="13"/>
              </w:numPr>
              <w:bidi w:val="0"/>
              <w:spacing w:before="60" w:after="0" w:line="264" w:lineRule="auto"/>
            </w:pPr>
          </w:p>
        </w:tc>
      </w:tr>
      <w:tr w:rsidR="005B5013" w:rsidRPr="00CB7CEF" w14:paraId="321787AA" w14:textId="77777777" w:rsidTr="00CB7CEF">
        <w:trPr>
          <w:trHeight w:val="80"/>
        </w:trPr>
        <w:tc>
          <w:tcPr>
            <w:tcW w:w="3344" w:type="pct"/>
            <w:shd w:val="clear" w:color="auto" w:fill="5B9BD5" w:themeFill="accent1"/>
            <w:noWrap/>
          </w:tcPr>
          <w:p w14:paraId="5BFFF87A" w14:textId="77777777" w:rsidR="004D04E9" w:rsidRPr="00CB7CEF" w:rsidRDefault="004D04E9" w:rsidP="00AB6D3A">
            <w:pPr>
              <w:bidi w:val="0"/>
              <w:spacing w:before="60" w:line="264" w:lineRule="auto"/>
              <w:rPr>
                <w:rFonts w:cstheme="minorHAnsi"/>
                <w:cs w:val="0"/>
              </w:rPr>
            </w:pPr>
          </w:p>
        </w:tc>
        <w:tc>
          <w:tcPr>
            <w:tcW w:w="1308" w:type="pct"/>
            <w:shd w:val="clear" w:color="auto" w:fill="5B9BD5" w:themeFill="accent1"/>
          </w:tcPr>
          <w:p w14:paraId="05EC4567" w14:textId="77777777" w:rsidR="004D04E9" w:rsidRPr="00CB7CEF" w:rsidRDefault="004D04E9" w:rsidP="00AB6D3A">
            <w:pPr>
              <w:pStyle w:val="DecimalAligned"/>
              <w:bidi w:val="0"/>
              <w:spacing w:before="60" w:after="0" w:line="264" w:lineRule="auto"/>
              <w:rPr>
                <w:rFonts w:ascii="Times New Roman" w:hAnsi="Times New Roman"/>
                <w:color w:val="000000"/>
                <w:sz w:val="20"/>
                <w:szCs w:val="20"/>
                <w:rtl/>
                <w:cs/>
              </w:rPr>
            </w:pPr>
            <w:r w:rsidRPr="00CB7CEF">
              <w:rPr>
                <w:rFonts w:ascii="Times New Roman" w:hAnsi="Times New Roman"/>
                <w:b/>
                <w:bCs/>
                <w:color w:val="000000"/>
                <w:sz w:val="20"/>
                <w:szCs w:val="20"/>
              </w:rPr>
              <w:t>Scope and coverage:</w:t>
            </w:r>
          </w:p>
        </w:tc>
        <w:tc>
          <w:tcPr>
            <w:tcW w:w="348" w:type="pct"/>
            <w:shd w:val="clear" w:color="auto" w:fill="5B9BD5" w:themeFill="accent1"/>
          </w:tcPr>
          <w:p w14:paraId="542F352B" w14:textId="2E35ADAB" w:rsidR="004D04E9" w:rsidRPr="00CB7CEF" w:rsidRDefault="00024954" w:rsidP="00AB6D3A">
            <w:pPr>
              <w:pStyle w:val="DecimalAligned"/>
              <w:bidi w:val="0"/>
              <w:spacing w:before="60" w:after="0" w:line="264" w:lineRule="auto"/>
            </w:pPr>
            <w:r>
              <w:t>3</w:t>
            </w:r>
            <w:r w:rsidRPr="00CB7CEF">
              <w:t>.</w:t>
            </w:r>
          </w:p>
        </w:tc>
      </w:tr>
      <w:tr w:rsidR="00496E70" w:rsidRPr="00CB7CEF" w14:paraId="3BEA4FF2" w14:textId="77777777" w:rsidTr="00CB7CEF">
        <w:trPr>
          <w:trHeight w:val="80"/>
        </w:trPr>
        <w:tc>
          <w:tcPr>
            <w:tcW w:w="3344" w:type="pct"/>
            <w:shd w:val="clear" w:color="auto" w:fill="FFFFFF" w:themeFill="background1"/>
            <w:noWrap/>
          </w:tcPr>
          <w:p w14:paraId="0C7824C2" w14:textId="7CA4B303" w:rsidR="00496E70" w:rsidRPr="00496E70" w:rsidRDefault="00496E70" w:rsidP="00AB6D3A">
            <w:pPr>
              <w:bidi w:val="0"/>
              <w:spacing w:before="60" w:line="264" w:lineRule="auto"/>
              <w:jc w:val="both"/>
              <w:rPr>
                <w:rFonts w:cstheme="minorHAnsi"/>
                <w:cs w:val="0"/>
              </w:rPr>
            </w:pPr>
            <w:r w:rsidRPr="00496E70">
              <w:rPr>
                <w:rFonts w:cstheme="minorHAnsi"/>
                <w:rtl w:val="0"/>
                <w:cs w:val="0"/>
              </w:rPr>
              <w:t>Israel's target is economy-wide to achieve a 27% reduction in net GHG emissions by 2030 relative to 2015, to a level of no more than 58 MtCO2e</w:t>
            </w:r>
            <w:r w:rsidRPr="00496E70">
              <w:rPr>
                <w:rFonts w:cs="Calibri"/>
                <w:cs w:val="0"/>
              </w:rPr>
              <w:t>.</w:t>
            </w:r>
          </w:p>
          <w:p w14:paraId="172F3C98" w14:textId="77777777" w:rsidR="00496E70" w:rsidRDefault="00496E70" w:rsidP="00AB6D3A">
            <w:pPr>
              <w:bidi w:val="0"/>
              <w:spacing w:before="60" w:line="264" w:lineRule="auto"/>
              <w:jc w:val="both"/>
              <w:rPr>
                <w:rFonts w:cstheme="minorHAnsi"/>
                <w:rtl w:val="0"/>
                <w:cs w:val="0"/>
              </w:rPr>
            </w:pPr>
          </w:p>
          <w:p w14:paraId="7826EF74" w14:textId="7C4A1A72" w:rsidR="00496E70" w:rsidRPr="00496E70" w:rsidRDefault="00496E70" w:rsidP="00AB6D3A">
            <w:pPr>
              <w:bidi w:val="0"/>
              <w:spacing w:before="60" w:line="264" w:lineRule="auto"/>
              <w:jc w:val="both"/>
              <w:rPr>
                <w:rFonts w:cstheme="minorHAnsi"/>
                <w:cs w:val="0"/>
              </w:rPr>
            </w:pPr>
            <w:r w:rsidRPr="00496E70">
              <w:rPr>
                <w:rFonts w:cstheme="minorHAnsi"/>
                <w:rtl w:val="0"/>
                <w:cs w:val="0"/>
              </w:rPr>
              <w:t>In addition, Israel aims to achieve an 85% reduction in net GHG emissions by 2050, relative to 2015, to a level of no more than 12 MtCO2e</w:t>
            </w:r>
            <w:r w:rsidRPr="00496E70">
              <w:rPr>
                <w:rFonts w:cs="Calibri"/>
                <w:cs w:val="0"/>
              </w:rPr>
              <w:t>.</w:t>
            </w:r>
          </w:p>
          <w:p w14:paraId="08BD3233" w14:textId="77777777" w:rsidR="00496E70" w:rsidRPr="00496E70" w:rsidRDefault="00496E70" w:rsidP="00AB6D3A">
            <w:pPr>
              <w:bidi w:val="0"/>
              <w:spacing w:before="60" w:line="264" w:lineRule="auto"/>
              <w:jc w:val="both"/>
              <w:rPr>
                <w:rFonts w:cstheme="minorHAnsi"/>
                <w:cs w:val="0"/>
              </w:rPr>
            </w:pPr>
          </w:p>
          <w:p w14:paraId="5D3B8825" w14:textId="41E57556" w:rsidR="00496E70" w:rsidRPr="00496E70" w:rsidRDefault="00496E70" w:rsidP="00AB6D3A">
            <w:pPr>
              <w:bidi w:val="0"/>
              <w:spacing w:before="60" w:line="264" w:lineRule="auto"/>
              <w:jc w:val="both"/>
              <w:rPr>
                <w:rFonts w:cstheme="minorHAnsi"/>
                <w:cs w:val="0"/>
              </w:rPr>
            </w:pPr>
            <w:r w:rsidRPr="00496E70">
              <w:rPr>
                <w:rFonts w:cstheme="minorHAnsi"/>
                <w:rtl w:val="0"/>
                <w:cs w:val="0"/>
              </w:rPr>
              <w:t>In order to achieve its economy-wide target, Israel has also approved sectorial targets for 2030 and 2050 (see above clause 1.d)</w:t>
            </w:r>
          </w:p>
          <w:p w14:paraId="4F1A34AF" w14:textId="77777777" w:rsidR="00496E70" w:rsidRPr="00CB7CEF" w:rsidRDefault="00496E70" w:rsidP="00AB6D3A">
            <w:pPr>
              <w:bidi w:val="0"/>
              <w:spacing w:before="60" w:line="264" w:lineRule="auto"/>
              <w:jc w:val="both"/>
              <w:rPr>
                <w:rFonts w:cstheme="minorHAnsi"/>
                <w:cs w:val="0"/>
              </w:rPr>
            </w:pPr>
          </w:p>
        </w:tc>
        <w:tc>
          <w:tcPr>
            <w:tcW w:w="1308" w:type="pct"/>
            <w:shd w:val="clear" w:color="auto" w:fill="FFFFFF" w:themeFill="background1"/>
          </w:tcPr>
          <w:p w14:paraId="3B63F577" w14:textId="275CD4C6" w:rsidR="00496E70" w:rsidRPr="00CB7CEF" w:rsidRDefault="00496E70" w:rsidP="00AB6D3A">
            <w:pPr>
              <w:pStyle w:val="DecimalAligned"/>
              <w:bidi w:val="0"/>
              <w:spacing w:before="60" w:after="0" w:line="264" w:lineRule="auto"/>
              <w:rPr>
                <w:rFonts w:ascii="Times New Roman" w:hAnsi="Times New Roman"/>
                <w:color w:val="000000"/>
                <w:sz w:val="20"/>
                <w:szCs w:val="20"/>
              </w:rPr>
            </w:pPr>
            <w:r w:rsidRPr="00CB7CEF">
              <w:rPr>
                <w:rFonts w:ascii="Times New Roman" w:hAnsi="Times New Roman"/>
                <w:color w:val="000000"/>
                <w:sz w:val="20"/>
                <w:szCs w:val="20"/>
              </w:rPr>
              <w:t>General description of the target;</w:t>
            </w:r>
          </w:p>
        </w:tc>
        <w:tc>
          <w:tcPr>
            <w:tcW w:w="348" w:type="pct"/>
            <w:shd w:val="clear" w:color="auto" w:fill="FFFFFF" w:themeFill="background1"/>
          </w:tcPr>
          <w:p w14:paraId="04CCB28C" w14:textId="77777777" w:rsidR="00496E70" w:rsidRPr="00CB7CEF" w:rsidRDefault="00496E70" w:rsidP="00AB6D3A">
            <w:pPr>
              <w:pStyle w:val="DecimalAligned"/>
              <w:numPr>
                <w:ilvl w:val="0"/>
                <w:numId w:val="14"/>
              </w:numPr>
              <w:bidi w:val="0"/>
              <w:spacing w:before="60" w:after="0" w:line="264" w:lineRule="auto"/>
            </w:pPr>
          </w:p>
        </w:tc>
      </w:tr>
      <w:tr w:rsidR="00C05AE9" w:rsidRPr="00CB7CEF" w14:paraId="21C21332" w14:textId="77777777" w:rsidTr="00CB7CEF">
        <w:trPr>
          <w:trHeight w:val="80"/>
        </w:trPr>
        <w:tc>
          <w:tcPr>
            <w:tcW w:w="3344" w:type="pct"/>
            <w:shd w:val="clear" w:color="auto" w:fill="FFFFFF" w:themeFill="background1"/>
            <w:noWrap/>
          </w:tcPr>
          <w:p w14:paraId="47F1A8EE" w14:textId="77777777" w:rsidR="00C05AE9" w:rsidRPr="00DE20A5" w:rsidRDefault="00C05AE9" w:rsidP="00AB6D3A">
            <w:pPr>
              <w:bidi w:val="0"/>
              <w:spacing w:before="60" w:line="264" w:lineRule="auto"/>
              <w:rPr>
                <w:rFonts w:cs="Calibri"/>
                <w:b/>
                <w:bCs/>
                <w:rtl w:val="0"/>
                <w:cs w:val="0"/>
              </w:rPr>
            </w:pPr>
            <w:r w:rsidRPr="00DE20A5">
              <w:rPr>
                <w:rFonts w:cstheme="minorHAnsi"/>
                <w:b/>
                <w:bCs/>
                <w:rtl w:val="0"/>
                <w:cs w:val="0"/>
              </w:rPr>
              <w:t>Sectors covered</w:t>
            </w:r>
            <w:r w:rsidRPr="00DE20A5">
              <w:rPr>
                <w:rFonts w:cs="Calibri"/>
                <w:b/>
                <w:bCs/>
                <w:cs w:val="0"/>
              </w:rPr>
              <w:t>:</w:t>
            </w:r>
          </w:p>
          <w:p w14:paraId="1A377DAE" w14:textId="332CCAD1" w:rsidR="00C05AE9" w:rsidRDefault="00C05AE9" w:rsidP="00AB6D3A">
            <w:pPr>
              <w:pStyle w:val="ListParagraph"/>
              <w:numPr>
                <w:ilvl w:val="0"/>
                <w:numId w:val="42"/>
              </w:numPr>
              <w:bidi w:val="0"/>
              <w:spacing w:before="60" w:line="264" w:lineRule="auto"/>
              <w:rPr>
                <w:rFonts w:cstheme="minorHAnsi"/>
                <w:rtl w:val="0"/>
                <w:cs w:val="0"/>
              </w:rPr>
            </w:pPr>
            <w:r w:rsidRPr="00DE20A5">
              <w:rPr>
                <w:rFonts w:cstheme="minorHAnsi"/>
                <w:rtl w:val="0"/>
                <w:cs w:val="0"/>
              </w:rPr>
              <w:t xml:space="preserve">Energy (Fuel combustion) </w:t>
            </w:r>
            <w:proofErr w:type="gramStart"/>
            <w:r w:rsidRPr="00DE20A5">
              <w:rPr>
                <w:rFonts w:cstheme="minorHAnsi"/>
                <w:rtl w:val="0"/>
                <w:cs w:val="0"/>
              </w:rPr>
              <w:t>in:</w:t>
            </w:r>
            <w:proofErr w:type="gramEnd"/>
            <w:r w:rsidRPr="00DE20A5">
              <w:rPr>
                <w:rFonts w:cstheme="minorHAnsi"/>
                <w:rtl w:val="0"/>
                <w:cs w:val="0"/>
              </w:rPr>
              <w:t xml:space="preserve"> </w:t>
            </w:r>
            <w:r w:rsidR="00A51BF8">
              <w:rPr>
                <w:rFonts w:cstheme="minorHAnsi"/>
                <w:rtl w:val="0"/>
                <w:cs w:val="0"/>
              </w:rPr>
              <w:t>e</w:t>
            </w:r>
            <w:r w:rsidRPr="00DE20A5">
              <w:rPr>
                <w:rFonts w:cstheme="minorHAnsi"/>
                <w:rtl w:val="0"/>
                <w:cs w:val="0"/>
              </w:rPr>
              <w:t xml:space="preserve">nergy industries (electricity generation), </w:t>
            </w:r>
            <w:r w:rsidR="00A51BF8">
              <w:rPr>
                <w:rFonts w:cstheme="minorHAnsi"/>
                <w:rtl w:val="0"/>
                <w:cs w:val="0"/>
              </w:rPr>
              <w:t>m</w:t>
            </w:r>
            <w:r w:rsidRPr="00DE20A5">
              <w:rPr>
                <w:rFonts w:cstheme="minorHAnsi"/>
                <w:rtl w:val="0"/>
                <w:cs w:val="0"/>
              </w:rPr>
              <w:t>anufacturing industries</w:t>
            </w:r>
            <w:r w:rsidR="006A75A2">
              <w:rPr>
                <w:rFonts w:cstheme="minorHAnsi"/>
                <w:rtl w:val="0"/>
                <w:cs w:val="0"/>
              </w:rPr>
              <w:t>,</w:t>
            </w:r>
            <w:r w:rsidRPr="00DE20A5">
              <w:rPr>
                <w:rFonts w:cstheme="minorHAnsi"/>
                <w:rtl w:val="0"/>
                <w:cs w:val="0"/>
              </w:rPr>
              <w:t xml:space="preserve"> construction, </w:t>
            </w:r>
            <w:r w:rsidR="00A51BF8">
              <w:rPr>
                <w:rFonts w:cstheme="minorHAnsi"/>
                <w:rtl w:val="0"/>
                <w:cs w:val="0"/>
              </w:rPr>
              <w:t>t</w:t>
            </w:r>
            <w:r w:rsidRPr="00DE20A5">
              <w:rPr>
                <w:rFonts w:cstheme="minorHAnsi"/>
                <w:rtl w:val="0"/>
                <w:cs w:val="0"/>
              </w:rPr>
              <w:t xml:space="preserve">ransport, </w:t>
            </w:r>
            <w:r w:rsidR="00A51BF8">
              <w:rPr>
                <w:rFonts w:cstheme="minorHAnsi"/>
                <w:rtl w:val="0"/>
                <w:cs w:val="0"/>
              </w:rPr>
              <w:t>o</w:t>
            </w:r>
            <w:r w:rsidRPr="00DE20A5">
              <w:rPr>
                <w:rFonts w:cstheme="minorHAnsi"/>
                <w:rtl w:val="0"/>
                <w:cs w:val="0"/>
              </w:rPr>
              <w:t>ther sectors (residential, commercial, institutional, agriculture)</w:t>
            </w:r>
          </w:p>
          <w:p w14:paraId="22FAE7D3" w14:textId="77777777" w:rsidR="00C05AE9" w:rsidRDefault="00C05AE9" w:rsidP="00AB6D3A">
            <w:pPr>
              <w:pStyle w:val="ListParagraph"/>
              <w:numPr>
                <w:ilvl w:val="0"/>
                <w:numId w:val="42"/>
              </w:numPr>
              <w:bidi w:val="0"/>
              <w:spacing w:before="60" w:line="264" w:lineRule="auto"/>
              <w:rPr>
                <w:rFonts w:cstheme="minorHAnsi"/>
                <w:rtl w:val="0"/>
                <w:cs w:val="0"/>
              </w:rPr>
            </w:pPr>
            <w:r w:rsidRPr="00DE20A5">
              <w:rPr>
                <w:rFonts w:cstheme="minorHAnsi"/>
                <w:rtl w:val="0"/>
                <w:cs w:val="0"/>
              </w:rPr>
              <w:t>Industrial Processes</w:t>
            </w:r>
          </w:p>
          <w:p w14:paraId="4630E085" w14:textId="77777777" w:rsidR="00C05AE9" w:rsidRDefault="00C05AE9" w:rsidP="00AB6D3A">
            <w:pPr>
              <w:pStyle w:val="ListParagraph"/>
              <w:numPr>
                <w:ilvl w:val="0"/>
                <w:numId w:val="42"/>
              </w:numPr>
              <w:bidi w:val="0"/>
              <w:spacing w:before="60" w:line="264" w:lineRule="auto"/>
              <w:rPr>
                <w:rFonts w:cstheme="minorHAnsi"/>
                <w:rtl w:val="0"/>
                <w:cs w:val="0"/>
              </w:rPr>
            </w:pPr>
            <w:r w:rsidRPr="00DE20A5">
              <w:rPr>
                <w:rFonts w:cstheme="minorHAnsi"/>
                <w:rtl w:val="0"/>
                <w:cs w:val="0"/>
              </w:rPr>
              <w:t>Agriculture</w:t>
            </w:r>
          </w:p>
          <w:p w14:paraId="7C863EB8" w14:textId="77777777" w:rsidR="00C05AE9" w:rsidRDefault="00C05AE9" w:rsidP="00AB6D3A">
            <w:pPr>
              <w:pStyle w:val="ListParagraph"/>
              <w:numPr>
                <w:ilvl w:val="0"/>
                <w:numId w:val="42"/>
              </w:numPr>
              <w:bidi w:val="0"/>
              <w:spacing w:before="60" w:line="264" w:lineRule="auto"/>
              <w:rPr>
                <w:rFonts w:cstheme="minorHAnsi"/>
                <w:rtl w:val="0"/>
                <w:cs w:val="0"/>
              </w:rPr>
            </w:pPr>
            <w:r w:rsidRPr="00DE20A5">
              <w:rPr>
                <w:rFonts w:cstheme="minorHAnsi"/>
                <w:rtl w:val="0"/>
                <w:cs w:val="0"/>
              </w:rPr>
              <w:t>Waste and Wastewater</w:t>
            </w:r>
          </w:p>
          <w:p w14:paraId="7E64CD10" w14:textId="47DA44AA" w:rsidR="00C05AE9" w:rsidRPr="001B5725" w:rsidRDefault="00C05AE9" w:rsidP="001B5725">
            <w:pPr>
              <w:pStyle w:val="ListParagraph"/>
              <w:numPr>
                <w:ilvl w:val="0"/>
                <w:numId w:val="42"/>
              </w:numPr>
              <w:bidi w:val="0"/>
              <w:spacing w:before="60" w:line="264" w:lineRule="auto"/>
              <w:rPr>
                <w:rFonts w:cstheme="minorHAnsi"/>
                <w:cs w:val="0"/>
              </w:rPr>
            </w:pPr>
            <w:r w:rsidRPr="00DE20A5">
              <w:rPr>
                <w:rFonts w:cstheme="minorHAnsi"/>
                <w:rtl w:val="0"/>
                <w:cs w:val="0"/>
              </w:rPr>
              <w:t>Land-use Change and Forestry</w:t>
            </w:r>
          </w:p>
          <w:p w14:paraId="7C1BE3CF" w14:textId="77777777" w:rsidR="00C05AE9" w:rsidRPr="00C05AE9" w:rsidRDefault="00C05AE9" w:rsidP="00AB6D3A">
            <w:pPr>
              <w:bidi w:val="0"/>
              <w:spacing w:before="60" w:line="264" w:lineRule="auto"/>
              <w:rPr>
                <w:rFonts w:cstheme="minorHAnsi"/>
                <w:cs w:val="0"/>
              </w:rPr>
            </w:pPr>
          </w:p>
          <w:p w14:paraId="54FF65EC" w14:textId="77777777" w:rsidR="00C05AE9" w:rsidRPr="00DE20A5" w:rsidRDefault="00C05AE9" w:rsidP="00AB6D3A">
            <w:pPr>
              <w:bidi w:val="0"/>
              <w:spacing w:before="60" w:line="264" w:lineRule="auto"/>
              <w:rPr>
                <w:rFonts w:cstheme="minorHAnsi"/>
                <w:b/>
                <w:bCs/>
                <w:cs w:val="0"/>
              </w:rPr>
            </w:pPr>
            <w:r w:rsidRPr="00DE20A5">
              <w:rPr>
                <w:rFonts w:cstheme="minorHAnsi"/>
                <w:b/>
                <w:bCs/>
                <w:rtl w:val="0"/>
                <w:cs w:val="0"/>
              </w:rPr>
              <w:t>Greenhouse gases covered</w:t>
            </w:r>
            <w:r w:rsidRPr="00DE20A5">
              <w:rPr>
                <w:rFonts w:cs="Calibri"/>
                <w:b/>
                <w:bCs/>
                <w:cs w:val="0"/>
              </w:rPr>
              <w:t>:</w:t>
            </w:r>
          </w:p>
          <w:p w14:paraId="64F5F3F6" w14:textId="77777777" w:rsidR="00C05AE9" w:rsidRPr="00C05AE9" w:rsidRDefault="00C05AE9" w:rsidP="00AB6D3A">
            <w:pPr>
              <w:bidi w:val="0"/>
              <w:spacing w:before="60" w:line="264" w:lineRule="auto"/>
              <w:rPr>
                <w:rFonts w:cstheme="minorHAnsi"/>
                <w:cs w:val="0"/>
              </w:rPr>
            </w:pPr>
            <w:r w:rsidRPr="00C05AE9">
              <w:rPr>
                <w:rFonts w:cstheme="minorHAnsi"/>
                <w:rtl w:val="0"/>
                <w:cs w:val="0"/>
              </w:rPr>
              <w:t>Carbon Dioxide (CO2), Methane (CH4), Nitrous Oxide (N2O), Hydrofluorocarbons (HFCs), Perfluorocarbons (PFCs), Sulphur Hexafluoride (SF6)</w:t>
            </w:r>
            <w:r w:rsidRPr="00C05AE9">
              <w:rPr>
                <w:rFonts w:cs="Calibri"/>
                <w:cs w:val="0"/>
              </w:rPr>
              <w:t>.</w:t>
            </w:r>
          </w:p>
          <w:p w14:paraId="4A9D0D6B" w14:textId="77777777" w:rsidR="00C05AE9" w:rsidRPr="00C05AE9" w:rsidRDefault="00C05AE9" w:rsidP="00AB6D3A">
            <w:pPr>
              <w:bidi w:val="0"/>
              <w:spacing w:before="60" w:line="264" w:lineRule="auto"/>
              <w:rPr>
                <w:rFonts w:cstheme="minorHAnsi"/>
                <w:cs w:val="0"/>
              </w:rPr>
            </w:pPr>
          </w:p>
          <w:p w14:paraId="06188EAD" w14:textId="77777777" w:rsidR="00C05AE9" w:rsidRPr="00DE20A5" w:rsidRDefault="00C05AE9" w:rsidP="00AB6D3A">
            <w:pPr>
              <w:bidi w:val="0"/>
              <w:spacing w:before="60" w:line="264" w:lineRule="auto"/>
              <w:rPr>
                <w:rFonts w:cstheme="minorHAnsi"/>
                <w:b/>
                <w:bCs/>
                <w:cs w:val="0"/>
              </w:rPr>
            </w:pPr>
            <w:r w:rsidRPr="00DE20A5">
              <w:rPr>
                <w:rFonts w:cstheme="minorHAnsi"/>
                <w:b/>
                <w:bCs/>
                <w:rtl w:val="0"/>
                <w:cs w:val="0"/>
              </w:rPr>
              <w:t>Categories covered</w:t>
            </w:r>
            <w:r w:rsidRPr="00DE20A5">
              <w:rPr>
                <w:rFonts w:cs="Calibri"/>
                <w:b/>
                <w:bCs/>
                <w:cs w:val="0"/>
              </w:rPr>
              <w:t>:</w:t>
            </w:r>
          </w:p>
          <w:p w14:paraId="77263D4A" w14:textId="4D39A7EE" w:rsidR="00C05AE9" w:rsidRPr="00C05AE9" w:rsidRDefault="00C05AE9" w:rsidP="00C82FBE">
            <w:pPr>
              <w:bidi w:val="0"/>
              <w:spacing w:before="60" w:line="264" w:lineRule="auto"/>
              <w:rPr>
                <w:rFonts w:cstheme="minorHAnsi"/>
                <w:cs w:val="0"/>
              </w:rPr>
            </w:pPr>
            <w:r w:rsidRPr="00C05AE9">
              <w:rPr>
                <w:rFonts w:cstheme="minorHAnsi"/>
                <w:rtl w:val="0"/>
                <w:cs w:val="0"/>
              </w:rPr>
              <w:t xml:space="preserve">Category 1.B. “Fugitive emissions from fuels” is currently not covered by Israel’s NDC. However, this category is to be included in Israel’s </w:t>
            </w:r>
            <w:r w:rsidR="00A51BF8">
              <w:rPr>
                <w:rFonts w:cstheme="minorHAnsi"/>
                <w:rtl w:val="0"/>
                <w:cs w:val="0"/>
              </w:rPr>
              <w:t>N</w:t>
            </w:r>
            <w:r w:rsidRPr="00C05AE9">
              <w:rPr>
                <w:rFonts w:cstheme="minorHAnsi"/>
                <w:rtl w:val="0"/>
                <w:cs w:val="0"/>
              </w:rPr>
              <w:t xml:space="preserve">ational GHG </w:t>
            </w:r>
            <w:r w:rsidR="00A51BF8">
              <w:rPr>
                <w:rFonts w:cstheme="minorHAnsi"/>
                <w:rtl w:val="0"/>
                <w:cs w:val="0"/>
              </w:rPr>
              <w:t>I</w:t>
            </w:r>
            <w:r w:rsidRPr="00C05AE9">
              <w:rPr>
                <w:rFonts w:cstheme="minorHAnsi"/>
                <w:rtl w:val="0"/>
                <w:cs w:val="0"/>
              </w:rPr>
              <w:t xml:space="preserve">nventory in the future (see below, </w:t>
            </w:r>
            <w:r w:rsidR="00A51BF8">
              <w:rPr>
                <w:rFonts w:cstheme="minorHAnsi"/>
                <w:rtl w:val="0"/>
                <w:cs w:val="0"/>
              </w:rPr>
              <w:t>section</w:t>
            </w:r>
            <w:r w:rsidRPr="00C05AE9">
              <w:rPr>
                <w:rFonts w:cstheme="minorHAnsi"/>
                <w:rtl w:val="0"/>
                <w:cs w:val="0"/>
              </w:rPr>
              <w:t xml:space="preserve"> 3</w:t>
            </w:r>
            <w:r w:rsidR="00C82FBE">
              <w:rPr>
                <w:rFonts w:cstheme="minorHAnsi"/>
                <w:rtl w:val="0"/>
                <w:cs w:val="0"/>
              </w:rPr>
              <w:t>(c).</w:t>
            </w:r>
          </w:p>
          <w:p w14:paraId="110A33CD" w14:textId="2BE05FE8" w:rsidR="00C05AE9" w:rsidRPr="00C05AE9" w:rsidRDefault="00C05AE9" w:rsidP="00AB6D3A">
            <w:pPr>
              <w:bidi w:val="0"/>
              <w:spacing w:before="60" w:line="264" w:lineRule="auto"/>
              <w:rPr>
                <w:rFonts w:cstheme="minorHAnsi"/>
                <w:cs w:val="0"/>
              </w:rPr>
            </w:pPr>
            <w:r w:rsidRPr="00C05AE9">
              <w:rPr>
                <w:rFonts w:cstheme="minorHAnsi"/>
                <w:rtl w:val="0"/>
                <w:cs w:val="0"/>
              </w:rPr>
              <w:t>Initial estimates are that fugitive emissions constitute between 0.</w:t>
            </w:r>
            <w:r>
              <w:rPr>
                <w:rFonts w:cstheme="minorHAnsi"/>
                <w:rtl w:val="0"/>
                <w:cs w:val="0"/>
              </w:rPr>
              <w:t>1</w:t>
            </w:r>
            <w:r w:rsidRPr="00C05AE9">
              <w:rPr>
                <w:rFonts w:cstheme="minorHAnsi"/>
                <w:rtl w:val="0"/>
                <w:cs w:val="0"/>
              </w:rPr>
              <w:t xml:space="preserve">% to </w:t>
            </w:r>
            <w:r>
              <w:rPr>
                <w:rFonts w:cstheme="minorHAnsi"/>
                <w:rtl w:val="0"/>
                <w:cs w:val="0"/>
              </w:rPr>
              <w:t>0.8</w:t>
            </w:r>
            <w:r w:rsidRPr="00C05AE9">
              <w:rPr>
                <w:rFonts w:cstheme="minorHAnsi"/>
                <w:rtl w:val="0"/>
                <w:cs w:val="0"/>
              </w:rPr>
              <w:t>% of Israel’s total GHG emissions</w:t>
            </w:r>
            <w:r w:rsidRPr="00C05AE9">
              <w:rPr>
                <w:rFonts w:cs="Calibri"/>
                <w:cs w:val="0"/>
              </w:rPr>
              <w:t xml:space="preserve">. </w:t>
            </w:r>
          </w:p>
          <w:p w14:paraId="4F71F2F3" w14:textId="77777777" w:rsidR="00C05AE9" w:rsidRPr="00C05AE9" w:rsidRDefault="00C05AE9" w:rsidP="00AB6D3A">
            <w:pPr>
              <w:bidi w:val="0"/>
              <w:spacing w:before="60" w:line="264" w:lineRule="auto"/>
              <w:rPr>
                <w:rFonts w:cstheme="minorHAnsi"/>
                <w:cs w:val="0"/>
              </w:rPr>
            </w:pPr>
          </w:p>
          <w:p w14:paraId="62B0F19D" w14:textId="77777777" w:rsidR="00EA0698" w:rsidRPr="00C05AE9" w:rsidRDefault="00EA0698" w:rsidP="00EA0698">
            <w:pPr>
              <w:bidi w:val="0"/>
              <w:spacing w:before="60" w:line="264" w:lineRule="auto"/>
              <w:rPr>
                <w:rFonts w:cstheme="minorHAnsi"/>
                <w:cs w:val="0"/>
              </w:rPr>
            </w:pPr>
            <w:r>
              <w:rPr>
                <w:rFonts w:cstheme="minorHAnsi"/>
                <w:rtl w:val="0"/>
                <w:cs w:val="0"/>
              </w:rPr>
              <w:t xml:space="preserve">LULUCF pools are negligible in Israel. </w:t>
            </w:r>
          </w:p>
          <w:p w14:paraId="393211D7" w14:textId="77777777" w:rsidR="00EA0698" w:rsidRPr="00C05AE9" w:rsidRDefault="00EA0698" w:rsidP="00EA0698">
            <w:pPr>
              <w:bidi w:val="0"/>
              <w:spacing w:before="60" w:line="264" w:lineRule="auto"/>
              <w:rPr>
                <w:rFonts w:cstheme="minorHAnsi"/>
                <w:cs w:val="0"/>
              </w:rPr>
            </w:pPr>
          </w:p>
          <w:p w14:paraId="72020C4E" w14:textId="2A209D28" w:rsidR="00C05AE9" w:rsidRDefault="00C05AE9" w:rsidP="00AB6D3A">
            <w:pPr>
              <w:bidi w:val="0"/>
              <w:spacing w:before="60" w:line="264" w:lineRule="auto"/>
              <w:rPr>
                <w:rFonts w:cstheme="minorHAnsi"/>
                <w:highlight w:val="yellow"/>
                <w:rtl w:val="0"/>
                <w:cs w:val="0"/>
              </w:rPr>
            </w:pPr>
            <w:r w:rsidRPr="00C05AE9">
              <w:rPr>
                <w:rFonts w:cstheme="minorHAnsi"/>
                <w:rtl w:val="0"/>
                <w:cs w:val="0"/>
              </w:rPr>
              <w:t>The sectors, gases, categories and pools covered by Israel's NDC are based on the revised 1996 Intergovernmental Panel on Climate Change (IPCC) Guidelines for National Greenhouse Gas Inventories, the 2006 IPCC Guidelines for National GHG Inventories and the Global Warming Potential (GWP) values from the IPCC Second Assessment Report (1995).</w:t>
            </w:r>
          </w:p>
          <w:p w14:paraId="44CE5FE6" w14:textId="548AF5BC" w:rsidR="006A75A2" w:rsidRPr="00DE20A5" w:rsidRDefault="006A75A2" w:rsidP="006A75A2">
            <w:pPr>
              <w:bidi w:val="0"/>
              <w:spacing w:before="60" w:line="264" w:lineRule="auto"/>
              <w:rPr>
                <w:rFonts w:cstheme="minorHAnsi"/>
                <w:highlight w:val="yellow"/>
                <w:rtl w:val="0"/>
                <w:cs w:val="0"/>
              </w:rPr>
            </w:pPr>
          </w:p>
        </w:tc>
        <w:tc>
          <w:tcPr>
            <w:tcW w:w="1308" w:type="pct"/>
            <w:shd w:val="clear" w:color="auto" w:fill="FFFFFF" w:themeFill="background1"/>
          </w:tcPr>
          <w:p w14:paraId="3C41D9DD" w14:textId="6984C217" w:rsidR="00C05AE9" w:rsidRPr="00CB7CEF" w:rsidRDefault="00C05AE9" w:rsidP="00AB6D3A">
            <w:pPr>
              <w:pStyle w:val="DecimalAligned"/>
              <w:bidi w:val="0"/>
              <w:spacing w:before="60" w:after="0" w:line="264" w:lineRule="auto"/>
              <w:rPr>
                <w:rFonts w:ascii="Times New Roman" w:hAnsi="Times New Roman"/>
                <w:color w:val="000000"/>
                <w:sz w:val="20"/>
                <w:szCs w:val="20"/>
              </w:rPr>
            </w:pPr>
            <w:r w:rsidRPr="00CB7CEF">
              <w:rPr>
                <w:rFonts w:ascii="Times New Roman" w:hAnsi="Times New Roman"/>
                <w:color w:val="000000"/>
                <w:sz w:val="20"/>
                <w:szCs w:val="20"/>
              </w:rPr>
              <w:t>Sectors, gases, categories and pools covered by the nationally determined contribution, including, as applicable, consistent with Intergovernmental Panel on Climate Change (IPCC) guidelines;</w:t>
            </w:r>
          </w:p>
        </w:tc>
        <w:tc>
          <w:tcPr>
            <w:tcW w:w="348" w:type="pct"/>
            <w:shd w:val="clear" w:color="auto" w:fill="FFFFFF" w:themeFill="background1"/>
          </w:tcPr>
          <w:p w14:paraId="454FCEEC" w14:textId="77777777" w:rsidR="00C05AE9" w:rsidRPr="00CB7CEF" w:rsidRDefault="00C05AE9" w:rsidP="00AB6D3A">
            <w:pPr>
              <w:pStyle w:val="DecimalAligned"/>
              <w:numPr>
                <w:ilvl w:val="0"/>
                <w:numId w:val="14"/>
              </w:numPr>
              <w:bidi w:val="0"/>
              <w:spacing w:before="60" w:after="0" w:line="264" w:lineRule="auto"/>
            </w:pPr>
          </w:p>
        </w:tc>
      </w:tr>
      <w:tr w:rsidR="005B5013" w:rsidRPr="00CB7CEF" w14:paraId="3996F0AC" w14:textId="77777777" w:rsidTr="00CB7CEF">
        <w:trPr>
          <w:trHeight w:val="80"/>
        </w:trPr>
        <w:tc>
          <w:tcPr>
            <w:tcW w:w="3344" w:type="pct"/>
            <w:shd w:val="clear" w:color="auto" w:fill="FFFFFF" w:themeFill="background1"/>
            <w:noWrap/>
          </w:tcPr>
          <w:p w14:paraId="542F05B1" w14:textId="1985C071" w:rsidR="00902F04" w:rsidRDefault="00902F04" w:rsidP="00AB6D3A">
            <w:pPr>
              <w:bidi w:val="0"/>
              <w:spacing w:before="60" w:line="264" w:lineRule="auto"/>
              <w:rPr>
                <w:rFonts w:cstheme="minorHAnsi"/>
                <w:rtl w:val="0"/>
                <w:cs w:val="0"/>
              </w:rPr>
            </w:pPr>
            <w:r w:rsidRPr="006A75A2">
              <w:rPr>
                <w:rFonts w:cstheme="minorHAnsi"/>
                <w:rtl w:val="0"/>
                <w:cs w:val="0"/>
              </w:rPr>
              <w:t xml:space="preserve">Category 1.B. “Fugitive emissions from </w:t>
            </w:r>
            <w:r w:rsidR="0052282F" w:rsidRPr="006A75A2">
              <w:rPr>
                <w:rFonts w:cstheme="minorHAnsi"/>
                <w:rtl w:val="0"/>
                <w:cs w:val="0"/>
              </w:rPr>
              <w:t>f</w:t>
            </w:r>
            <w:r w:rsidRPr="006A75A2">
              <w:rPr>
                <w:rFonts w:cstheme="minorHAnsi"/>
                <w:rtl w:val="0"/>
                <w:cs w:val="0"/>
              </w:rPr>
              <w:t xml:space="preserve">uels” have not been included in past Israel’s </w:t>
            </w:r>
            <w:r w:rsidR="00EA0698">
              <w:rPr>
                <w:rFonts w:cstheme="minorHAnsi"/>
                <w:rtl w:val="0"/>
                <w:cs w:val="0"/>
              </w:rPr>
              <w:t>I</w:t>
            </w:r>
            <w:r w:rsidRPr="006A75A2">
              <w:rPr>
                <w:rFonts w:cstheme="minorHAnsi"/>
                <w:rtl w:val="0"/>
                <w:cs w:val="0"/>
              </w:rPr>
              <w:t xml:space="preserve">nventories but </w:t>
            </w:r>
            <w:r w:rsidR="00C82FBE">
              <w:rPr>
                <w:rFonts w:cstheme="minorHAnsi"/>
                <w:rtl w:val="0"/>
                <w:cs w:val="0"/>
              </w:rPr>
              <w:t>will</w:t>
            </w:r>
            <w:r w:rsidRPr="006A75A2">
              <w:rPr>
                <w:rFonts w:cstheme="minorHAnsi"/>
                <w:rtl w:val="0"/>
                <w:cs w:val="0"/>
              </w:rPr>
              <w:t xml:space="preserve"> be included in future inventories, starting with </w:t>
            </w:r>
            <w:r w:rsidR="00EA0698">
              <w:rPr>
                <w:rFonts w:cstheme="minorHAnsi"/>
                <w:rtl w:val="0"/>
                <w:cs w:val="0"/>
              </w:rPr>
              <w:t xml:space="preserve">the report for </w:t>
            </w:r>
            <w:r w:rsidR="00C03E6D">
              <w:rPr>
                <w:rFonts w:cstheme="minorHAnsi"/>
                <w:rtl w:val="0"/>
                <w:cs w:val="0"/>
              </w:rPr>
              <w:t xml:space="preserve">the </w:t>
            </w:r>
            <w:r w:rsidR="00EA0698">
              <w:rPr>
                <w:rFonts w:cstheme="minorHAnsi"/>
                <w:rtl w:val="0"/>
                <w:cs w:val="0"/>
              </w:rPr>
              <w:t>2020</w:t>
            </w:r>
            <w:r w:rsidR="00C03E6D">
              <w:rPr>
                <w:rFonts w:cstheme="minorHAnsi"/>
                <w:rtl w:val="0"/>
                <w:cs w:val="0"/>
              </w:rPr>
              <w:t xml:space="preserve"> inventory year</w:t>
            </w:r>
            <w:r w:rsidRPr="006A75A2">
              <w:rPr>
                <w:rFonts w:cstheme="minorHAnsi"/>
                <w:rtl w:val="0"/>
                <w:cs w:val="0"/>
              </w:rPr>
              <w:t>. Previous figures will be revised to include this category</w:t>
            </w:r>
            <w:r w:rsidR="00C05AE9" w:rsidRPr="006A75A2">
              <w:rPr>
                <w:rFonts w:cstheme="minorHAnsi"/>
                <w:rtl w:val="0"/>
                <w:cs w:val="0"/>
              </w:rPr>
              <w:t xml:space="preserve"> as well</w:t>
            </w:r>
            <w:r w:rsidRPr="006A75A2">
              <w:rPr>
                <w:rFonts w:cstheme="minorHAnsi"/>
                <w:rtl w:val="0"/>
                <w:cs w:val="0"/>
              </w:rPr>
              <w:t>.</w:t>
            </w:r>
            <w:r w:rsidRPr="00CB7CEF">
              <w:rPr>
                <w:rFonts w:cstheme="minorHAnsi"/>
                <w:rtl w:val="0"/>
                <w:cs w:val="0"/>
              </w:rPr>
              <w:t xml:space="preserve"> </w:t>
            </w:r>
          </w:p>
          <w:p w14:paraId="662919C7" w14:textId="273606C6" w:rsidR="001B5725" w:rsidRPr="00CB7CEF" w:rsidRDefault="001B5725" w:rsidP="001B5725">
            <w:pPr>
              <w:bidi w:val="0"/>
              <w:spacing w:before="60" w:line="264" w:lineRule="auto"/>
              <w:rPr>
                <w:rFonts w:cstheme="minorHAnsi"/>
                <w:rtl w:val="0"/>
                <w:cs w:val="0"/>
              </w:rPr>
            </w:pPr>
            <w:r w:rsidRPr="001B5725">
              <w:rPr>
                <w:rFonts w:cstheme="minorHAnsi"/>
                <w:rtl w:val="0"/>
                <w:cs w:val="0"/>
              </w:rPr>
              <w:t>Otherwise, all relevant</w:t>
            </w:r>
            <w:r>
              <w:rPr>
                <w:rFonts w:cstheme="minorHAnsi"/>
                <w:rtl w:val="0"/>
                <w:cs w:val="0"/>
              </w:rPr>
              <w:t xml:space="preserve"> </w:t>
            </w:r>
            <w:r w:rsidRPr="001B5725">
              <w:rPr>
                <w:rFonts w:cstheme="minorHAnsi"/>
                <w:rtl w:val="0"/>
                <w:cs w:val="0"/>
              </w:rPr>
              <w:t>categories of anthropogenic emissions or removals are included and will continue to be included.</w:t>
            </w:r>
          </w:p>
          <w:p w14:paraId="56981755" w14:textId="6B11DC1C" w:rsidR="00BE74AD" w:rsidRPr="00CB7CEF" w:rsidRDefault="00BE74AD" w:rsidP="00AB6D3A">
            <w:pPr>
              <w:bidi w:val="0"/>
              <w:spacing w:before="60" w:line="264" w:lineRule="auto"/>
              <w:rPr>
                <w:rFonts w:cstheme="minorHAnsi"/>
                <w:cs w:val="0"/>
              </w:rPr>
            </w:pPr>
          </w:p>
        </w:tc>
        <w:tc>
          <w:tcPr>
            <w:tcW w:w="1308" w:type="pct"/>
            <w:shd w:val="clear" w:color="auto" w:fill="FFFFFF" w:themeFill="background1"/>
          </w:tcPr>
          <w:p w14:paraId="23C3F17F" w14:textId="2809C530" w:rsidR="004D04E9" w:rsidRPr="00CB7CEF" w:rsidRDefault="0013303F" w:rsidP="00AB6D3A">
            <w:pPr>
              <w:pStyle w:val="DecimalAligned"/>
              <w:bidi w:val="0"/>
              <w:spacing w:before="60" w:after="0" w:line="264" w:lineRule="auto"/>
              <w:rPr>
                <w:rFonts w:ascii="Times New Roman" w:hAnsi="Times New Roman"/>
                <w:b/>
                <w:bCs/>
                <w:color w:val="000000"/>
                <w:sz w:val="20"/>
                <w:szCs w:val="20"/>
              </w:rPr>
            </w:pPr>
            <w:r w:rsidRPr="00CB7CEF">
              <w:rPr>
                <w:rFonts w:ascii="Times New Roman" w:hAnsi="Times New Roman"/>
                <w:color w:val="000000"/>
                <w:sz w:val="20"/>
                <w:szCs w:val="20"/>
              </w:rPr>
              <w:t>How the Party has taken into consideration paragraph 31(c) and (d) of decision 1/CP.21;</w:t>
            </w:r>
          </w:p>
        </w:tc>
        <w:tc>
          <w:tcPr>
            <w:tcW w:w="348" w:type="pct"/>
            <w:shd w:val="clear" w:color="auto" w:fill="FFFFFF" w:themeFill="background1"/>
          </w:tcPr>
          <w:p w14:paraId="2F1451E8" w14:textId="77777777" w:rsidR="004D04E9" w:rsidRPr="00CB7CEF" w:rsidRDefault="004D04E9" w:rsidP="00AB6D3A">
            <w:pPr>
              <w:pStyle w:val="DecimalAligned"/>
              <w:numPr>
                <w:ilvl w:val="0"/>
                <w:numId w:val="14"/>
              </w:numPr>
              <w:bidi w:val="0"/>
              <w:spacing w:before="60" w:after="0" w:line="264" w:lineRule="auto"/>
            </w:pPr>
          </w:p>
        </w:tc>
      </w:tr>
      <w:tr w:rsidR="001B5725" w:rsidRPr="00CB7CEF" w14:paraId="35A53618" w14:textId="77777777" w:rsidTr="00CB7CEF">
        <w:trPr>
          <w:trHeight w:val="80"/>
        </w:trPr>
        <w:tc>
          <w:tcPr>
            <w:tcW w:w="3344" w:type="pct"/>
            <w:shd w:val="clear" w:color="auto" w:fill="FFFFFF" w:themeFill="background1"/>
            <w:noWrap/>
          </w:tcPr>
          <w:p w14:paraId="21B4E2C1" w14:textId="03744423" w:rsidR="001B5725" w:rsidRPr="00CB7CEF" w:rsidRDefault="001B5725" w:rsidP="001B5725">
            <w:pPr>
              <w:spacing w:before="60" w:line="264" w:lineRule="auto"/>
              <w:jc w:val="right"/>
              <w:rPr>
                <w:rFonts w:cstheme="minorHAnsi"/>
                <w:cs w:val="0"/>
              </w:rPr>
            </w:pPr>
            <w:r w:rsidRPr="001B5725">
              <w:rPr>
                <w:rFonts w:cstheme="minorHAnsi"/>
                <w:rtl w:val="0"/>
                <w:cs w:val="0"/>
              </w:rPr>
              <w:t xml:space="preserve">Not </w:t>
            </w:r>
            <w:r w:rsidR="00223780">
              <w:rPr>
                <w:rFonts w:cstheme="minorHAnsi"/>
                <w:rtl w:val="0"/>
                <w:cs w:val="0"/>
              </w:rPr>
              <w:t>a</w:t>
            </w:r>
            <w:r w:rsidRPr="001B5725">
              <w:rPr>
                <w:rFonts w:cstheme="minorHAnsi"/>
                <w:rtl w:val="0"/>
                <w:cs w:val="0"/>
              </w:rPr>
              <w:t>pplicable</w:t>
            </w:r>
            <w:r>
              <w:rPr>
                <w:rFonts w:cstheme="minorHAnsi"/>
                <w:rtl w:val="0"/>
                <w:cs w:val="0"/>
              </w:rPr>
              <w:t>.</w:t>
            </w:r>
          </w:p>
        </w:tc>
        <w:tc>
          <w:tcPr>
            <w:tcW w:w="1308" w:type="pct"/>
            <w:shd w:val="clear" w:color="auto" w:fill="FFFFFF" w:themeFill="background1"/>
          </w:tcPr>
          <w:p w14:paraId="336BC2BB" w14:textId="77777777" w:rsidR="001B5725" w:rsidRPr="00CB7CEF" w:rsidRDefault="001B5725" w:rsidP="001B5725">
            <w:pPr>
              <w:pStyle w:val="DecimalAligned"/>
              <w:bidi w:val="0"/>
              <w:spacing w:before="60" w:after="0" w:line="264" w:lineRule="auto"/>
              <w:rPr>
                <w:rFonts w:ascii="Times New Roman" w:hAnsi="Times New Roman"/>
                <w:b/>
                <w:bCs/>
                <w:color w:val="000000"/>
                <w:sz w:val="20"/>
                <w:szCs w:val="20"/>
              </w:rPr>
            </w:pPr>
            <w:r w:rsidRPr="00CB7CEF">
              <w:rPr>
                <w:rFonts w:ascii="Times New Roman" w:hAnsi="Times New Roman"/>
                <w:color w:val="000000"/>
                <w:sz w:val="20"/>
                <w:szCs w:val="20"/>
              </w:rPr>
              <w:t>Mitigation co-benefits resulting from Parties’ adaptation actions and/or economic diversification plans, including description of specific projects, measures and initiatives of Parties’ adaptation actions and/or economic diversification plans</w:t>
            </w:r>
          </w:p>
        </w:tc>
        <w:tc>
          <w:tcPr>
            <w:tcW w:w="348" w:type="pct"/>
            <w:shd w:val="clear" w:color="auto" w:fill="FFFFFF" w:themeFill="background1"/>
          </w:tcPr>
          <w:p w14:paraId="481A57C0" w14:textId="77777777" w:rsidR="001B5725" w:rsidRPr="00CB7CEF" w:rsidRDefault="001B5725" w:rsidP="001B5725">
            <w:pPr>
              <w:pStyle w:val="DecimalAligned"/>
              <w:numPr>
                <w:ilvl w:val="0"/>
                <w:numId w:val="14"/>
              </w:numPr>
              <w:bidi w:val="0"/>
              <w:spacing w:before="60" w:after="0" w:line="264" w:lineRule="auto"/>
            </w:pPr>
          </w:p>
        </w:tc>
      </w:tr>
      <w:tr w:rsidR="001B5725" w:rsidRPr="00CB7CEF" w14:paraId="1F796AD6" w14:textId="77777777" w:rsidTr="00CB7CEF">
        <w:trPr>
          <w:trHeight w:val="80"/>
        </w:trPr>
        <w:tc>
          <w:tcPr>
            <w:tcW w:w="3344" w:type="pct"/>
            <w:shd w:val="clear" w:color="auto" w:fill="5B9BD5" w:themeFill="accent1"/>
            <w:noWrap/>
          </w:tcPr>
          <w:p w14:paraId="1E190C4A" w14:textId="77777777" w:rsidR="001B5725" w:rsidRPr="00CB7CEF" w:rsidRDefault="001B5725" w:rsidP="001B5725">
            <w:pPr>
              <w:bidi w:val="0"/>
              <w:spacing w:before="60" w:line="264" w:lineRule="auto"/>
              <w:rPr>
                <w:rFonts w:cstheme="minorHAnsi"/>
                <w:cs w:val="0"/>
              </w:rPr>
            </w:pPr>
          </w:p>
        </w:tc>
        <w:tc>
          <w:tcPr>
            <w:tcW w:w="1308" w:type="pct"/>
            <w:shd w:val="clear" w:color="auto" w:fill="5B9BD5" w:themeFill="accent1"/>
          </w:tcPr>
          <w:p w14:paraId="41F936FE" w14:textId="77777777" w:rsidR="001B5725" w:rsidRPr="00CB7CEF" w:rsidRDefault="001B5725" w:rsidP="001B5725">
            <w:pPr>
              <w:pStyle w:val="DecimalAligned"/>
              <w:bidi w:val="0"/>
              <w:spacing w:before="60" w:after="0" w:line="264" w:lineRule="auto"/>
              <w:rPr>
                <w:rFonts w:ascii="Times New Roman" w:hAnsi="Times New Roman"/>
                <w:b/>
                <w:bCs/>
                <w:color w:val="000000"/>
                <w:sz w:val="20"/>
                <w:szCs w:val="20"/>
              </w:rPr>
            </w:pPr>
            <w:r w:rsidRPr="00CB7CEF">
              <w:rPr>
                <w:rFonts w:ascii="Times New Roman" w:hAnsi="Times New Roman"/>
                <w:b/>
                <w:bCs/>
                <w:color w:val="000000"/>
                <w:sz w:val="20"/>
                <w:szCs w:val="20"/>
              </w:rPr>
              <w:t xml:space="preserve">Planning process  </w:t>
            </w:r>
          </w:p>
        </w:tc>
        <w:tc>
          <w:tcPr>
            <w:tcW w:w="348" w:type="pct"/>
            <w:shd w:val="clear" w:color="auto" w:fill="5B9BD5" w:themeFill="accent1"/>
          </w:tcPr>
          <w:p w14:paraId="10BF8C63" w14:textId="77777777" w:rsidR="001B5725" w:rsidRPr="00CB7CEF" w:rsidRDefault="001B5725" w:rsidP="001B5725">
            <w:pPr>
              <w:pStyle w:val="DecimalAligned"/>
              <w:bidi w:val="0"/>
              <w:spacing w:before="60" w:after="0" w:line="264" w:lineRule="auto"/>
              <w:ind w:left="360"/>
            </w:pPr>
            <w:r w:rsidRPr="00CB7CEF">
              <w:t xml:space="preserve">4. </w:t>
            </w:r>
          </w:p>
        </w:tc>
      </w:tr>
      <w:tr w:rsidR="001B5725" w:rsidRPr="00CB7CEF" w14:paraId="7CA1D5E3" w14:textId="77777777" w:rsidTr="00814688">
        <w:trPr>
          <w:trHeight w:val="80"/>
        </w:trPr>
        <w:tc>
          <w:tcPr>
            <w:tcW w:w="3344" w:type="pct"/>
            <w:shd w:val="clear" w:color="auto" w:fill="FFFFFF" w:themeFill="background1"/>
            <w:noWrap/>
          </w:tcPr>
          <w:p w14:paraId="08E7EB73" w14:textId="7E264C97" w:rsidR="001B5725" w:rsidRPr="001B5725" w:rsidRDefault="001B5725" w:rsidP="001B5725">
            <w:pPr>
              <w:bidi w:val="0"/>
              <w:spacing w:before="60" w:line="264" w:lineRule="auto"/>
              <w:rPr>
                <w:rFonts w:cstheme="minorHAnsi"/>
                <w:b/>
                <w:bCs/>
                <w:cs w:val="0"/>
              </w:rPr>
            </w:pPr>
            <w:r w:rsidRPr="001B5725">
              <w:rPr>
                <w:rFonts w:cstheme="minorHAnsi"/>
                <w:b/>
                <w:bCs/>
                <w:rtl w:val="0"/>
                <w:cs w:val="0"/>
              </w:rPr>
              <w:t xml:space="preserve">NDC update and </w:t>
            </w:r>
            <w:r w:rsidR="00025E00">
              <w:rPr>
                <w:rFonts w:cstheme="minorHAnsi"/>
                <w:b/>
                <w:bCs/>
                <w:rtl w:val="0"/>
                <w:cs w:val="0"/>
              </w:rPr>
              <w:t>Long-Term Low-Emission Development Strategy</w:t>
            </w:r>
          </w:p>
          <w:p w14:paraId="0FD29996" w14:textId="61222372" w:rsidR="003D6152" w:rsidRDefault="00025E00" w:rsidP="003D6152">
            <w:pPr>
              <w:bidi w:val="0"/>
              <w:spacing w:before="60" w:line="264" w:lineRule="auto"/>
              <w:jc w:val="both"/>
              <w:rPr>
                <w:rFonts w:cstheme="minorHAnsi"/>
                <w:rtl w:val="0"/>
                <w:cs w:val="0"/>
              </w:rPr>
            </w:pPr>
            <w:r>
              <w:rPr>
                <w:rFonts w:cstheme="minorHAnsi"/>
                <w:rtl w:val="0"/>
                <w:cs w:val="0"/>
              </w:rPr>
              <w:t>In early 2019, i</w:t>
            </w:r>
            <w:r w:rsidR="00A72654" w:rsidRPr="00A72654">
              <w:rPr>
                <w:rFonts w:cstheme="minorHAnsi"/>
                <w:rtl w:val="0"/>
                <w:cs w:val="0"/>
              </w:rPr>
              <w:t>n cooperation with the Israel Democracy Institute</w:t>
            </w:r>
            <w:r>
              <w:rPr>
                <w:rFonts w:cstheme="minorHAnsi"/>
                <w:rtl w:val="0"/>
                <w:cs w:val="0"/>
              </w:rPr>
              <w:t xml:space="preserve"> and the OECD</w:t>
            </w:r>
            <w:r w:rsidR="00A72654" w:rsidRPr="00A72654">
              <w:rPr>
                <w:rFonts w:cstheme="minorHAnsi"/>
                <w:rtl w:val="0"/>
                <w:cs w:val="0"/>
              </w:rPr>
              <w:t>,</w:t>
            </w:r>
            <w:r>
              <w:rPr>
                <w:rFonts w:cstheme="minorHAnsi"/>
                <w:rtl w:val="0"/>
                <w:cs w:val="0"/>
              </w:rPr>
              <w:t xml:space="preserve"> </w:t>
            </w:r>
            <w:r w:rsidR="00A72654" w:rsidRPr="00A72654">
              <w:rPr>
                <w:rFonts w:cstheme="minorHAnsi"/>
                <w:rtl w:val="0"/>
                <w:cs w:val="0"/>
              </w:rPr>
              <w:t xml:space="preserve">the </w:t>
            </w:r>
            <w:r w:rsidR="0054285D">
              <w:rPr>
                <w:rFonts w:cstheme="minorHAnsi"/>
                <w:rtl w:val="0"/>
                <w:cs w:val="0"/>
              </w:rPr>
              <w:t xml:space="preserve">Israeli government </w:t>
            </w:r>
            <w:r w:rsidR="00A72654" w:rsidRPr="00A72654">
              <w:rPr>
                <w:rFonts w:cstheme="minorHAnsi"/>
                <w:rtl w:val="0"/>
                <w:cs w:val="0"/>
              </w:rPr>
              <w:t xml:space="preserve">initiated a broad and collaborative multi-sector process for formulating </w:t>
            </w:r>
            <w:r>
              <w:rPr>
                <w:rFonts w:cstheme="minorHAnsi"/>
                <w:rtl w:val="0"/>
                <w:cs w:val="0"/>
              </w:rPr>
              <w:t>Israel’s Long-Term Low-</w:t>
            </w:r>
            <w:r w:rsidR="00A51BF8">
              <w:rPr>
                <w:rFonts w:cstheme="minorHAnsi"/>
                <w:rtl w:val="0"/>
                <w:cs w:val="0"/>
              </w:rPr>
              <w:t xml:space="preserve">GHG </w:t>
            </w:r>
            <w:r>
              <w:rPr>
                <w:rFonts w:cstheme="minorHAnsi"/>
                <w:rtl w:val="0"/>
                <w:cs w:val="0"/>
              </w:rPr>
              <w:t xml:space="preserve">Emission Development Strategy </w:t>
            </w:r>
            <w:r w:rsidR="00A72654" w:rsidRPr="00A72654">
              <w:rPr>
                <w:rFonts w:cstheme="minorHAnsi"/>
                <w:rtl w:val="0"/>
                <w:cs w:val="0"/>
              </w:rPr>
              <w:t>to transition to a prosperous and low-carbon economy by 2050.</w:t>
            </w:r>
            <w:r w:rsidR="003D6152">
              <w:rPr>
                <w:rFonts w:cstheme="minorHAnsi"/>
                <w:rtl w:val="0"/>
                <w:cs w:val="0"/>
              </w:rPr>
              <w:t xml:space="preserve"> </w:t>
            </w:r>
            <w:r w:rsidR="0054285D">
              <w:rPr>
                <w:rFonts w:cstheme="minorHAnsi"/>
                <w:rtl w:val="0"/>
                <w:cs w:val="0"/>
              </w:rPr>
              <w:t>Five</w:t>
            </w:r>
            <w:r w:rsidR="0054285D" w:rsidRPr="00A72654">
              <w:rPr>
                <w:rFonts w:cstheme="minorHAnsi"/>
                <w:rtl w:val="0"/>
                <w:cs w:val="0"/>
              </w:rPr>
              <w:t xml:space="preserve"> </w:t>
            </w:r>
            <w:r w:rsidR="003D6152" w:rsidRPr="00A72654">
              <w:rPr>
                <w:rFonts w:cstheme="minorHAnsi"/>
                <w:rtl w:val="0"/>
                <w:cs w:val="0"/>
              </w:rPr>
              <w:t xml:space="preserve">sectoral </w:t>
            </w:r>
            <w:r>
              <w:rPr>
                <w:rFonts w:cstheme="minorHAnsi"/>
                <w:rtl w:val="0"/>
                <w:cs w:val="0"/>
              </w:rPr>
              <w:t>working groups (power generation, transport, industry</w:t>
            </w:r>
            <w:r w:rsidR="0054285D">
              <w:rPr>
                <w:rFonts w:cstheme="minorHAnsi"/>
                <w:rtl w:val="0"/>
                <w:cs w:val="0"/>
              </w:rPr>
              <w:t>,</w:t>
            </w:r>
            <w:r>
              <w:rPr>
                <w:rFonts w:cstheme="minorHAnsi"/>
                <w:rtl w:val="0"/>
                <w:cs w:val="0"/>
              </w:rPr>
              <w:t xml:space="preserve"> waste, and cities and buildings) were established,</w:t>
            </w:r>
            <w:r w:rsidR="003D6152" w:rsidRPr="00A72654">
              <w:rPr>
                <w:rFonts w:cstheme="minorHAnsi"/>
                <w:rtl w:val="0"/>
                <w:cs w:val="0"/>
              </w:rPr>
              <w:t xml:space="preserve"> as well as a macroeconomic team and a social impacts team</w:t>
            </w:r>
            <w:r>
              <w:rPr>
                <w:rFonts w:cstheme="minorHAnsi"/>
                <w:rtl w:val="0"/>
                <w:cs w:val="0"/>
              </w:rPr>
              <w:t>, consisting of a broad range of relevant stakeholders</w:t>
            </w:r>
            <w:r w:rsidR="003D6152" w:rsidRPr="00A72654">
              <w:rPr>
                <w:rFonts w:cstheme="minorHAnsi"/>
                <w:rtl w:val="0"/>
                <w:cs w:val="0"/>
              </w:rPr>
              <w:t>.</w:t>
            </w:r>
          </w:p>
          <w:p w14:paraId="2E3AA62C" w14:textId="68FE733E" w:rsidR="001B5725" w:rsidRPr="00CB7CEF" w:rsidRDefault="001B5725" w:rsidP="00025E00">
            <w:pPr>
              <w:bidi w:val="0"/>
              <w:spacing w:before="60" w:line="264" w:lineRule="auto"/>
              <w:rPr>
                <w:rFonts w:cstheme="minorHAnsi"/>
                <w:rtl w:val="0"/>
                <w:cs w:val="0"/>
              </w:rPr>
            </w:pPr>
          </w:p>
        </w:tc>
        <w:tc>
          <w:tcPr>
            <w:tcW w:w="1308" w:type="pct"/>
            <w:shd w:val="clear" w:color="auto" w:fill="FFFFFF" w:themeFill="background1"/>
          </w:tcPr>
          <w:p w14:paraId="1B05A959" w14:textId="77777777" w:rsidR="001B5725" w:rsidRPr="00CB7CEF" w:rsidRDefault="001B5725" w:rsidP="001B5725">
            <w:pPr>
              <w:pStyle w:val="DecimalAligned"/>
              <w:bidi w:val="0"/>
              <w:spacing w:before="60" w:after="0" w:line="264" w:lineRule="auto"/>
              <w:rPr>
                <w:rFonts w:ascii="Times New Roman" w:hAnsi="Times New Roman"/>
                <w:b/>
                <w:bCs/>
                <w:color w:val="000000"/>
                <w:sz w:val="20"/>
                <w:szCs w:val="20"/>
              </w:rPr>
            </w:pPr>
            <w:r w:rsidRPr="00CB7CEF">
              <w:rPr>
                <w:rFonts w:ascii="Times New Roman" w:hAnsi="Times New Roman"/>
                <w:color w:val="000000"/>
                <w:sz w:val="20"/>
                <w:szCs w:val="20"/>
              </w:rPr>
              <w:t>Information on the planning processes that the Party undertook to prepare its nationally determined contribution and, if available, on the Party’s implementation plans, including, as appropriate:</w:t>
            </w:r>
          </w:p>
          <w:p w14:paraId="433E7A1F" w14:textId="1C08858E" w:rsidR="001B5725" w:rsidRPr="00CB7CEF" w:rsidRDefault="001B5725" w:rsidP="001B5725">
            <w:pPr>
              <w:pStyle w:val="DecimalAligned"/>
              <w:bidi w:val="0"/>
              <w:spacing w:before="60" w:after="0" w:line="264" w:lineRule="auto"/>
              <w:rPr>
                <w:rFonts w:ascii="Times New Roman" w:hAnsi="Times New Roman"/>
                <w:b/>
                <w:bCs/>
                <w:color w:val="000000"/>
                <w:sz w:val="20"/>
                <w:szCs w:val="20"/>
                <w:rtl/>
              </w:rPr>
            </w:pPr>
          </w:p>
        </w:tc>
        <w:tc>
          <w:tcPr>
            <w:tcW w:w="348" w:type="pct"/>
            <w:shd w:val="clear" w:color="auto" w:fill="FFFFFF" w:themeFill="background1"/>
          </w:tcPr>
          <w:p w14:paraId="4EDFD958" w14:textId="77777777" w:rsidR="001B5725" w:rsidRPr="00CB7CEF" w:rsidRDefault="001B5725" w:rsidP="001B5725">
            <w:pPr>
              <w:pStyle w:val="DecimalAligned"/>
              <w:numPr>
                <w:ilvl w:val="0"/>
                <w:numId w:val="15"/>
              </w:numPr>
              <w:bidi w:val="0"/>
              <w:spacing w:before="60" w:after="0" w:line="264" w:lineRule="auto"/>
            </w:pPr>
          </w:p>
        </w:tc>
      </w:tr>
      <w:tr w:rsidR="001B5725" w:rsidRPr="00CB7CEF" w14:paraId="2D69D0D1" w14:textId="77777777" w:rsidTr="00CB7CEF">
        <w:trPr>
          <w:trHeight w:val="80"/>
        </w:trPr>
        <w:tc>
          <w:tcPr>
            <w:tcW w:w="3344" w:type="pct"/>
            <w:shd w:val="clear" w:color="auto" w:fill="FFFFFF" w:themeFill="background1"/>
            <w:noWrap/>
          </w:tcPr>
          <w:p w14:paraId="16258356" w14:textId="08251A54" w:rsidR="0054285D" w:rsidRDefault="0054285D" w:rsidP="003D6152">
            <w:pPr>
              <w:bidi w:val="0"/>
              <w:spacing w:before="60" w:line="264" w:lineRule="auto"/>
              <w:rPr>
                <w:rFonts w:cstheme="minorHAnsi"/>
                <w:b/>
                <w:bCs/>
                <w:rtl w:val="0"/>
                <w:cs w:val="0"/>
              </w:rPr>
            </w:pPr>
            <w:r>
              <w:rPr>
                <w:rFonts w:cstheme="minorHAnsi"/>
                <w:rtl w:val="0"/>
                <w:cs w:val="0"/>
              </w:rPr>
              <w:t xml:space="preserve">A public consultation process was launched once the sectorial teams were established </w:t>
            </w:r>
            <w:r w:rsidR="00EF18CE">
              <w:rPr>
                <w:rFonts w:cstheme="minorHAnsi"/>
                <w:rtl w:val="0"/>
                <w:cs w:val="0"/>
              </w:rPr>
              <w:t xml:space="preserve">in the beginning of 2019. This consultation process </w:t>
            </w:r>
            <w:r>
              <w:rPr>
                <w:rFonts w:cstheme="minorHAnsi"/>
                <w:rtl w:val="0"/>
                <w:cs w:val="0"/>
              </w:rPr>
              <w:t xml:space="preserve">enabled </w:t>
            </w:r>
            <w:r w:rsidR="00EF18CE">
              <w:rPr>
                <w:rFonts w:cstheme="minorHAnsi"/>
                <w:rtl w:val="0"/>
                <w:cs w:val="0"/>
              </w:rPr>
              <w:t>a wide participation of the public in the on-going work of the sectorial teams. It resulted in the integration of i</w:t>
            </w:r>
            <w:r>
              <w:rPr>
                <w:rFonts w:cstheme="minorHAnsi"/>
                <w:rtl w:val="0"/>
                <w:cs w:val="0"/>
              </w:rPr>
              <w:t xml:space="preserve">nsights </w:t>
            </w:r>
            <w:r w:rsidR="00EF18CE">
              <w:rPr>
                <w:rFonts w:cstheme="minorHAnsi"/>
                <w:rtl w:val="0"/>
                <w:cs w:val="0"/>
              </w:rPr>
              <w:t xml:space="preserve">and comments by the public </w:t>
            </w:r>
            <w:r>
              <w:rPr>
                <w:rFonts w:cstheme="minorHAnsi"/>
                <w:rtl w:val="0"/>
                <w:cs w:val="0"/>
              </w:rPr>
              <w:t>within the work of the sectorial teams</w:t>
            </w:r>
            <w:r w:rsidR="00EF18CE">
              <w:rPr>
                <w:rFonts w:cstheme="minorHAnsi"/>
                <w:rtl w:val="0"/>
                <w:cs w:val="0"/>
              </w:rPr>
              <w:t>, and ultimately it</w:t>
            </w:r>
            <w:r>
              <w:rPr>
                <w:rFonts w:cstheme="minorHAnsi"/>
                <w:rtl w:val="0"/>
                <w:cs w:val="0"/>
              </w:rPr>
              <w:t xml:space="preserve"> </w:t>
            </w:r>
            <w:r w:rsidR="00EF18CE">
              <w:rPr>
                <w:rFonts w:cstheme="minorHAnsi"/>
                <w:rtl w:val="0"/>
                <w:cs w:val="0"/>
              </w:rPr>
              <w:t>facilitated</w:t>
            </w:r>
            <w:r>
              <w:rPr>
                <w:rFonts w:cstheme="minorHAnsi"/>
                <w:rtl w:val="0"/>
                <w:cs w:val="0"/>
              </w:rPr>
              <w:t xml:space="preserve"> </w:t>
            </w:r>
            <w:r w:rsidR="00EF18CE">
              <w:rPr>
                <w:rFonts w:cstheme="minorHAnsi"/>
                <w:rtl w:val="0"/>
                <w:cs w:val="0"/>
              </w:rPr>
              <w:t>a</w:t>
            </w:r>
            <w:r>
              <w:rPr>
                <w:rFonts w:cstheme="minorHAnsi"/>
                <w:rtl w:val="0"/>
                <w:cs w:val="0"/>
              </w:rPr>
              <w:t xml:space="preserve"> more holistic and inclusive strategy </w:t>
            </w:r>
            <w:r w:rsidRPr="001B5725">
              <w:rPr>
                <w:rFonts w:cstheme="minorHAnsi"/>
                <w:rtl w:val="0"/>
                <w:cs w:val="0"/>
              </w:rPr>
              <w:t xml:space="preserve">for a low-carbon </w:t>
            </w:r>
            <w:r>
              <w:rPr>
                <w:rFonts w:cstheme="minorHAnsi"/>
                <w:rtl w:val="0"/>
                <w:cs w:val="0"/>
              </w:rPr>
              <w:t>transition</w:t>
            </w:r>
            <w:r w:rsidRPr="001B5725">
              <w:rPr>
                <w:rFonts w:cstheme="minorHAnsi"/>
                <w:rtl w:val="0"/>
                <w:cs w:val="0"/>
              </w:rPr>
              <w:t>.</w:t>
            </w:r>
          </w:p>
          <w:p w14:paraId="6CA03818" w14:textId="270C18F0" w:rsidR="003D6152" w:rsidRPr="003D6152" w:rsidRDefault="00025E00" w:rsidP="0054285D">
            <w:pPr>
              <w:bidi w:val="0"/>
              <w:spacing w:before="60" w:line="264" w:lineRule="auto"/>
              <w:rPr>
                <w:rFonts w:cstheme="minorHAnsi"/>
                <w:b/>
                <w:bCs/>
                <w:cs w:val="0"/>
              </w:rPr>
            </w:pPr>
            <w:r>
              <w:rPr>
                <w:rFonts w:cstheme="minorHAnsi"/>
                <w:b/>
                <w:bCs/>
                <w:rtl w:val="0"/>
                <w:cs w:val="0"/>
              </w:rPr>
              <w:t>Inter-ministerial Steering Committee for GHG Emissions Reductions</w:t>
            </w:r>
          </w:p>
          <w:p w14:paraId="600740AF" w14:textId="515B491F" w:rsidR="003D6152" w:rsidRDefault="003D6152" w:rsidP="003D6152">
            <w:pPr>
              <w:bidi w:val="0"/>
              <w:spacing w:before="60" w:line="264" w:lineRule="auto"/>
              <w:jc w:val="both"/>
              <w:rPr>
                <w:rFonts w:cstheme="minorHAnsi"/>
                <w:rtl w:val="0"/>
                <w:cs w:val="0"/>
              </w:rPr>
            </w:pPr>
            <w:r>
              <w:rPr>
                <w:rFonts w:cstheme="minorHAnsi"/>
                <w:rtl w:val="0"/>
                <w:cs w:val="0"/>
              </w:rPr>
              <w:t>T</w:t>
            </w:r>
            <w:r w:rsidRPr="003D6152">
              <w:rPr>
                <w:rFonts w:cstheme="minorHAnsi"/>
                <w:rtl w:val="0"/>
                <w:cs w:val="0"/>
              </w:rPr>
              <w:t xml:space="preserve">he decision-making process going forward is supported by </w:t>
            </w:r>
            <w:r w:rsidR="00EF18CE">
              <w:rPr>
                <w:rFonts w:cstheme="minorHAnsi"/>
                <w:rtl w:val="0"/>
                <w:cs w:val="0"/>
              </w:rPr>
              <w:t>an</w:t>
            </w:r>
            <w:r w:rsidR="00EF18CE" w:rsidRPr="003D6152">
              <w:rPr>
                <w:rFonts w:cstheme="minorHAnsi"/>
                <w:rtl w:val="0"/>
                <w:cs w:val="0"/>
              </w:rPr>
              <w:t xml:space="preserve"> </w:t>
            </w:r>
            <w:r w:rsidRPr="003D6152">
              <w:rPr>
                <w:rFonts w:cstheme="minorHAnsi"/>
                <w:rtl w:val="0"/>
                <w:cs w:val="0"/>
              </w:rPr>
              <w:t xml:space="preserve">Inter-ministerial Steering Committee for GHG Emissions Reductions, which consists of representatives from all relevant government ministries and </w:t>
            </w:r>
            <w:r w:rsidR="00EF18CE">
              <w:rPr>
                <w:rFonts w:cstheme="minorHAnsi"/>
                <w:rtl w:val="0"/>
                <w:cs w:val="0"/>
              </w:rPr>
              <w:t>other relevant stakeholders</w:t>
            </w:r>
            <w:r w:rsidRPr="003D6152">
              <w:rPr>
                <w:rFonts w:cstheme="minorHAnsi"/>
                <w:rtl w:val="0"/>
                <w:cs w:val="0"/>
              </w:rPr>
              <w:t>. The Steering Committee submits an annual report to the government evaluating the effectiveness of government measures to reduce emission</w:t>
            </w:r>
            <w:r w:rsidR="003C6CE5">
              <w:rPr>
                <w:rFonts w:cstheme="minorHAnsi"/>
                <w:rtl w:val="0"/>
                <w:cs w:val="0"/>
              </w:rPr>
              <w:t>s,</w:t>
            </w:r>
            <w:r w:rsidRPr="003D6152">
              <w:rPr>
                <w:rFonts w:cstheme="minorHAnsi"/>
                <w:rtl w:val="0"/>
                <w:cs w:val="0"/>
              </w:rPr>
              <w:t xml:space="preserve"> the progress towards meeting national GHG emission reduction targets and supporting targets</w:t>
            </w:r>
            <w:r w:rsidR="00C82FBE">
              <w:rPr>
                <w:rFonts w:cstheme="minorHAnsi"/>
                <w:rtl w:val="0"/>
                <w:cs w:val="0"/>
              </w:rPr>
              <w:t xml:space="preserve"> </w:t>
            </w:r>
            <w:r w:rsidRPr="003D6152">
              <w:rPr>
                <w:rFonts w:cstheme="minorHAnsi"/>
                <w:rtl w:val="0"/>
                <w:cs w:val="0"/>
              </w:rPr>
              <w:t>and recommend</w:t>
            </w:r>
            <w:r w:rsidR="00C82FBE">
              <w:rPr>
                <w:rFonts w:cstheme="minorHAnsi"/>
                <w:rtl w:val="0"/>
                <w:cs w:val="0"/>
              </w:rPr>
              <w:t>s</w:t>
            </w:r>
            <w:r w:rsidRPr="003D6152">
              <w:rPr>
                <w:rFonts w:cstheme="minorHAnsi"/>
                <w:rtl w:val="0"/>
                <w:cs w:val="0"/>
              </w:rPr>
              <w:t xml:space="preserve"> additional measures as needed.</w:t>
            </w:r>
          </w:p>
          <w:p w14:paraId="1DB7CC38" w14:textId="2F223612" w:rsidR="003D6152" w:rsidRDefault="003D6152" w:rsidP="003D6152">
            <w:pPr>
              <w:bidi w:val="0"/>
              <w:spacing w:before="60" w:line="264" w:lineRule="auto"/>
              <w:jc w:val="both"/>
              <w:rPr>
                <w:rFonts w:cstheme="minorHAnsi"/>
                <w:rtl w:val="0"/>
                <w:cs w:val="0"/>
              </w:rPr>
            </w:pPr>
          </w:p>
          <w:p w14:paraId="47DFD7B1" w14:textId="5B6D0FA5" w:rsidR="003D6152" w:rsidRPr="003D6152" w:rsidRDefault="003D6152" w:rsidP="003D6152">
            <w:pPr>
              <w:bidi w:val="0"/>
              <w:spacing w:before="60" w:line="264" w:lineRule="auto"/>
              <w:rPr>
                <w:rFonts w:cstheme="minorHAnsi"/>
                <w:b/>
                <w:bCs/>
                <w:cs w:val="0"/>
              </w:rPr>
            </w:pPr>
            <w:r w:rsidRPr="003D6152">
              <w:rPr>
                <w:rFonts w:cstheme="minorHAnsi"/>
                <w:b/>
                <w:bCs/>
                <w:rtl w:val="0"/>
                <w:cs w:val="0"/>
              </w:rPr>
              <w:t>Monitoring</w:t>
            </w:r>
            <w:r>
              <w:rPr>
                <w:rFonts w:cstheme="minorHAnsi"/>
                <w:b/>
                <w:bCs/>
                <w:rtl w:val="0"/>
                <w:cs w:val="0"/>
              </w:rPr>
              <w:t>, Reporting and Verification</w:t>
            </w:r>
            <w:r w:rsidRPr="003D6152">
              <w:rPr>
                <w:rFonts w:cstheme="minorHAnsi"/>
                <w:b/>
                <w:bCs/>
                <w:rtl w:val="0"/>
                <w:cs w:val="0"/>
              </w:rPr>
              <w:t xml:space="preserve"> of GHG emission reductions</w:t>
            </w:r>
          </w:p>
          <w:p w14:paraId="7162784A" w14:textId="69E41B1F" w:rsidR="003D6152" w:rsidRPr="003D6152" w:rsidRDefault="003D6152" w:rsidP="003D6152">
            <w:pPr>
              <w:bidi w:val="0"/>
              <w:spacing w:before="60" w:line="264" w:lineRule="auto"/>
              <w:rPr>
                <w:rFonts w:cstheme="minorHAnsi"/>
                <w:cs w:val="0"/>
              </w:rPr>
            </w:pPr>
            <w:r w:rsidRPr="003D6152">
              <w:rPr>
                <w:rFonts w:cstheme="minorHAnsi"/>
                <w:rtl w:val="0"/>
                <w:cs w:val="0"/>
              </w:rPr>
              <w:t xml:space="preserve">In April 2016, the Israeli government set out in its National Greenhouse Gas Emissions Reduction Plan (Resolution 1403) the establishment of a national system for monitoring, </w:t>
            </w:r>
            <w:r w:rsidR="00A26362">
              <w:rPr>
                <w:rFonts w:cstheme="minorHAnsi"/>
                <w:rtl w:val="0"/>
                <w:cs w:val="0"/>
              </w:rPr>
              <w:t>reporting</w:t>
            </w:r>
            <w:r w:rsidR="00A26362" w:rsidRPr="003D6152">
              <w:rPr>
                <w:rFonts w:cstheme="minorHAnsi"/>
                <w:rtl w:val="0"/>
                <w:cs w:val="0"/>
              </w:rPr>
              <w:t xml:space="preserve"> </w:t>
            </w:r>
            <w:r w:rsidRPr="003D6152">
              <w:rPr>
                <w:rFonts w:cstheme="minorHAnsi"/>
                <w:rtl w:val="0"/>
                <w:cs w:val="0"/>
              </w:rPr>
              <w:t xml:space="preserve">and </w:t>
            </w:r>
            <w:r w:rsidR="00A26362">
              <w:rPr>
                <w:rFonts w:cstheme="minorHAnsi"/>
                <w:rtl w:val="0"/>
                <w:cs w:val="0"/>
              </w:rPr>
              <w:t>verification</w:t>
            </w:r>
            <w:r w:rsidRPr="003D6152">
              <w:rPr>
                <w:rFonts w:cstheme="minorHAnsi"/>
                <w:rtl w:val="0"/>
                <w:cs w:val="0"/>
              </w:rPr>
              <w:t>, relating to the implementation of the program and national targets for reducing greenhouse gas emissions</w:t>
            </w:r>
            <w:r w:rsidRPr="003D6152">
              <w:rPr>
                <w:rFonts w:cs="Calibri"/>
                <w:cs w:val="0"/>
              </w:rPr>
              <w:t>.</w:t>
            </w:r>
          </w:p>
          <w:p w14:paraId="69ADAAAA" w14:textId="0EA82DAA" w:rsidR="003D6152" w:rsidRPr="003D6152" w:rsidRDefault="003D6152" w:rsidP="003D6152">
            <w:pPr>
              <w:bidi w:val="0"/>
              <w:spacing w:before="60" w:line="264" w:lineRule="auto"/>
              <w:rPr>
                <w:rFonts w:cstheme="minorHAnsi"/>
                <w:cs w:val="0"/>
              </w:rPr>
            </w:pPr>
            <w:r w:rsidRPr="003D6152">
              <w:rPr>
                <w:rFonts w:cstheme="minorHAnsi"/>
                <w:rtl w:val="0"/>
                <w:cs w:val="0"/>
              </w:rPr>
              <w:t>To date, Israel monitors emission reduction on both a national and a policy level in accordance with the national Monitoring, Reporting and Verification (MRV) system</w:t>
            </w:r>
            <w:r w:rsidR="00025E00">
              <w:rPr>
                <w:rFonts w:cs="Calibri"/>
                <w:rtl w:val="0"/>
                <w:cs w:val="0"/>
              </w:rPr>
              <w:t>.</w:t>
            </w:r>
          </w:p>
          <w:p w14:paraId="2A755F4A" w14:textId="40C891DB" w:rsidR="001B5725" w:rsidRPr="00CB7CEF" w:rsidRDefault="003D6152" w:rsidP="00D70A23">
            <w:pPr>
              <w:bidi w:val="0"/>
              <w:spacing w:before="60" w:line="264" w:lineRule="auto"/>
              <w:jc w:val="both"/>
              <w:rPr>
                <w:rFonts w:cstheme="minorHAnsi"/>
                <w:rtl w:val="0"/>
                <w:cs w:val="0"/>
              </w:rPr>
            </w:pPr>
            <w:r w:rsidRPr="003D6152">
              <w:rPr>
                <w:rFonts w:cstheme="minorHAnsi"/>
                <w:rtl w:val="0"/>
                <w:cs w:val="0"/>
              </w:rPr>
              <w:t xml:space="preserve">The MRV system was implemented in 2016 by the Ministry of Environmental Protection in cooperation with </w:t>
            </w:r>
            <w:r w:rsidR="00EF18CE">
              <w:rPr>
                <w:rFonts w:cstheme="minorHAnsi"/>
                <w:rtl w:val="0"/>
                <w:cs w:val="0"/>
              </w:rPr>
              <w:t xml:space="preserve">other </w:t>
            </w:r>
            <w:r w:rsidRPr="003D6152">
              <w:rPr>
                <w:rFonts w:cstheme="minorHAnsi"/>
                <w:rtl w:val="0"/>
                <w:cs w:val="0"/>
              </w:rPr>
              <w:t>government ministries and relevant statutory bodies</w:t>
            </w:r>
            <w:r w:rsidR="00EF18CE">
              <w:rPr>
                <w:rFonts w:cstheme="minorHAnsi"/>
                <w:rtl w:val="0"/>
                <w:cs w:val="0"/>
              </w:rPr>
              <w:t>.</w:t>
            </w:r>
            <w:r w:rsidRPr="003D6152">
              <w:rPr>
                <w:rFonts w:cstheme="minorHAnsi"/>
                <w:rtl w:val="0"/>
                <w:cs w:val="0"/>
              </w:rPr>
              <w:t xml:space="preserve"> </w:t>
            </w:r>
            <w:r w:rsidR="00EF18CE">
              <w:rPr>
                <w:rFonts w:cstheme="minorHAnsi"/>
                <w:rtl w:val="0"/>
                <w:cs w:val="0"/>
              </w:rPr>
              <w:t xml:space="preserve">It </w:t>
            </w:r>
            <w:r w:rsidRPr="003D6152">
              <w:rPr>
                <w:rFonts w:cstheme="minorHAnsi"/>
                <w:rtl w:val="0"/>
                <w:cs w:val="0"/>
              </w:rPr>
              <w:t xml:space="preserve">operates </w:t>
            </w:r>
            <w:proofErr w:type="gramStart"/>
            <w:r w:rsidRPr="003D6152">
              <w:rPr>
                <w:rFonts w:cstheme="minorHAnsi"/>
                <w:rtl w:val="0"/>
                <w:cs w:val="0"/>
              </w:rPr>
              <w:t>on the basis of</w:t>
            </w:r>
            <w:proofErr w:type="gramEnd"/>
            <w:r w:rsidRPr="003D6152">
              <w:rPr>
                <w:rFonts w:cstheme="minorHAnsi"/>
                <w:rtl w:val="0"/>
                <w:cs w:val="0"/>
              </w:rPr>
              <w:t xml:space="preserve"> guiding principles of the UN Climate Convention and on the basis of methodologies developed in accordance with the characteristics of the Israeli economy. It is managed by the Ministry of Environmental Protection, on behalf of the Steering Committee</w:t>
            </w:r>
            <w:r>
              <w:rPr>
                <w:rFonts w:cstheme="minorHAnsi"/>
                <w:rtl w:val="0"/>
                <w:cs w:val="0"/>
              </w:rPr>
              <w:t>.</w:t>
            </w:r>
          </w:p>
        </w:tc>
        <w:tc>
          <w:tcPr>
            <w:tcW w:w="1308" w:type="pct"/>
            <w:shd w:val="clear" w:color="auto" w:fill="FFFFFF" w:themeFill="background1"/>
          </w:tcPr>
          <w:p w14:paraId="73D5760B" w14:textId="77777777" w:rsidR="001B5725" w:rsidRPr="00CB7CEF" w:rsidRDefault="001B5725" w:rsidP="001B5725">
            <w:pPr>
              <w:pStyle w:val="DecimalAligned"/>
              <w:bidi w:val="0"/>
              <w:spacing w:before="60" w:after="0" w:line="264" w:lineRule="auto"/>
              <w:rPr>
                <w:rFonts w:ascii="Times New Roman" w:hAnsi="Times New Roman"/>
                <w:color w:val="000000"/>
                <w:sz w:val="20"/>
                <w:szCs w:val="20"/>
              </w:rPr>
            </w:pPr>
            <w:r w:rsidRPr="00CB7CEF">
              <w:rPr>
                <w:rFonts w:ascii="Times New Roman" w:hAnsi="Times New Roman"/>
                <w:color w:val="000000"/>
                <w:sz w:val="20"/>
                <w:szCs w:val="20"/>
              </w:rPr>
              <w:t>Domestic institutional arrangements, public participation and engagement with local communities and indigenous peoples, in a gender-responsive manner;</w:t>
            </w:r>
          </w:p>
        </w:tc>
        <w:tc>
          <w:tcPr>
            <w:tcW w:w="348" w:type="pct"/>
            <w:shd w:val="clear" w:color="auto" w:fill="FFFFFF" w:themeFill="background1"/>
          </w:tcPr>
          <w:p w14:paraId="5F1E6DDE" w14:textId="77777777" w:rsidR="001B5725" w:rsidRPr="00CB7CEF" w:rsidRDefault="001B5725" w:rsidP="001B5725">
            <w:pPr>
              <w:pStyle w:val="DecimalAligned"/>
              <w:numPr>
                <w:ilvl w:val="0"/>
                <w:numId w:val="17"/>
              </w:numPr>
              <w:bidi w:val="0"/>
              <w:spacing w:before="60" w:after="0" w:line="264" w:lineRule="auto"/>
            </w:pPr>
          </w:p>
        </w:tc>
      </w:tr>
      <w:tr w:rsidR="001B5725" w:rsidRPr="00CB7CEF" w14:paraId="43605D94" w14:textId="77777777" w:rsidTr="00814688">
        <w:trPr>
          <w:trHeight w:val="80"/>
        </w:trPr>
        <w:tc>
          <w:tcPr>
            <w:tcW w:w="4652" w:type="pct"/>
            <w:gridSpan w:val="2"/>
            <w:shd w:val="clear" w:color="auto" w:fill="FFFFFF" w:themeFill="background1"/>
            <w:noWrap/>
          </w:tcPr>
          <w:p w14:paraId="4F7C9C5F" w14:textId="77777777" w:rsidR="001B5725" w:rsidRPr="00CB7CEF" w:rsidRDefault="001B5725" w:rsidP="001B5725">
            <w:pPr>
              <w:pStyle w:val="DecimalAligned"/>
              <w:bidi w:val="0"/>
              <w:spacing w:before="60" w:after="0" w:line="264" w:lineRule="auto"/>
              <w:rPr>
                <w:rFonts w:ascii="Times New Roman" w:hAnsi="Times New Roman"/>
                <w:color w:val="000000"/>
                <w:sz w:val="20"/>
                <w:szCs w:val="20"/>
              </w:rPr>
            </w:pPr>
            <w:r w:rsidRPr="00CB7CEF">
              <w:rPr>
                <w:rFonts w:ascii="Times New Roman" w:hAnsi="Times New Roman"/>
                <w:color w:val="000000"/>
                <w:sz w:val="20"/>
                <w:szCs w:val="20"/>
              </w:rPr>
              <w:t>Contextual matters, including, inter alia, as appropriate:</w:t>
            </w:r>
          </w:p>
        </w:tc>
        <w:tc>
          <w:tcPr>
            <w:tcW w:w="348" w:type="pct"/>
            <w:shd w:val="clear" w:color="auto" w:fill="FFFFFF" w:themeFill="background1"/>
          </w:tcPr>
          <w:p w14:paraId="7A87B60F" w14:textId="77777777" w:rsidR="001B5725" w:rsidRPr="00CB7CEF" w:rsidRDefault="001B5725" w:rsidP="001B5725">
            <w:pPr>
              <w:pStyle w:val="DecimalAligned"/>
              <w:numPr>
                <w:ilvl w:val="0"/>
                <w:numId w:val="17"/>
              </w:numPr>
              <w:bidi w:val="0"/>
              <w:spacing w:before="60" w:after="0" w:line="264" w:lineRule="auto"/>
            </w:pPr>
          </w:p>
        </w:tc>
      </w:tr>
      <w:tr w:rsidR="001B5725" w:rsidRPr="00CB7CEF" w14:paraId="65B1434C" w14:textId="77777777" w:rsidTr="00814688">
        <w:trPr>
          <w:trHeight w:val="80"/>
        </w:trPr>
        <w:tc>
          <w:tcPr>
            <w:tcW w:w="3344" w:type="pct"/>
            <w:shd w:val="clear" w:color="auto" w:fill="FFFFFF" w:themeFill="background1"/>
            <w:noWrap/>
          </w:tcPr>
          <w:p w14:paraId="4E1F0B71" w14:textId="2F51F15C" w:rsidR="001B5725" w:rsidRPr="00CB7CEF" w:rsidRDefault="001B5725" w:rsidP="001B5725">
            <w:pPr>
              <w:bidi w:val="0"/>
              <w:spacing w:before="60" w:line="264" w:lineRule="auto"/>
              <w:jc w:val="both"/>
              <w:rPr>
                <w:rtl w:val="0"/>
                <w:cs w:val="0"/>
              </w:rPr>
            </w:pPr>
            <w:r w:rsidRPr="00CB7CEF">
              <w:rPr>
                <w:rtl w:val="0"/>
                <w:cs w:val="0"/>
              </w:rPr>
              <w:t xml:space="preserve">National circumstances are described in detail in Israel's National Communication submitted in 2018 and additional information </w:t>
            </w:r>
            <w:r w:rsidR="00C82FBE">
              <w:rPr>
                <w:rtl w:val="0"/>
                <w:cs w:val="0"/>
              </w:rPr>
              <w:t>is</w:t>
            </w:r>
            <w:r w:rsidRPr="00CB7CEF">
              <w:rPr>
                <w:rtl w:val="0"/>
                <w:cs w:val="0"/>
              </w:rPr>
              <w:t xml:space="preserve"> detailed in the Biennial Update Report that will be submitted shortly. </w:t>
            </w:r>
          </w:p>
          <w:p w14:paraId="55B6B871" w14:textId="77777777" w:rsidR="001B5725" w:rsidRPr="00CB7CEF" w:rsidRDefault="001B5725" w:rsidP="001B5725">
            <w:pPr>
              <w:bidi w:val="0"/>
              <w:spacing w:before="60" w:line="264" w:lineRule="auto"/>
              <w:jc w:val="both"/>
              <w:rPr>
                <w:rtl w:val="0"/>
                <w:cs w:val="0"/>
              </w:rPr>
            </w:pPr>
          </w:p>
          <w:p w14:paraId="5DCEA336" w14:textId="062F3BA3" w:rsidR="001B5725" w:rsidRPr="003C2F71" w:rsidRDefault="001B5725" w:rsidP="001B5725">
            <w:pPr>
              <w:bidi w:val="0"/>
              <w:spacing w:before="60" w:line="264" w:lineRule="auto"/>
              <w:jc w:val="both"/>
              <w:rPr>
                <w:b/>
                <w:bCs/>
                <w:rtl w:val="0"/>
                <w:cs w:val="0"/>
              </w:rPr>
            </w:pPr>
            <w:r w:rsidRPr="003C2F71">
              <w:rPr>
                <w:b/>
                <w:bCs/>
                <w:rtl w:val="0"/>
                <w:cs w:val="0"/>
              </w:rPr>
              <w:t xml:space="preserve">Sustainable development and poverty eradication: </w:t>
            </w:r>
          </w:p>
          <w:p w14:paraId="627C0680" w14:textId="20CDEE96" w:rsidR="001B5725" w:rsidRPr="00CB7CEF" w:rsidRDefault="001B5725" w:rsidP="001B5725">
            <w:pPr>
              <w:bidi w:val="0"/>
              <w:spacing w:before="60" w:line="264" w:lineRule="auto"/>
              <w:jc w:val="both"/>
              <w:rPr>
                <w:rtl w:val="0"/>
                <w:cs w:val="0"/>
              </w:rPr>
            </w:pPr>
            <w:r w:rsidRPr="00CB7CEF">
              <w:rPr>
                <w:rtl w:val="0"/>
                <w:cs w:val="0"/>
              </w:rPr>
              <w:t>Israel is committed to the implementation of Agenda 2030 and the Sustainable Development Goals as detailed in its V</w:t>
            </w:r>
            <w:r w:rsidR="004F253A">
              <w:rPr>
                <w:rtl w:val="0"/>
                <w:cs w:val="0"/>
              </w:rPr>
              <w:t xml:space="preserve">oluntary </w:t>
            </w:r>
            <w:r w:rsidRPr="00CB7CEF">
              <w:rPr>
                <w:rtl w:val="0"/>
                <w:cs w:val="0"/>
              </w:rPr>
              <w:t>N</w:t>
            </w:r>
            <w:r w:rsidR="004F253A">
              <w:rPr>
                <w:rtl w:val="0"/>
                <w:cs w:val="0"/>
              </w:rPr>
              <w:t xml:space="preserve">ational </w:t>
            </w:r>
            <w:r w:rsidRPr="00CB7CEF">
              <w:rPr>
                <w:rtl w:val="0"/>
                <w:cs w:val="0"/>
              </w:rPr>
              <w:t>R</w:t>
            </w:r>
            <w:r w:rsidR="004F253A">
              <w:rPr>
                <w:rtl w:val="0"/>
                <w:cs w:val="0"/>
              </w:rPr>
              <w:t>eview</w:t>
            </w:r>
            <w:r w:rsidRPr="00CB7CEF">
              <w:rPr>
                <w:rtl w:val="0"/>
                <w:cs w:val="0"/>
              </w:rPr>
              <w:t xml:space="preserve"> submitted</w:t>
            </w:r>
            <w:r w:rsidR="00C82FBE">
              <w:rPr>
                <w:rtl w:val="0"/>
                <w:cs w:val="0"/>
              </w:rPr>
              <w:t xml:space="preserve"> to the </w:t>
            </w:r>
            <w:proofErr w:type="gramStart"/>
            <w:r w:rsidR="00C82FBE">
              <w:rPr>
                <w:rtl w:val="0"/>
                <w:cs w:val="0"/>
              </w:rPr>
              <w:t xml:space="preserve">UN </w:t>
            </w:r>
            <w:r w:rsidRPr="00CB7CEF">
              <w:rPr>
                <w:rtl w:val="0"/>
                <w:cs w:val="0"/>
              </w:rPr>
              <w:t xml:space="preserve"> in</w:t>
            </w:r>
            <w:proofErr w:type="gramEnd"/>
            <w:r w:rsidRPr="00CB7CEF">
              <w:rPr>
                <w:rtl w:val="0"/>
                <w:cs w:val="0"/>
              </w:rPr>
              <w:t xml:space="preserve"> July 2019.</w:t>
            </w:r>
          </w:p>
          <w:p w14:paraId="4B123657" w14:textId="77777777" w:rsidR="001B5725" w:rsidRPr="00CB7CEF" w:rsidRDefault="001B5725" w:rsidP="001B5725">
            <w:pPr>
              <w:bidi w:val="0"/>
              <w:spacing w:before="60" w:line="264" w:lineRule="auto"/>
              <w:rPr>
                <w:cs w:val="0"/>
              </w:rPr>
            </w:pPr>
          </w:p>
        </w:tc>
        <w:tc>
          <w:tcPr>
            <w:tcW w:w="1308" w:type="pct"/>
            <w:shd w:val="clear" w:color="auto" w:fill="FFFFFF" w:themeFill="background1"/>
          </w:tcPr>
          <w:p w14:paraId="14BB7948" w14:textId="77777777" w:rsidR="001B5725" w:rsidRPr="00CB7CEF" w:rsidRDefault="001B5725" w:rsidP="001B5725">
            <w:pPr>
              <w:pStyle w:val="DecimalAligned"/>
              <w:bidi w:val="0"/>
              <w:spacing w:before="60" w:after="0" w:line="264" w:lineRule="auto"/>
              <w:rPr>
                <w:rFonts w:ascii="Times New Roman" w:hAnsi="Times New Roman"/>
                <w:color w:val="000000"/>
                <w:sz w:val="20"/>
                <w:szCs w:val="20"/>
              </w:rPr>
            </w:pPr>
            <w:r w:rsidRPr="00CB7CEF">
              <w:rPr>
                <w:rFonts w:ascii="Times New Roman" w:hAnsi="Times New Roman"/>
                <w:color w:val="000000"/>
                <w:sz w:val="20"/>
                <w:szCs w:val="20"/>
              </w:rPr>
              <w:t>National circumstances, such as geography, climate, economy, sustainable development and poverty eradication;</w:t>
            </w:r>
          </w:p>
        </w:tc>
        <w:tc>
          <w:tcPr>
            <w:tcW w:w="348" w:type="pct"/>
            <w:shd w:val="clear" w:color="auto" w:fill="FFFFFF" w:themeFill="background1"/>
          </w:tcPr>
          <w:p w14:paraId="7728722E" w14:textId="77777777" w:rsidR="001B5725" w:rsidRPr="00CB7CEF" w:rsidRDefault="001B5725" w:rsidP="001B5725">
            <w:pPr>
              <w:pStyle w:val="DecimalAligned"/>
              <w:numPr>
                <w:ilvl w:val="0"/>
                <w:numId w:val="18"/>
              </w:numPr>
              <w:bidi w:val="0"/>
              <w:spacing w:before="60" w:after="0" w:line="264" w:lineRule="auto"/>
            </w:pPr>
          </w:p>
        </w:tc>
      </w:tr>
      <w:tr w:rsidR="001B5725" w:rsidRPr="00CB7CEF" w14:paraId="33D6C2D0" w14:textId="77777777" w:rsidTr="00814688">
        <w:trPr>
          <w:trHeight w:val="80"/>
        </w:trPr>
        <w:tc>
          <w:tcPr>
            <w:tcW w:w="3344" w:type="pct"/>
            <w:shd w:val="clear" w:color="auto" w:fill="FFFFFF" w:themeFill="background1"/>
            <w:noWrap/>
          </w:tcPr>
          <w:p w14:paraId="5BF406BE" w14:textId="128BBD64" w:rsidR="001B5725" w:rsidRPr="00CB7CEF" w:rsidRDefault="00025E00" w:rsidP="00D95AD4">
            <w:pPr>
              <w:bidi w:val="0"/>
              <w:spacing w:before="60" w:line="264" w:lineRule="auto"/>
              <w:jc w:val="both"/>
              <w:rPr>
                <w:rtl w:val="0"/>
                <w:cs w:val="0"/>
              </w:rPr>
            </w:pPr>
            <w:r>
              <w:rPr>
                <w:rtl w:val="0"/>
                <w:cs w:val="0"/>
              </w:rPr>
              <w:t xml:space="preserve">The establishment of sectorial working groups consisting of </w:t>
            </w:r>
            <w:r w:rsidR="001B5725" w:rsidRPr="00CB7CEF">
              <w:rPr>
                <w:rtl w:val="0"/>
                <w:cs w:val="0"/>
              </w:rPr>
              <w:t>representatives of relevant ministries, local authorities, public representatives, NGOs, academia and others</w:t>
            </w:r>
            <w:r w:rsidR="00A51BF8">
              <w:rPr>
                <w:rtl w:val="0"/>
                <w:cs w:val="0"/>
              </w:rPr>
              <w:t xml:space="preserve"> as described in section 4(a) above</w:t>
            </w:r>
            <w:r w:rsidR="001B5725" w:rsidRPr="00CB7CEF">
              <w:rPr>
                <w:rtl w:val="0"/>
                <w:cs w:val="0"/>
              </w:rPr>
              <w:t xml:space="preserve"> ensured broad public involvement and commitment</w:t>
            </w:r>
            <w:r>
              <w:rPr>
                <w:rtl w:val="0"/>
                <w:cs w:val="0"/>
              </w:rPr>
              <w:t xml:space="preserve">, while the involvement of public policy </w:t>
            </w:r>
            <w:r w:rsidR="001B5725" w:rsidRPr="00CB7CEF">
              <w:rPr>
                <w:rtl w:val="0"/>
                <w:cs w:val="0"/>
              </w:rPr>
              <w:t xml:space="preserve">think tanks and the OECD further </w:t>
            </w:r>
            <w:r>
              <w:rPr>
                <w:rtl w:val="0"/>
                <w:cs w:val="0"/>
              </w:rPr>
              <w:t>contributed to</w:t>
            </w:r>
            <w:r w:rsidR="001B5725" w:rsidRPr="00CB7CEF">
              <w:rPr>
                <w:rtl w:val="0"/>
                <w:cs w:val="0"/>
              </w:rPr>
              <w:t xml:space="preserve"> </w:t>
            </w:r>
            <w:r w:rsidR="00D95AD4">
              <w:rPr>
                <w:rtl w:val="0"/>
                <w:cs w:val="0"/>
              </w:rPr>
              <w:t xml:space="preserve">the acceptability </w:t>
            </w:r>
            <w:r w:rsidR="001B5725" w:rsidRPr="00CB7CEF">
              <w:rPr>
                <w:rtl w:val="0"/>
                <w:cs w:val="0"/>
              </w:rPr>
              <w:t xml:space="preserve">of the results. </w:t>
            </w:r>
            <w:r w:rsidR="00C82FBE">
              <w:rPr>
                <w:rtl w:val="0"/>
                <w:cs w:val="0"/>
              </w:rPr>
              <w:t>Within this context</w:t>
            </w:r>
            <w:r w:rsidR="00D95AD4">
              <w:rPr>
                <w:rtl w:val="0"/>
                <w:cs w:val="0"/>
              </w:rPr>
              <w:t xml:space="preserve">, </w:t>
            </w:r>
            <w:r w:rsidR="00C82FBE">
              <w:rPr>
                <w:rtl w:val="0"/>
                <w:cs w:val="0"/>
              </w:rPr>
              <w:t>establishing</w:t>
            </w:r>
            <w:r w:rsidR="00D95AD4">
              <w:rPr>
                <w:rtl w:val="0"/>
                <w:cs w:val="0"/>
              </w:rPr>
              <w:t xml:space="preserve"> Israel’s Long-Term Low-Emission Development Strategy </w:t>
            </w:r>
            <w:r w:rsidR="00C82FBE">
              <w:rPr>
                <w:rtl w:val="0"/>
                <w:cs w:val="0"/>
              </w:rPr>
              <w:t xml:space="preserve">further </w:t>
            </w:r>
            <w:r w:rsidR="00D95AD4">
              <w:rPr>
                <w:rtl w:val="0"/>
                <w:cs w:val="0"/>
              </w:rPr>
              <w:t>informed the process to revise Israel’s 2030 NDC targets</w:t>
            </w:r>
            <w:r w:rsidR="001B5725" w:rsidRPr="00CB7CEF">
              <w:rPr>
                <w:rtl w:val="0"/>
                <w:cs w:val="0"/>
              </w:rPr>
              <w:t>. (See above clause 4.a.)</w:t>
            </w:r>
          </w:p>
          <w:p w14:paraId="024372AC" w14:textId="5A5339D8" w:rsidR="001B5725" w:rsidRPr="00CB7CEF" w:rsidRDefault="001B5725" w:rsidP="00D95AD4">
            <w:pPr>
              <w:bidi w:val="0"/>
              <w:spacing w:before="60" w:line="264" w:lineRule="auto"/>
              <w:jc w:val="both"/>
              <w:rPr>
                <w:cs w:val="0"/>
              </w:rPr>
            </w:pPr>
          </w:p>
        </w:tc>
        <w:tc>
          <w:tcPr>
            <w:tcW w:w="1308" w:type="pct"/>
            <w:shd w:val="clear" w:color="auto" w:fill="FFFFFF" w:themeFill="background1"/>
          </w:tcPr>
          <w:p w14:paraId="7092D306" w14:textId="77777777" w:rsidR="001B5725" w:rsidRPr="00CB7CEF" w:rsidRDefault="001B5725" w:rsidP="001B5725">
            <w:pPr>
              <w:pStyle w:val="DecimalAligned"/>
              <w:bidi w:val="0"/>
              <w:spacing w:before="60" w:after="0" w:line="264" w:lineRule="auto"/>
              <w:rPr>
                <w:rFonts w:ascii="Times New Roman" w:hAnsi="Times New Roman"/>
                <w:color w:val="000000"/>
                <w:sz w:val="20"/>
                <w:szCs w:val="20"/>
              </w:rPr>
            </w:pPr>
            <w:r w:rsidRPr="00CB7CEF">
              <w:rPr>
                <w:rFonts w:ascii="Times New Roman" w:hAnsi="Times New Roman"/>
                <w:color w:val="000000"/>
                <w:sz w:val="20"/>
                <w:szCs w:val="20"/>
              </w:rPr>
              <w:t>Best practices and experience related to the preparation of the nationally determined contribution;</w:t>
            </w:r>
          </w:p>
        </w:tc>
        <w:tc>
          <w:tcPr>
            <w:tcW w:w="348" w:type="pct"/>
            <w:shd w:val="clear" w:color="auto" w:fill="FFFFFF" w:themeFill="background1"/>
          </w:tcPr>
          <w:p w14:paraId="4BB68345" w14:textId="77777777" w:rsidR="001B5725" w:rsidRPr="00CB7CEF" w:rsidRDefault="001B5725" w:rsidP="001B5725">
            <w:pPr>
              <w:pStyle w:val="DecimalAligned"/>
              <w:numPr>
                <w:ilvl w:val="0"/>
                <w:numId w:val="18"/>
              </w:numPr>
              <w:bidi w:val="0"/>
              <w:spacing w:before="60" w:after="0" w:line="264" w:lineRule="auto"/>
            </w:pPr>
          </w:p>
        </w:tc>
      </w:tr>
      <w:tr w:rsidR="001B5725" w:rsidRPr="00CB7CEF" w14:paraId="1F98DC94" w14:textId="77777777" w:rsidTr="00814688">
        <w:trPr>
          <w:trHeight w:val="80"/>
        </w:trPr>
        <w:tc>
          <w:tcPr>
            <w:tcW w:w="3344" w:type="pct"/>
            <w:shd w:val="clear" w:color="auto" w:fill="FFFFFF" w:themeFill="background1"/>
            <w:noWrap/>
          </w:tcPr>
          <w:p w14:paraId="0E153CAB" w14:textId="27F70083" w:rsidR="001B5725" w:rsidRPr="00CB7CEF" w:rsidRDefault="001B5725" w:rsidP="001B5725">
            <w:pPr>
              <w:bidi w:val="0"/>
              <w:spacing w:before="60" w:line="264" w:lineRule="auto"/>
              <w:rPr>
                <w:cs w:val="0"/>
              </w:rPr>
            </w:pPr>
            <w:r w:rsidRPr="00CB7CEF">
              <w:rPr>
                <w:rtl w:val="0"/>
                <w:cs w:val="0"/>
              </w:rPr>
              <w:t xml:space="preserve">Not </w:t>
            </w:r>
            <w:r w:rsidR="00223780">
              <w:rPr>
                <w:rtl w:val="0"/>
                <w:cs w:val="0"/>
              </w:rPr>
              <w:t>a</w:t>
            </w:r>
            <w:r w:rsidRPr="00CB7CEF">
              <w:rPr>
                <w:rtl w:val="0"/>
                <w:cs w:val="0"/>
              </w:rPr>
              <w:t>pplicable</w:t>
            </w:r>
            <w:r w:rsidRPr="00CB7CEF">
              <w:rPr>
                <w:cs w:val="0"/>
              </w:rPr>
              <w:t xml:space="preserve">  </w:t>
            </w:r>
          </w:p>
        </w:tc>
        <w:tc>
          <w:tcPr>
            <w:tcW w:w="1308" w:type="pct"/>
            <w:shd w:val="clear" w:color="auto" w:fill="FFFFFF" w:themeFill="background1"/>
          </w:tcPr>
          <w:p w14:paraId="5FC53314" w14:textId="77777777" w:rsidR="001B5725" w:rsidRPr="00CB7CEF" w:rsidRDefault="001B5725" w:rsidP="001B5725">
            <w:pPr>
              <w:pStyle w:val="DecimalAligned"/>
              <w:bidi w:val="0"/>
              <w:spacing w:before="60" w:after="0" w:line="264" w:lineRule="auto"/>
              <w:rPr>
                <w:rFonts w:ascii="Times New Roman" w:hAnsi="Times New Roman"/>
                <w:color w:val="000000"/>
                <w:sz w:val="20"/>
                <w:szCs w:val="20"/>
                <w:highlight w:val="yellow"/>
              </w:rPr>
            </w:pPr>
            <w:r w:rsidRPr="00CB7CEF">
              <w:rPr>
                <w:rFonts w:ascii="Times New Roman" w:hAnsi="Times New Roman"/>
                <w:sz w:val="20"/>
                <w:szCs w:val="20"/>
              </w:rPr>
              <w:t>Other contextual aspirations and priorities acknowledged when joining the Paris Agreement;</w:t>
            </w:r>
          </w:p>
        </w:tc>
        <w:tc>
          <w:tcPr>
            <w:tcW w:w="348" w:type="pct"/>
            <w:shd w:val="clear" w:color="auto" w:fill="FFFFFF" w:themeFill="background1"/>
          </w:tcPr>
          <w:p w14:paraId="2B4560A1" w14:textId="77777777" w:rsidR="001B5725" w:rsidRPr="00CB7CEF" w:rsidRDefault="001B5725" w:rsidP="001B5725">
            <w:pPr>
              <w:pStyle w:val="DecimalAligned"/>
              <w:numPr>
                <w:ilvl w:val="0"/>
                <w:numId w:val="18"/>
              </w:numPr>
              <w:bidi w:val="0"/>
              <w:spacing w:before="60" w:after="0" w:line="264" w:lineRule="auto"/>
            </w:pPr>
          </w:p>
        </w:tc>
      </w:tr>
      <w:tr w:rsidR="001B5725" w:rsidRPr="00CB7CEF" w14:paraId="40BB8FED" w14:textId="77777777" w:rsidTr="00814688">
        <w:trPr>
          <w:trHeight w:val="80"/>
        </w:trPr>
        <w:tc>
          <w:tcPr>
            <w:tcW w:w="3344" w:type="pct"/>
            <w:shd w:val="clear" w:color="auto" w:fill="FFFFFF" w:themeFill="background1"/>
            <w:noWrap/>
          </w:tcPr>
          <w:p w14:paraId="4652D64F" w14:textId="462985D8" w:rsidR="001B5725" w:rsidRPr="00CB7CEF" w:rsidRDefault="001B5725" w:rsidP="001B5725">
            <w:pPr>
              <w:bidi w:val="0"/>
              <w:spacing w:before="60" w:line="264" w:lineRule="auto"/>
              <w:rPr>
                <w:rtl w:val="0"/>
                <w:cs w:val="0"/>
              </w:rPr>
            </w:pPr>
            <w:r w:rsidRPr="00CB7CEF">
              <w:rPr>
                <w:rtl w:val="0"/>
                <w:cs w:val="0"/>
              </w:rPr>
              <w:t xml:space="preserve">Not </w:t>
            </w:r>
            <w:r w:rsidR="00223780">
              <w:rPr>
                <w:rtl w:val="0"/>
                <w:cs w:val="0"/>
              </w:rPr>
              <w:t>a</w:t>
            </w:r>
            <w:r w:rsidRPr="00CB7CEF">
              <w:rPr>
                <w:rtl w:val="0"/>
                <w:cs w:val="0"/>
              </w:rPr>
              <w:t xml:space="preserve">pplicable </w:t>
            </w:r>
          </w:p>
          <w:p w14:paraId="72F4658B" w14:textId="77777777" w:rsidR="001B5725" w:rsidRPr="00CB7CEF" w:rsidRDefault="001B5725" w:rsidP="001B5725">
            <w:pPr>
              <w:bidi w:val="0"/>
              <w:spacing w:before="60" w:line="264" w:lineRule="auto"/>
              <w:rPr>
                <w:rtl w:val="0"/>
                <w:cs w:val="0"/>
              </w:rPr>
            </w:pPr>
          </w:p>
          <w:p w14:paraId="24E88553" w14:textId="77777777" w:rsidR="001B5725" w:rsidRPr="00CB7CEF" w:rsidRDefault="001B5725" w:rsidP="001B5725">
            <w:pPr>
              <w:bidi w:val="0"/>
              <w:spacing w:before="60" w:line="264" w:lineRule="auto"/>
              <w:rPr>
                <w:rtl w:val="0"/>
                <w:cs w:val="0"/>
              </w:rPr>
            </w:pPr>
          </w:p>
          <w:p w14:paraId="074F9680" w14:textId="77777777" w:rsidR="001B5725" w:rsidRPr="00CB7CEF" w:rsidRDefault="001B5725" w:rsidP="001B5725">
            <w:pPr>
              <w:bidi w:val="0"/>
              <w:spacing w:before="60" w:line="264" w:lineRule="auto"/>
              <w:rPr>
                <w:rtl w:val="0"/>
                <w:cs w:val="0"/>
              </w:rPr>
            </w:pPr>
          </w:p>
          <w:p w14:paraId="134D5BB5" w14:textId="77777777" w:rsidR="001B5725" w:rsidRPr="00CB7CEF" w:rsidRDefault="001B5725" w:rsidP="001B5725">
            <w:pPr>
              <w:bidi w:val="0"/>
              <w:spacing w:before="60" w:line="264" w:lineRule="auto"/>
              <w:rPr>
                <w:cs w:val="0"/>
              </w:rPr>
            </w:pPr>
          </w:p>
        </w:tc>
        <w:tc>
          <w:tcPr>
            <w:tcW w:w="1308" w:type="pct"/>
            <w:shd w:val="clear" w:color="auto" w:fill="FFFFFF" w:themeFill="background1"/>
          </w:tcPr>
          <w:p w14:paraId="19C3F2DE" w14:textId="3AF272BE"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Specific information applicable to Parties, including regional economic integration organizations and their member States, that have reached an agreement to act jointly under Article 4, paragraph 2, of the Paris Agreement, including the Parties that agreed to act jointly and the terms of the agreement, in accordance with Article 4, paragraphs 16–18, of the Paris Agreement;</w:t>
            </w:r>
          </w:p>
        </w:tc>
        <w:tc>
          <w:tcPr>
            <w:tcW w:w="348" w:type="pct"/>
            <w:shd w:val="clear" w:color="auto" w:fill="FFFFFF" w:themeFill="background1"/>
          </w:tcPr>
          <w:p w14:paraId="0D48E666" w14:textId="77777777" w:rsidR="001B5725" w:rsidRPr="00CB7CEF" w:rsidRDefault="001B5725" w:rsidP="001B5725">
            <w:pPr>
              <w:pStyle w:val="DecimalAligned"/>
              <w:numPr>
                <w:ilvl w:val="0"/>
                <w:numId w:val="15"/>
              </w:numPr>
              <w:bidi w:val="0"/>
              <w:spacing w:before="60" w:after="0" w:line="264" w:lineRule="auto"/>
            </w:pPr>
          </w:p>
        </w:tc>
      </w:tr>
      <w:tr w:rsidR="001B5725" w:rsidRPr="00CB7CEF" w14:paraId="457F7E8B" w14:textId="77777777" w:rsidTr="00814688">
        <w:trPr>
          <w:trHeight w:val="80"/>
        </w:trPr>
        <w:tc>
          <w:tcPr>
            <w:tcW w:w="3344" w:type="pct"/>
            <w:shd w:val="clear" w:color="auto" w:fill="FFFFFF" w:themeFill="background1"/>
            <w:noWrap/>
          </w:tcPr>
          <w:p w14:paraId="00305012" w14:textId="77777777" w:rsidR="001B5725" w:rsidRPr="00CB7CEF" w:rsidRDefault="001B5725" w:rsidP="001B5725">
            <w:pPr>
              <w:bidi w:val="0"/>
              <w:spacing w:before="60" w:line="264" w:lineRule="auto"/>
              <w:rPr>
                <w:cs w:val="0"/>
              </w:rPr>
            </w:pPr>
            <w:r w:rsidRPr="00CB7CEF">
              <w:rPr>
                <w:rtl w:val="0"/>
                <w:cs w:val="0"/>
              </w:rPr>
              <w:t xml:space="preserve">Israel participated actively in the </w:t>
            </w:r>
            <w:proofErr w:type="spellStart"/>
            <w:r w:rsidRPr="00CB7CEF">
              <w:rPr>
                <w:rtl w:val="0"/>
                <w:cs w:val="0"/>
              </w:rPr>
              <w:t>Talanoa</w:t>
            </w:r>
            <w:proofErr w:type="spellEnd"/>
            <w:r w:rsidRPr="00CB7CEF">
              <w:rPr>
                <w:rtl w:val="0"/>
                <w:cs w:val="0"/>
              </w:rPr>
              <w:t xml:space="preserve"> Dialogues and looks forward to participating in the Global </w:t>
            </w:r>
            <w:proofErr w:type="spellStart"/>
            <w:r w:rsidRPr="00CB7CEF">
              <w:rPr>
                <w:rtl w:val="0"/>
                <w:cs w:val="0"/>
              </w:rPr>
              <w:t>Stocktake</w:t>
            </w:r>
            <w:proofErr w:type="spellEnd"/>
            <w:r w:rsidRPr="00CB7CEF">
              <w:rPr>
                <w:rtl w:val="0"/>
                <w:cs w:val="0"/>
              </w:rPr>
              <w:t xml:space="preserve"> in 2023</w:t>
            </w:r>
            <w:r w:rsidRPr="00CB7CEF">
              <w:rPr>
                <w:cs w:val="0"/>
              </w:rPr>
              <w:t>.</w:t>
            </w:r>
          </w:p>
          <w:p w14:paraId="58D7E2A2" w14:textId="77777777" w:rsidR="001B5725" w:rsidRPr="00CB7CEF" w:rsidRDefault="001B5725" w:rsidP="001B5725">
            <w:pPr>
              <w:bidi w:val="0"/>
              <w:spacing w:before="60" w:line="264" w:lineRule="auto"/>
              <w:rPr>
                <w:cs w:val="0"/>
              </w:rPr>
            </w:pPr>
          </w:p>
        </w:tc>
        <w:tc>
          <w:tcPr>
            <w:tcW w:w="1308" w:type="pct"/>
            <w:shd w:val="clear" w:color="auto" w:fill="FFFFFF" w:themeFill="background1"/>
          </w:tcPr>
          <w:p w14:paraId="6D1E54FD" w14:textId="7FFC408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 xml:space="preserve">How the Party’s preparation of its nationally determined contribution has been informed by the outcomes of the global </w:t>
            </w:r>
            <w:proofErr w:type="spellStart"/>
            <w:r w:rsidRPr="00CB7CEF">
              <w:rPr>
                <w:rFonts w:ascii="Times New Roman" w:hAnsi="Times New Roman"/>
                <w:sz w:val="20"/>
                <w:szCs w:val="20"/>
              </w:rPr>
              <w:t>stocktake</w:t>
            </w:r>
            <w:proofErr w:type="spellEnd"/>
            <w:r w:rsidRPr="00CB7CEF">
              <w:rPr>
                <w:rFonts w:ascii="Times New Roman" w:hAnsi="Times New Roman"/>
                <w:sz w:val="20"/>
                <w:szCs w:val="20"/>
              </w:rPr>
              <w:t>, in accordance with Article 4, paragraph 9, of the Paris Agreement;</w:t>
            </w:r>
          </w:p>
        </w:tc>
        <w:tc>
          <w:tcPr>
            <w:tcW w:w="348" w:type="pct"/>
            <w:shd w:val="clear" w:color="auto" w:fill="FFFFFF" w:themeFill="background1"/>
          </w:tcPr>
          <w:p w14:paraId="3FAF5C94" w14:textId="77777777" w:rsidR="001B5725" w:rsidRPr="00CB7CEF" w:rsidRDefault="001B5725" w:rsidP="001B5725">
            <w:pPr>
              <w:pStyle w:val="DecimalAligned"/>
              <w:numPr>
                <w:ilvl w:val="0"/>
                <w:numId w:val="15"/>
              </w:numPr>
              <w:bidi w:val="0"/>
              <w:spacing w:before="60" w:after="0" w:line="264" w:lineRule="auto"/>
            </w:pPr>
          </w:p>
        </w:tc>
      </w:tr>
      <w:tr w:rsidR="001B5725" w:rsidRPr="00CB7CEF" w14:paraId="3242533C" w14:textId="77777777" w:rsidTr="00814688">
        <w:trPr>
          <w:trHeight w:val="80"/>
        </w:trPr>
        <w:tc>
          <w:tcPr>
            <w:tcW w:w="4652" w:type="pct"/>
            <w:gridSpan w:val="2"/>
            <w:shd w:val="clear" w:color="auto" w:fill="FFFFFF" w:themeFill="background1"/>
            <w:noWrap/>
          </w:tcPr>
          <w:p w14:paraId="47268019" w14:textId="3A252F2E"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Each Party with a nationally determined contribution under Article 4 of the Paris Agreement that consists of adaptation action and/or economic diversification plans resulting in mitigation co-benefits consistent with Article 4, paragraph 7, of the Paris Agreement to submit information on:</w:t>
            </w:r>
          </w:p>
        </w:tc>
        <w:tc>
          <w:tcPr>
            <w:tcW w:w="348" w:type="pct"/>
            <w:shd w:val="clear" w:color="auto" w:fill="FFFFFF" w:themeFill="background1"/>
          </w:tcPr>
          <w:p w14:paraId="2B0D249D" w14:textId="77777777" w:rsidR="001B5725" w:rsidRPr="00CB7CEF" w:rsidRDefault="001B5725" w:rsidP="001B5725">
            <w:pPr>
              <w:pStyle w:val="DecimalAligned"/>
              <w:numPr>
                <w:ilvl w:val="0"/>
                <w:numId w:val="15"/>
              </w:numPr>
              <w:bidi w:val="0"/>
              <w:spacing w:before="60" w:after="0" w:line="264" w:lineRule="auto"/>
            </w:pPr>
          </w:p>
        </w:tc>
      </w:tr>
      <w:tr w:rsidR="001B5725" w:rsidRPr="00CB7CEF" w14:paraId="36987EF2" w14:textId="77777777" w:rsidTr="00814688">
        <w:trPr>
          <w:trHeight w:val="72"/>
        </w:trPr>
        <w:tc>
          <w:tcPr>
            <w:tcW w:w="3344" w:type="pct"/>
            <w:shd w:val="clear" w:color="auto" w:fill="auto"/>
            <w:noWrap/>
          </w:tcPr>
          <w:p w14:paraId="1555F3FD" w14:textId="29972B74" w:rsidR="001B5725" w:rsidRPr="00CB7CEF" w:rsidRDefault="00D2735E" w:rsidP="001B5725">
            <w:pPr>
              <w:pStyle w:val="Default"/>
              <w:bidi w:val="0"/>
              <w:spacing w:before="60" w:line="264" w:lineRule="auto"/>
              <w:rPr>
                <w:rFonts w:cstheme="minorHAnsi"/>
                <w:cs w:val="0"/>
              </w:rPr>
            </w:pPr>
            <w:r w:rsidRPr="00D2735E">
              <w:rPr>
                <w:rFonts w:asciiTheme="minorHAnsi" w:hAnsiTheme="minorHAnsi" w:cstheme="minorHAnsi"/>
                <w:sz w:val="22"/>
                <w:szCs w:val="22"/>
                <w:rtl w:val="0"/>
                <w:cs w:val="0"/>
              </w:rPr>
              <w:t xml:space="preserve">Not </w:t>
            </w:r>
            <w:r w:rsidR="00223780">
              <w:rPr>
                <w:rFonts w:asciiTheme="minorHAnsi" w:hAnsiTheme="minorHAnsi" w:cstheme="minorHAnsi"/>
                <w:sz w:val="22"/>
                <w:szCs w:val="22"/>
                <w:rtl w:val="0"/>
                <w:cs w:val="0"/>
              </w:rPr>
              <w:t>a</w:t>
            </w:r>
            <w:r w:rsidRPr="00D2735E">
              <w:rPr>
                <w:rFonts w:asciiTheme="minorHAnsi" w:hAnsiTheme="minorHAnsi" w:cstheme="minorHAnsi"/>
                <w:sz w:val="22"/>
                <w:szCs w:val="22"/>
                <w:rtl w:val="0"/>
                <w:cs w:val="0"/>
              </w:rPr>
              <w:t>pplicable</w:t>
            </w:r>
          </w:p>
        </w:tc>
        <w:tc>
          <w:tcPr>
            <w:tcW w:w="1308" w:type="pct"/>
            <w:shd w:val="clear" w:color="auto" w:fill="FFFFFF" w:themeFill="background1"/>
          </w:tcPr>
          <w:p w14:paraId="1D7DDB3F"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How the economic and social consequences of response measures have been considered in developing the nationally determined contribution;</w:t>
            </w:r>
          </w:p>
        </w:tc>
        <w:tc>
          <w:tcPr>
            <w:tcW w:w="348" w:type="pct"/>
            <w:shd w:val="clear" w:color="auto" w:fill="FFFFFF" w:themeFill="background1"/>
          </w:tcPr>
          <w:p w14:paraId="0050CB6B" w14:textId="77777777" w:rsidR="001B5725" w:rsidRPr="00CB7CEF" w:rsidRDefault="001B5725" w:rsidP="001B5725">
            <w:pPr>
              <w:pStyle w:val="DecimalAligned"/>
              <w:numPr>
                <w:ilvl w:val="0"/>
                <w:numId w:val="19"/>
              </w:numPr>
              <w:bidi w:val="0"/>
              <w:spacing w:before="60" w:after="0" w:line="264" w:lineRule="auto"/>
            </w:pPr>
          </w:p>
        </w:tc>
      </w:tr>
      <w:tr w:rsidR="001B5725" w:rsidRPr="00CB7CEF" w14:paraId="5F0234EA" w14:textId="77777777" w:rsidTr="00814688">
        <w:trPr>
          <w:trHeight w:val="80"/>
        </w:trPr>
        <w:tc>
          <w:tcPr>
            <w:tcW w:w="3344" w:type="pct"/>
            <w:shd w:val="clear" w:color="auto" w:fill="FFFFFF" w:themeFill="background1"/>
            <w:noWrap/>
          </w:tcPr>
          <w:p w14:paraId="383903E4" w14:textId="0160E753" w:rsidR="001B5725" w:rsidRPr="00CB7CEF" w:rsidRDefault="001B5725" w:rsidP="001B5725">
            <w:pPr>
              <w:bidi w:val="0"/>
              <w:spacing w:before="60" w:line="264" w:lineRule="auto"/>
              <w:rPr>
                <w:rFonts w:cstheme="minorHAnsi"/>
                <w:cs w:val="0"/>
              </w:rPr>
            </w:pPr>
            <w:r w:rsidRPr="00CB7CEF">
              <w:rPr>
                <w:rFonts w:cstheme="minorHAnsi"/>
                <w:rtl w:val="0"/>
                <w:cs w:val="0"/>
              </w:rPr>
              <w:t xml:space="preserve">Not </w:t>
            </w:r>
            <w:r w:rsidR="00223780">
              <w:rPr>
                <w:rFonts w:cstheme="minorHAnsi"/>
                <w:rtl w:val="0"/>
                <w:cs w:val="0"/>
              </w:rPr>
              <w:t>a</w:t>
            </w:r>
            <w:r w:rsidRPr="00CB7CEF">
              <w:rPr>
                <w:rFonts w:cstheme="minorHAnsi"/>
                <w:rtl w:val="0"/>
                <w:cs w:val="0"/>
              </w:rPr>
              <w:t xml:space="preserve">pplicable </w:t>
            </w:r>
            <w:r w:rsidRPr="00CB7CEF">
              <w:rPr>
                <w:rFonts w:cstheme="minorHAnsi"/>
                <w:cs w:val="0"/>
              </w:rPr>
              <w:t xml:space="preserve"> </w:t>
            </w:r>
          </w:p>
        </w:tc>
        <w:tc>
          <w:tcPr>
            <w:tcW w:w="1308" w:type="pct"/>
            <w:shd w:val="clear" w:color="auto" w:fill="FFFFFF" w:themeFill="background1"/>
          </w:tcPr>
          <w:p w14:paraId="7E571D3D"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Specific projects, measures and activities to be implemented to contribute to mitigation co-benefits, including information on adaptation plans that also yield mitigation co-benefits, which may cover, but are not limited to, key sectors, such as energy, resources, water resources, coastal resources, human settlements and urban planning, agriculture and forestry; and economic diversification actions, which may cover, but are not limited to, sectors such as manufacturing and industry, energy and mining, transport and communication, construction, tourism, real estate, agriculture and fisheries</w:t>
            </w:r>
          </w:p>
        </w:tc>
        <w:tc>
          <w:tcPr>
            <w:tcW w:w="348" w:type="pct"/>
            <w:shd w:val="clear" w:color="auto" w:fill="FFFFFF" w:themeFill="background1"/>
          </w:tcPr>
          <w:p w14:paraId="6F099E13" w14:textId="77777777" w:rsidR="001B5725" w:rsidRPr="00CB7CEF" w:rsidRDefault="001B5725" w:rsidP="001B5725">
            <w:pPr>
              <w:pStyle w:val="DecimalAligned"/>
              <w:numPr>
                <w:ilvl w:val="0"/>
                <w:numId w:val="19"/>
              </w:numPr>
              <w:bidi w:val="0"/>
              <w:spacing w:before="60" w:after="0" w:line="264" w:lineRule="auto"/>
            </w:pPr>
          </w:p>
        </w:tc>
      </w:tr>
      <w:tr w:rsidR="001B5725" w:rsidRPr="00CB7CEF" w14:paraId="67825D97" w14:textId="77777777" w:rsidTr="00814688">
        <w:trPr>
          <w:trHeight w:val="80"/>
        </w:trPr>
        <w:tc>
          <w:tcPr>
            <w:tcW w:w="4652" w:type="pct"/>
            <w:gridSpan w:val="2"/>
            <w:shd w:val="clear" w:color="auto" w:fill="5B9BD5" w:themeFill="accent1"/>
            <w:noWrap/>
          </w:tcPr>
          <w:p w14:paraId="72B4D224"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b/>
                <w:bCs/>
                <w:sz w:val="20"/>
                <w:szCs w:val="20"/>
              </w:rPr>
              <w:t>Assumptions and methodological approaches, including those for estimating and accounting for anthropogenic greenhouse gas emissions and, as appropriate, removals:</w:t>
            </w:r>
          </w:p>
        </w:tc>
        <w:tc>
          <w:tcPr>
            <w:tcW w:w="348" w:type="pct"/>
            <w:shd w:val="clear" w:color="auto" w:fill="5B9BD5" w:themeFill="accent1"/>
          </w:tcPr>
          <w:p w14:paraId="1DEEA6D1" w14:textId="77777777" w:rsidR="001B5725" w:rsidRPr="00CB7CEF" w:rsidRDefault="001B5725" w:rsidP="001B5725">
            <w:pPr>
              <w:pStyle w:val="DecimalAligned"/>
              <w:bidi w:val="0"/>
              <w:spacing w:before="60" w:after="0" w:line="264" w:lineRule="auto"/>
              <w:ind w:left="360"/>
            </w:pPr>
            <w:r w:rsidRPr="00CB7CEF">
              <w:t>5</w:t>
            </w:r>
          </w:p>
        </w:tc>
      </w:tr>
      <w:tr w:rsidR="001B5725" w:rsidRPr="00CB7CEF" w14:paraId="21332C8C" w14:textId="77777777" w:rsidTr="00814688">
        <w:trPr>
          <w:trHeight w:val="80"/>
        </w:trPr>
        <w:tc>
          <w:tcPr>
            <w:tcW w:w="3344" w:type="pct"/>
            <w:shd w:val="clear" w:color="auto" w:fill="FFFFFF" w:themeFill="background1"/>
            <w:noWrap/>
          </w:tcPr>
          <w:p w14:paraId="5EB51DEB" w14:textId="23F5E9D9" w:rsidR="001B5725" w:rsidRPr="00CB7CEF" w:rsidRDefault="001B5725" w:rsidP="001B5725">
            <w:pPr>
              <w:bidi w:val="0"/>
              <w:spacing w:before="60" w:line="264" w:lineRule="auto"/>
              <w:rPr>
                <w:rtl w:val="0"/>
                <w:cs w:val="0"/>
              </w:rPr>
            </w:pPr>
            <w:r w:rsidRPr="00CB7CEF">
              <w:rPr>
                <w:rtl w:val="0"/>
                <w:cs w:val="0"/>
              </w:rPr>
              <w:t xml:space="preserve">In accordance with the modalities, procedures and guidelines outlined in Decisions 4/CMA.1 and 18/CMA.1 of the Paris Rulebook, Israel will publish </w:t>
            </w:r>
            <w:r w:rsidR="00223780">
              <w:rPr>
                <w:rtl w:val="0"/>
                <w:cs w:val="0"/>
              </w:rPr>
              <w:t xml:space="preserve">and submit to the UNFCCC, </w:t>
            </w:r>
            <w:r w:rsidRPr="00CB7CEF">
              <w:rPr>
                <w:rtl w:val="0"/>
                <w:cs w:val="0"/>
              </w:rPr>
              <w:t>an annual National Inventory Report and Biennial Transparency Report by 31 December 2024 at the latest, and biennially thereafter</w:t>
            </w:r>
            <w:r w:rsidR="00223780">
              <w:rPr>
                <w:rtl w:val="0"/>
                <w:cs w:val="0"/>
              </w:rPr>
              <w:t>.</w:t>
            </w:r>
            <w:r w:rsidRPr="00CB7CEF">
              <w:rPr>
                <w:rtl w:val="0"/>
                <w:cs w:val="0"/>
              </w:rPr>
              <w:t xml:space="preserve"> </w:t>
            </w:r>
          </w:p>
          <w:p w14:paraId="0E293310" w14:textId="77777777" w:rsidR="001B5725" w:rsidRPr="00CB7CEF" w:rsidRDefault="001B5725" w:rsidP="001B5725">
            <w:pPr>
              <w:bidi w:val="0"/>
              <w:spacing w:before="60" w:line="264" w:lineRule="auto"/>
              <w:rPr>
                <w:rtl w:val="0"/>
                <w:cs w:val="0"/>
              </w:rPr>
            </w:pPr>
            <w:r w:rsidRPr="00EA0698">
              <w:rPr>
                <w:rtl w:val="0"/>
                <w:cs w:val="0"/>
              </w:rPr>
              <w:t>The National Inventory Report will account for Israel anthropogenic GHG emissions and removals</w:t>
            </w:r>
            <w:r w:rsidRPr="00CB7CEF">
              <w:rPr>
                <w:rtl w:val="0"/>
                <w:cs w:val="0"/>
              </w:rPr>
              <w:t xml:space="preserve"> and the Biennial Transparency Report will report on progress towards the Israel’s NDC. </w:t>
            </w:r>
          </w:p>
          <w:p w14:paraId="1113E97E" w14:textId="014D5101" w:rsidR="001B5725" w:rsidRPr="00CB7CEF" w:rsidRDefault="001B5725" w:rsidP="001B5725">
            <w:pPr>
              <w:bidi w:val="0"/>
              <w:spacing w:before="60" w:line="264" w:lineRule="auto"/>
              <w:rPr>
                <w:cs w:val="0"/>
              </w:rPr>
            </w:pPr>
            <w:r w:rsidRPr="00CB7CEF">
              <w:rPr>
                <w:rtl w:val="0"/>
                <w:cs w:val="0"/>
              </w:rPr>
              <w:t xml:space="preserve">Israel will compare achieved net GHG emission reductions with its NDC target for 2030. </w:t>
            </w:r>
          </w:p>
          <w:p w14:paraId="4255BF0D" w14:textId="77777777" w:rsidR="001B5725" w:rsidRPr="00CB7CEF" w:rsidRDefault="001B5725" w:rsidP="001B5725">
            <w:pPr>
              <w:bidi w:val="0"/>
              <w:spacing w:before="60" w:line="264" w:lineRule="auto"/>
              <w:rPr>
                <w:rtl w:val="0"/>
                <w:cs w:val="0"/>
              </w:rPr>
            </w:pPr>
          </w:p>
          <w:p w14:paraId="06D0A596" w14:textId="77777777" w:rsidR="001B5725" w:rsidRPr="00CB7CEF" w:rsidRDefault="001B5725" w:rsidP="001B5725">
            <w:pPr>
              <w:bidi w:val="0"/>
              <w:spacing w:before="60" w:line="264" w:lineRule="auto"/>
              <w:rPr>
                <w:rtl w:val="0"/>
                <w:cs w:val="0"/>
              </w:rPr>
            </w:pPr>
            <w:r w:rsidRPr="00CB7CEF">
              <w:rPr>
                <w:rtl w:val="0"/>
                <w:cs w:val="0"/>
              </w:rPr>
              <w:t xml:space="preserve">Israel will comply with future UNFCCC reporting guidelines on tracking, and reporting on progress. </w:t>
            </w:r>
          </w:p>
          <w:p w14:paraId="2284B5FF" w14:textId="6B52357A" w:rsidR="001B5725" w:rsidRPr="00CB7CEF" w:rsidRDefault="001B5725" w:rsidP="001B5725">
            <w:pPr>
              <w:bidi w:val="0"/>
              <w:spacing w:before="60" w:line="264" w:lineRule="auto"/>
              <w:rPr>
                <w:rtl w:val="0"/>
                <w:cs w:val="0"/>
              </w:rPr>
            </w:pPr>
            <w:r w:rsidRPr="00CB7CEF">
              <w:rPr>
                <w:rtl w:val="0"/>
                <w:cs w:val="0"/>
              </w:rPr>
              <w:t xml:space="preserve">For current IPCC methodologies and metrics used, see </w:t>
            </w:r>
            <w:r w:rsidR="00A51BF8">
              <w:rPr>
                <w:rtl w:val="0"/>
                <w:cs w:val="0"/>
              </w:rPr>
              <w:t>s</w:t>
            </w:r>
            <w:r w:rsidRPr="00CB7CEF">
              <w:rPr>
                <w:rtl w:val="0"/>
                <w:cs w:val="0"/>
              </w:rPr>
              <w:t xml:space="preserve">ection </w:t>
            </w:r>
            <w:r w:rsidR="00635098">
              <w:rPr>
                <w:rtl w:val="0"/>
                <w:cs w:val="0"/>
              </w:rPr>
              <w:t>5(d).</w:t>
            </w:r>
            <w:r w:rsidRPr="00CB7CEF">
              <w:rPr>
                <w:rtl w:val="0"/>
                <w:cs w:val="0"/>
              </w:rPr>
              <w:t xml:space="preserve"> </w:t>
            </w:r>
          </w:p>
          <w:p w14:paraId="43F1366E" w14:textId="0C43BDD7" w:rsidR="001B5725" w:rsidRPr="00CB7CEF" w:rsidRDefault="001B5725" w:rsidP="001B5725">
            <w:pPr>
              <w:bidi w:val="0"/>
              <w:spacing w:before="60" w:line="264" w:lineRule="auto"/>
              <w:rPr>
                <w:cs w:val="0"/>
              </w:rPr>
            </w:pPr>
            <w:r w:rsidRPr="00CB7CEF">
              <w:rPr>
                <w:rtl w:val="0"/>
                <w:cs w:val="0"/>
              </w:rPr>
              <w:t>Final accounting towards the target will take place in 2032. It will be based on the 20</w:t>
            </w:r>
            <w:r>
              <w:rPr>
                <w:rtl w:val="0"/>
                <w:cs w:val="0"/>
              </w:rPr>
              <w:t>08</w:t>
            </w:r>
            <w:r w:rsidRPr="00CB7CEF">
              <w:rPr>
                <w:rtl w:val="0"/>
                <w:cs w:val="0"/>
              </w:rPr>
              <w:t xml:space="preserve">-2030 Israel GHG Inventory, </w:t>
            </w:r>
            <w:r>
              <w:rPr>
                <w:rtl w:val="0"/>
                <w:cs w:val="0"/>
              </w:rPr>
              <w:t>by comparing</w:t>
            </w:r>
            <w:r w:rsidRPr="00CB7CEF">
              <w:rPr>
                <w:rtl w:val="0"/>
                <w:cs w:val="0"/>
              </w:rPr>
              <w:t xml:space="preserve"> 2030 net GHG emissions to </w:t>
            </w:r>
            <w:r>
              <w:rPr>
                <w:rtl w:val="0"/>
                <w:cs w:val="0"/>
              </w:rPr>
              <w:t>the</w:t>
            </w:r>
            <w:r w:rsidRPr="00CB7CEF">
              <w:rPr>
                <w:rtl w:val="0"/>
                <w:cs w:val="0"/>
              </w:rPr>
              <w:t xml:space="preserve"> 2015 reference year.</w:t>
            </w:r>
          </w:p>
          <w:p w14:paraId="706923D0" w14:textId="6E8488D7" w:rsidR="001B5725" w:rsidRPr="00CB7CEF" w:rsidRDefault="001B5725" w:rsidP="001B5725">
            <w:pPr>
              <w:bidi w:val="0"/>
              <w:spacing w:before="60" w:line="264" w:lineRule="auto"/>
              <w:rPr>
                <w:highlight w:val="cyan"/>
                <w:rtl w:val="0"/>
                <w:cs w:val="0"/>
              </w:rPr>
            </w:pPr>
          </w:p>
        </w:tc>
        <w:tc>
          <w:tcPr>
            <w:tcW w:w="1308" w:type="pct"/>
            <w:shd w:val="clear" w:color="auto" w:fill="FFFFFF" w:themeFill="background1"/>
          </w:tcPr>
          <w:p w14:paraId="0C8FD01A" w14:textId="47C02311" w:rsidR="001B5725" w:rsidRPr="00CB7CEF" w:rsidRDefault="001B5725" w:rsidP="001B5725">
            <w:pPr>
              <w:pStyle w:val="DecimalAligned"/>
              <w:bidi w:val="0"/>
              <w:spacing w:before="60" w:after="0" w:line="264" w:lineRule="auto"/>
              <w:rPr>
                <w:rFonts w:ascii="Times New Roman" w:hAnsi="Times New Roman"/>
                <w:sz w:val="20"/>
                <w:szCs w:val="20"/>
                <w:highlight w:val="cyan"/>
                <w:rtl/>
                <w:cs/>
              </w:rPr>
            </w:pPr>
            <w:r w:rsidRPr="00CB7CEF">
              <w:rPr>
                <w:rFonts w:ascii="Times New Roman" w:hAnsi="Times New Roman"/>
                <w:sz w:val="20"/>
                <w:szCs w:val="20"/>
              </w:rPr>
              <w:t>Assumptions and methodological approaches used for accounting for anthropogenic greenhouse gas emissions and removals corresponding to the Party’s nationally determined contribution, consistent with decision 1/CP.21, paragraph 31, and accounting guidance adopted by the CMA;</w:t>
            </w:r>
          </w:p>
        </w:tc>
        <w:tc>
          <w:tcPr>
            <w:tcW w:w="348" w:type="pct"/>
            <w:shd w:val="clear" w:color="auto" w:fill="FFFFFF" w:themeFill="background1"/>
          </w:tcPr>
          <w:p w14:paraId="042F2F38" w14:textId="77777777" w:rsidR="001B5725" w:rsidRPr="00CB7CEF" w:rsidRDefault="001B5725" w:rsidP="001B5725">
            <w:pPr>
              <w:pStyle w:val="DecimalAligned"/>
              <w:numPr>
                <w:ilvl w:val="0"/>
                <w:numId w:val="20"/>
              </w:numPr>
              <w:bidi w:val="0"/>
              <w:spacing w:before="60" w:after="0" w:line="264" w:lineRule="auto"/>
            </w:pPr>
          </w:p>
        </w:tc>
      </w:tr>
      <w:tr w:rsidR="001B5725" w:rsidRPr="00CB7CEF" w14:paraId="7A22B100" w14:textId="77777777" w:rsidTr="00DE20A5">
        <w:trPr>
          <w:trHeight w:val="80"/>
        </w:trPr>
        <w:tc>
          <w:tcPr>
            <w:tcW w:w="3344" w:type="pct"/>
            <w:shd w:val="clear" w:color="auto" w:fill="FFFFFF" w:themeFill="background1"/>
            <w:noWrap/>
          </w:tcPr>
          <w:p w14:paraId="69D584FB" w14:textId="659C357F" w:rsidR="001B5725" w:rsidRPr="00CB7CEF" w:rsidRDefault="001B5725" w:rsidP="001B5725">
            <w:pPr>
              <w:bidi w:val="0"/>
              <w:spacing w:before="60" w:line="264" w:lineRule="auto"/>
              <w:rPr>
                <w:rtl w:val="0"/>
                <w:cs w:val="0"/>
              </w:rPr>
            </w:pPr>
            <w:r w:rsidRPr="00CB7CEF">
              <w:rPr>
                <w:rtl w:val="0"/>
                <w:cs w:val="0"/>
              </w:rPr>
              <w:t>For domestic MRV and UNFCCC reporting see section 4(a)(i) above.</w:t>
            </w:r>
          </w:p>
          <w:p w14:paraId="0F3C2ECE" w14:textId="6EF15597" w:rsidR="00DF439D" w:rsidRDefault="00DF439D" w:rsidP="001B5725">
            <w:pPr>
              <w:bidi w:val="0"/>
              <w:spacing w:before="60" w:line="264" w:lineRule="auto"/>
              <w:rPr>
                <w:rtl w:val="0"/>
                <w:cs w:val="0"/>
              </w:rPr>
            </w:pPr>
            <w:r>
              <w:rPr>
                <w:rtl w:val="0"/>
                <w:cs w:val="0"/>
              </w:rPr>
              <w:t xml:space="preserve">Israel has established a market-wide and sector specific GHG emissions modelling framework which enables to forecast emissions throughout to 2050 given different scenarios, abatement measures and assumptions.   </w:t>
            </w:r>
          </w:p>
          <w:p w14:paraId="619BB79A" w14:textId="573B4DAB" w:rsidR="001B5725" w:rsidRPr="00CB7CEF" w:rsidRDefault="00DF439D" w:rsidP="00DF439D">
            <w:pPr>
              <w:bidi w:val="0"/>
              <w:spacing w:before="60" w:line="264" w:lineRule="auto"/>
              <w:rPr>
                <w:rtl w:val="0"/>
                <w:cs w:val="0"/>
              </w:rPr>
            </w:pPr>
            <w:r>
              <w:rPr>
                <w:rtl w:val="0"/>
                <w:cs w:val="0"/>
              </w:rPr>
              <w:t>In addition, Israel has an</w:t>
            </w:r>
            <w:r w:rsidR="001B5725" w:rsidRPr="00CB7CEF">
              <w:rPr>
                <w:rtl w:val="0"/>
                <w:cs w:val="0"/>
              </w:rPr>
              <w:t xml:space="preserve"> MRV system </w:t>
            </w:r>
            <w:r>
              <w:rPr>
                <w:rtl w:val="0"/>
                <w:cs w:val="0"/>
              </w:rPr>
              <w:t xml:space="preserve">which </w:t>
            </w:r>
            <w:r w:rsidR="001B5725" w:rsidRPr="00CB7CEF">
              <w:rPr>
                <w:rtl w:val="0"/>
                <w:cs w:val="0"/>
              </w:rPr>
              <w:t xml:space="preserve">produces the following annual </w:t>
            </w:r>
            <w:r>
              <w:rPr>
                <w:rtl w:val="0"/>
                <w:cs w:val="0"/>
              </w:rPr>
              <w:t>information and results</w:t>
            </w:r>
            <w:r w:rsidR="001B5725" w:rsidRPr="00CB7CEF">
              <w:rPr>
                <w:rtl w:val="0"/>
                <w:cs w:val="0"/>
              </w:rPr>
              <w:t>:</w:t>
            </w:r>
          </w:p>
          <w:p w14:paraId="245A2F0C" w14:textId="77777777" w:rsidR="001B5725" w:rsidRPr="00CB7CEF" w:rsidRDefault="001B5725" w:rsidP="001B5725">
            <w:pPr>
              <w:bidi w:val="0"/>
              <w:spacing w:before="60" w:line="264" w:lineRule="auto"/>
              <w:rPr>
                <w:rtl w:val="0"/>
                <w:cs w:val="0"/>
              </w:rPr>
            </w:pPr>
          </w:p>
          <w:p w14:paraId="3C7538CE" w14:textId="0DEE70C2" w:rsidR="001B5725" w:rsidRPr="00CB7CEF" w:rsidRDefault="001B5725" w:rsidP="001B5725">
            <w:pPr>
              <w:bidi w:val="0"/>
              <w:spacing w:before="60" w:line="264" w:lineRule="auto"/>
              <w:rPr>
                <w:cs w:val="0"/>
              </w:rPr>
            </w:pPr>
            <w:r w:rsidRPr="00CB7CEF">
              <w:rPr>
                <w:rtl w:val="0"/>
                <w:cs w:val="0"/>
              </w:rPr>
              <w:t>→ Policy Measure Impacts: Within the MRV system framework, both achieved (ex-post) and expected (ex-ante) emission reductions are monitored for key policy measures</w:t>
            </w:r>
            <w:r w:rsidRPr="00CB7CEF">
              <w:rPr>
                <w:rFonts w:cs="Arial"/>
                <w:cs w:val="0"/>
              </w:rPr>
              <w:t>.</w:t>
            </w:r>
          </w:p>
          <w:p w14:paraId="781116F7" w14:textId="77777777" w:rsidR="001B5725" w:rsidRPr="00CB7CEF" w:rsidRDefault="001B5725" w:rsidP="001B5725">
            <w:pPr>
              <w:bidi w:val="0"/>
              <w:spacing w:before="60" w:line="264" w:lineRule="auto"/>
              <w:rPr>
                <w:cs w:val="0"/>
              </w:rPr>
            </w:pPr>
            <w:r w:rsidRPr="00CB7CEF">
              <w:rPr>
                <w:rtl w:val="0"/>
                <w:cs w:val="0"/>
              </w:rPr>
              <w:t>The expected reductions are calculated for each of the target years (2020, 2025 and 2030), for two levels of implementation</w:t>
            </w:r>
            <w:r w:rsidRPr="00CB7CEF">
              <w:rPr>
                <w:rFonts w:cs="Arial"/>
                <w:cs w:val="0"/>
              </w:rPr>
              <w:t>:</w:t>
            </w:r>
          </w:p>
          <w:p w14:paraId="42AB03A8" w14:textId="4A687581" w:rsidR="001B5725" w:rsidRPr="00CB7CEF" w:rsidRDefault="001B5725" w:rsidP="001B5725">
            <w:pPr>
              <w:pStyle w:val="ListParagraph"/>
              <w:numPr>
                <w:ilvl w:val="0"/>
                <w:numId w:val="38"/>
              </w:numPr>
              <w:bidi w:val="0"/>
              <w:spacing w:before="60" w:line="264" w:lineRule="auto"/>
              <w:rPr>
                <w:cs w:val="0"/>
              </w:rPr>
            </w:pPr>
            <w:r w:rsidRPr="00CB7CEF">
              <w:rPr>
                <w:rtl w:val="0"/>
                <w:cs w:val="0"/>
              </w:rPr>
              <w:t>Implementation of the policy measure to the extent that it has already approved (but not necessarily fully implemented)</w:t>
            </w:r>
          </w:p>
          <w:p w14:paraId="35B81CAC" w14:textId="7D0FB016" w:rsidR="001B5725" w:rsidRPr="00CB7CEF" w:rsidRDefault="001B5725" w:rsidP="001B5725">
            <w:pPr>
              <w:pStyle w:val="ListParagraph"/>
              <w:numPr>
                <w:ilvl w:val="0"/>
                <w:numId w:val="38"/>
              </w:numPr>
              <w:bidi w:val="0"/>
              <w:spacing w:before="60" w:line="264" w:lineRule="auto"/>
              <w:rPr>
                <w:cs w:val="0"/>
              </w:rPr>
            </w:pPr>
            <w:r w:rsidRPr="00CB7CEF">
              <w:rPr>
                <w:rtl w:val="0"/>
                <w:cs w:val="0"/>
              </w:rPr>
              <w:t>Implementation in accordance with approved sectorial targets</w:t>
            </w:r>
            <w:r w:rsidRPr="00CB7CEF">
              <w:rPr>
                <w:rFonts w:cs="Arial"/>
                <w:cs w:val="0"/>
              </w:rPr>
              <w:t>.</w:t>
            </w:r>
          </w:p>
          <w:p w14:paraId="73E9BF36" w14:textId="77777777" w:rsidR="001B5725" w:rsidRPr="00CB7CEF" w:rsidRDefault="001B5725" w:rsidP="001B5725">
            <w:pPr>
              <w:bidi w:val="0"/>
              <w:spacing w:before="60" w:line="264" w:lineRule="auto"/>
              <w:rPr>
                <w:rtl w:val="0"/>
                <w:cs w:val="0"/>
              </w:rPr>
            </w:pPr>
          </w:p>
          <w:p w14:paraId="182405CA" w14:textId="310E2542" w:rsidR="001B5725" w:rsidRPr="00CB7CEF" w:rsidRDefault="001B5725" w:rsidP="001B5725">
            <w:pPr>
              <w:bidi w:val="0"/>
              <w:spacing w:before="60" w:line="264" w:lineRule="auto"/>
              <w:rPr>
                <w:cs w:val="0"/>
              </w:rPr>
            </w:pPr>
            <w:r w:rsidRPr="00CB7CEF">
              <w:rPr>
                <w:rtl w:val="0"/>
                <w:cs w:val="0"/>
              </w:rPr>
              <w:t>→ Abatement Scenario Emissions: Abatement scenario emissions are forecasted for each of the   target   years   and   each   of the abovementioned three levels of implementation</w:t>
            </w:r>
            <w:r w:rsidRPr="00CB7CEF">
              <w:rPr>
                <w:rFonts w:cs="Arial"/>
                <w:cs w:val="0"/>
              </w:rPr>
              <w:t>.</w:t>
            </w:r>
          </w:p>
          <w:p w14:paraId="7D53CD2D" w14:textId="3D8BAB3A" w:rsidR="001B5725" w:rsidRPr="00CB7CEF" w:rsidRDefault="001B5725" w:rsidP="001B5725">
            <w:pPr>
              <w:bidi w:val="0"/>
              <w:spacing w:before="60" w:line="264" w:lineRule="auto"/>
              <w:rPr>
                <w:rtl w:val="0"/>
                <w:cs w:val="0"/>
              </w:rPr>
            </w:pPr>
            <w:r w:rsidRPr="00CB7CEF">
              <w:rPr>
                <w:rtl w:val="0"/>
                <w:cs w:val="0"/>
              </w:rPr>
              <w:t>The MRV system facilitate</w:t>
            </w:r>
            <w:r>
              <w:rPr>
                <w:rtl w:val="0"/>
                <w:cs w:val="0"/>
              </w:rPr>
              <w:t>s</w:t>
            </w:r>
            <w:r w:rsidRPr="00CB7CEF">
              <w:rPr>
                <w:rtl w:val="0"/>
                <w:cs w:val="0"/>
              </w:rPr>
              <w:t xml:space="preserve"> the following:</w:t>
            </w:r>
          </w:p>
          <w:p w14:paraId="74D4A2F8" w14:textId="77777777" w:rsidR="001B5725" w:rsidRPr="00CB7CEF" w:rsidRDefault="001B5725" w:rsidP="001B5725">
            <w:pPr>
              <w:pStyle w:val="ListParagraph"/>
              <w:numPr>
                <w:ilvl w:val="0"/>
                <w:numId w:val="41"/>
              </w:numPr>
              <w:bidi w:val="0"/>
              <w:spacing w:before="60" w:line="264" w:lineRule="auto"/>
              <w:rPr>
                <w:rtl w:val="0"/>
                <w:cs w:val="0"/>
              </w:rPr>
            </w:pPr>
            <w:r w:rsidRPr="00CB7CEF">
              <w:rPr>
                <w:rtl w:val="0"/>
                <w:cs w:val="0"/>
              </w:rPr>
              <w:t>Measurement of national progress towards achieving mitigation goals</w:t>
            </w:r>
            <w:r w:rsidRPr="00CB7CEF">
              <w:rPr>
                <w:rFonts w:cs="Arial"/>
                <w:cs w:val="0"/>
              </w:rPr>
              <w:t>.</w:t>
            </w:r>
          </w:p>
          <w:p w14:paraId="567937CD" w14:textId="3CED409D" w:rsidR="001B5725" w:rsidRPr="00CB7CEF" w:rsidRDefault="001B5725" w:rsidP="001B5725">
            <w:pPr>
              <w:pStyle w:val="ListParagraph"/>
              <w:numPr>
                <w:ilvl w:val="0"/>
                <w:numId w:val="41"/>
              </w:numPr>
              <w:bidi w:val="0"/>
              <w:spacing w:before="60" w:line="264" w:lineRule="auto"/>
              <w:rPr>
                <w:cs w:val="0"/>
              </w:rPr>
            </w:pPr>
            <w:r w:rsidRPr="00CB7CEF">
              <w:rPr>
                <w:rtl w:val="0"/>
                <w:cs w:val="0"/>
              </w:rPr>
              <w:t>Measurement of the effectiveness of specific government GHG reduction policies and actions</w:t>
            </w:r>
            <w:r w:rsidRPr="00CB7CEF">
              <w:rPr>
                <w:rFonts w:cs="Arial"/>
                <w:cs w:val="0"/>
              </w:rPr>
              <w:t>.</w:t>
            </w:r>
          </w:p>
          <w:p w14:paraId="035E9EC6" w14:textId="33443360" w:rsidR="001B5725" w:rsidRPr="00CB7CEF" w:rsidRDefault="001B5725" w:rsidP="001B5725">
            <w:pPr>
              <w:pStyle w:val="ListParagraph"/>
              <w:numPr>
                <w:ilvl w:val="0"/>
                <w:numId w:val="41"/>
              </w:numPr>
              <w:bidi w:val="0"/>
              <w:spacing w:before="60" w:line="264" w:lineRule="auto"/>
              <w:rPr>
                <w:cs w:val="0"/>
              </w:rPr>
            </w:pPr>
            <w:r w:rsidRPr="00CB7CEF">
              <w:rPr>
                <w:rtl w:val="0"/>
                <w:cs w:val="0"/>
              </w:rPr>
              <w:t>Revision and expansion of the policy actions to maximize the achieved economic and environmental benefits</w:t>
            </w:r>
            <w:r w:rsidRPr="00CB7CEF">
              <w:rPr>
                <w:cs w:val="0"/>
              </w:rPr>
              <w:t>.</w:t>
            </w:r>
          </w:p>
          <w:p w14:paraId="5FFDC99A" w14:textId="7F3FA973" w:rsidR="001B5725" w:rsidRPr="00CB7CEF" w:rsidRDefault="001B5725" w:rsidP="001B5725">
            <w:pPr>
              <w:pStyle w:val="ListParagraph"/>
              <w:numPr>
                <w:ilvl w:val="0"/>
                <w:numId w:val="41"/>
              </w:numPr>
              <w:bidi w:val="0"/>
              <w:spacing w:before="60" w:line="264" w:lineRule="auto"/>
              <w:rPr>
                <w:cs w:val="0"/>
              </w:rPr>
            </w:pPr>
            <w:r w:rsidRPr="00CB7CEF">
              <w:rPr>
                <w:rtl w:val="0"/>
                <w:cs w:val="0"/>
              </w:rPr>
              <w:t>Fulfillment of reporting obligations to the UN on mitigation actions by Israel and their effects</w:t>
            </w:r>
            <w:r w:rsidRPr="00CB7CEF">
              <w:rPr>
                <w:cs w:val="0"/>
              </w:rPr>
              <w:t>.</w:t>
            </w:r>
          </w:p>
          <w:p w14:paraId="262BF136" w14:textId="590885D4" w:rsidR="001B5725" w:rsidRPr="00CB7CEF" w:rsidRDefault="001B5725" w:rsidP="001B5725">
            <w:pPr>
              <w:pStyle w:val="ListParagraph"/>
              <w:numPr>
                <w:ilvl w:val="0"/>
                <w:numId w:val="41"/>
              </w:numPr>
              <w:bidi w:val="0"/>
              <w:spacing w:before="60" w:line="264" w:lineRule="auto"/>
              <w:rPr>
                <w:cs w:val="0"/>
              </w:rPr>
            </w:pPr>
            <w:r w:rsidRPr="00CB7CEF">
              <w:rPr>
                <w:rtl w:val="0"/>
                <w:cs w:val="0"/>
              </w:rPr>
              <w:t>Transparency of information on Israel’s progress towards its reduction goals</w:t>
            </w:r>
          </w:p>
          <w:p w14:paraId="44CC24C1" w14:textId="77777777" w:rsidR="001B5725" w:rsidRPr="00CB7CEF" w:rsidRDefault="001B5725" w:rsidP="001B5725">
            <w:pPr>
              <w:bidi w:val="0"/>
              <w:spacing w:before="60" w:line="264" w:lineRule="auto"/>
              <w:ind w:left="360"/>
              <w:rPr>
                <w:rFonts w:cs="Arial"/>
                <w:rtl w:val="0"/>
                <w:cs w:val="0"/>
              </w:rPr>
            </w:pPr>
            <w:r w:rsidRPr="00CB7CEF">
              <w:rPr>
                <w:rtl w:val="0"/>
                <w:cs w:val="0"/>
              </w:rPr>
              <w:t xml:space="preserve">The monitoring is conducted </w:t>
            </w:r>
            <w:proofErr w:type="gramStart"/>
            <w:r w:rsidRPr="00CB7CEF">
              <w:rPr>
                <w:rtl w:val="0"/>
                <w:cs w:val="0"/>
              </w:rPr>
              <w:t>on the basis of</w:t>
            </w:r>
            <w:proofErr w:type="gramEnd"/>
            <w:r w:rsidRPr="00CB7CEF">
              <w:rPr>
                <w:rtl w:val="0"/>
                <w:cs w:val="0"/>
              </w:rPr>
              <w:t xml:space="preserve"> approved government methodologies, which define the calculation methodology, the parameters to be monitored, and the requisite QA/ QC procedures. The methodologies also define the </w:t>
            </w:r>
            <w:proofErr w:type="gramStart"/>
            <w:r w:rsidRPr="00CB7CEF">
              <w:rPr>
                <w:rtl w:val="0"/>
                <w:cs w:val="0"/>
              </w:rPr>
              <w:t>manner in which</w:t>
            </w:r>
            <w:proofErr w:type="gramEnd"/>
            <w:r w:rsidRPr="00CB7CEF">
              <w:rPr>
                <w:rtl w:val="0"/>
                <w:cs w:val="0"/>
              </w:rPr>
              <w:t xml:space="preserve"> overlapping effects between different government measures are accounted for in order to avoid double counting</w:t>
            </w:r>
            <w:r w:rsidRPr="00CB7CEF">
              <w:rPr>
                <w:rFonts w:cs="Arial"/>
                <w:cs w:val="0"/>
              </w:rPr>
              <w:t>.</w:t>
            </w:r>
          </w:p>
          <w:p w14:paraId="45C4E1FC" w14:textId="0F7CE0E3" w:rsidR="001B5725" w:rsidRPr="00CB7CEF" w:rsidRDefault="001B5725" w:rsidP="001B5725">
            <w:pPr>
              <w:bidi w:val="0"/>
              <w:spacing w:before="60" w:line="264" w:lineRule="auto"/>
              <w:ind w:left="360"/>
              <w:rPr>
                <w:cs w:val="0"/>
              </w:rPr>
            </w:pPr>
            <w:r w:rsidRPr="00CB7CEF">
              <w:rPr>
                <w:rtl w:val="0"/>
                <w:cs w:val="0"/>
              </w:rPr>
              <w:t>The current methodologies under approval within the MRV system framework are</w:t>
            </w:r>
            <w:r w:rsidRPr="00CB7CEF">
              <w:rPr>
                <w:rFonts w:cs="Arial"/>
                <w:cs w:val="0"/>
              </w:rPr>
              <w:t>:</w:t>
            </w:r>
          </w:p>
          <w:p w14:paraId="2D1E6D45" w14:textId="44D268D3" w:rsidR="001B5725" w:rsidRPr="00CB7CEF" w:rsidRDefault="001B5725" w:rsidP="001B5725">
            <w:pPr>
              <w:pStyle w:val="ListParagraph"/>
              <w:numPr>
                <w:ilvl w:val="1"/>
                <w:numId w:val="41"/>
              </w:numPr>
              <w:bidi w:val="0"/>
              <w:spacing w:before="60" w:line="264" w:lineRule="auto"/>
              <w:rPr>
                <w:cs w:val="0"/>
              </w:rPr>
            </w:pPr>
            <w:r w:rsidRPr="00CB7CEF">
              <w:rPr>
                <w:rtl w:val="0"/>
                <w:cs w:val="0"/>
              </w:rPr>
              <w:t>Monitoring fuel consumption and emission reductions in power generation</w:t>
            </w:r>
          </w:p>
          <w:p w14:paraId="0352B90D" w14:textId="77099C9E" w:rsidR="001B5725" w:rsidRPr="00CB7CEF" w:rsidRDefault="001B5725" w:rsidP="006A75A2">
            <w:pPr>
              <w:pStyle w:val="ListParagraph"/>
              <w:numPr>
                <w:ilvl w:val="1"/>
                <w:numId w:val="41"/>
              </w:numPr>
              <w:bidi w:val="0"/>
              <w:spacing w:before="60" w:line="264" w:lineRule="auto"/>
              <w:rPr>
                <w:cs w:val="0"/>
              </w:rPr>
            </w:pPr>
            <w:r w:rsidRPr="00CB7CEF">
              <w:rPr>
                <w:rtl w:val="0"/>
                <w:cs w:val="0"/>
              </w:rPr>
              <w:t>Monitoring energy efficiency and electricity consumption</w:t>
            </w:r>
          </w:p>
          <w:p w14:paraId="1791D80E" w14:textId="7D241124" w:rsidR="001B5725" w:rsidRPr="00CB7CEF" w:rsidRDefault="001B5725" w:rsidP="001B5725">
            <w:pPr>
              <w:pStyle w:val="ListParagraph"/>
              <w:numPr>
                <w:ilvl w:val="1"/>
                <w:numId w:val="41"/>
              </w:numPr>
              <w:bidi w:val="0"/>
              <w:spacing w:before="60" w:line="264" w:lineRule="auto"/>
              <w:rPr>
                <w:cs w:val="0"/>
              </w:rPr>
            </w:pPr>
            <w:r w:rsidRPr="00CB7CEF">
              <w:rPr>
                <w:rtl w:val="0"/>
                <w:cs w:val="0"/>
              </w:rPr>
              <w:t>Monitoring energy efficiency in buildings</w:t>
            </w:r>
          </w:p>
          <w:p w14:paraId="511A4AA2" w14:textId="66F794D4" w:rsidR="001B5725" w:rsidRPr="00CB7CEF" w:rsidRDefault="001B5725" w:rsidP="001B5725">
            <w:pPr>
              <w:pStyle w:val="ListParagraph"/>
              <w:numPr>
                <w:ilvl w:val="1"/>
                <w:numId w:val="41"/>
              </w:numPr>
              <w:bidi w:val="0"/>
              <w:spacing w:before="60" w:line="264" w:lineRule="auto"/>
              <w:rPr>
                <w:cs w:val="0"/>
              </w:rPr>
            </w:pPr>
            <w:r w:rsidRPr="00CB7CEF">
              <w:rPr>
                <w:rtl w:val="0"/>
                <w:cs w:val="0"/>
              </w:rPr>
              <w:t>Monitoring grant programs and support for energy efficiency and reduction of greenhouse gas emissions projects</w:t>
            </w:r>
          </w:p>
          <w:p w14:paraId="78AE0682" w14:textId="0D662430" w:rsidR="001B5725" w:rsidRPr="00CB7CEF" w:rsidRDefault="001B5725" w:rsidP="001B5725">
            <w:pPr>
              <w:pStyle w:val="ListParagraph"/>
              <w:numPr>
                <w:ilvl w:val="1"/>
                <w:numId w:val="41"/>
              </w:numPr>
              <w:bidi w:val="0"/>
              <w:spacing w:before="60" w:line="264" w:lineRule="auto"/>
              <w:rPr>
                <w:cs w:val="0"/>
              </w:rPr>
            </w:pPr>
            <w:r w:rsidRPr="00CB7CEF">
              <w:rPr>
                <w:rtl w:val="0"/>
                <w:cs w:val="0"/>
              </w:rPr>
              <w:t>Monitoring fuel consumption and emission reductions in the transport sector</w:t>
            </w:r>
          </w:p>
          <w:p w14:paraId="473CAB60" w14:textId="228704E7" w:rsidR="001B5725" w:rsidRPr="00CB7CEF" w:rsidRDefault="001B5725" w:rsidP="001B5725">
            <w:pPr>
              <w:pStyle w:val="ListParagraph"/>
              <w:numPr>
                <w:ilvl w:val="1"/>
                <w:numId w:val="41"/>
              </w:numPr>
              <w:bidi w:val="0"/>
              <w:spacing w:before="60" w:line="264" w:lineRule="auto"/>
              <w:rPr>
                <w:cs w:val="0"/>
              </w:rPr>
            </w:pPr>
            <w:r w:rsidRPr="00CB7CEF">
              <w:rPr>
                <w:rtl w:val="0"/>
                <w:cs w:val="0"/>
              </w:rPr>
              <w:t>Monitoring fuel consumption and emission reductions in industry and buildings sectors</w:t>
            </w:r>
          </w:p>
          <w:p w14:paraId="7D876F58" w14:textId="12BE9B01" w:rsidR="001B5725" w:rsidRPr="00CB7CEF" w:rsidRDefault="001B5725" w:rsidP="006A75A2">
            <w:pPr>
              <w:pStyle w:val="ListParagraph"/>
              <w:numPr>
                <w:ilvl w:val="1"/>
                <w:numId w:val="41"/>
              </w:numPr>
              <w:bidi w:val="0"/>
              <w:spacing w:before="60" w:line="264" w:lineRule="auto"/>
              <w:rPr>
                <w:cs w:val="0"/>
              </w:rPr>
            </w:pPr>
            <w:r w:rsidRPr="00CB7CEF">
              <w:rPr>
                <w:rtl w:val="0"/>
                <w:cs w:val="0"/>
              </w:rPr>
              <w:t>Monitoring emissions reduction from the prevention of solid waste landfilling and emissions from the waste sector</w:t>
            </w:r>
          </w:p>
          <w:p w14:paraId="67668E14" w14:textId="0E562772" w:rsidR="001B5725" w:rsidRPr="00CB7CEF" w:rsidRDefault="001B5725" w:rsidP="006A75A2">
            <w:pPr>
              <w:pStyle w:val="ListParagraph"/>
              <w:numPr>
                <w:ilvl w:val="1"/>
                <w:numId w:val="41"/>
              </w:numPr>
              <w:bidi w:val="0"/>
              <w:spacing w:before="60" w:line="264" w:lineRule="auto"/>
              <w:rPr>
                <w:rtl w:val="0"/>
                <w:cs w:val="0"/>
              </w:rPr>
            </w:pPr>
            <w:r w:rsidRPr="00CB7CEF">
              <w:rPr>
                <w:rtl w:val="0"/>
                <w:cs w:val="0"/>
              </w:rPr>
              <w:t>Monitoring national targets for reduction of GHG emissions from fluorinated gases</w:t>
            </w:r>
          </w:p>
          <w:p w14:paraId="22DFCAEC" w14:textId="1A33E954" w:rsidR="001B5725" w:rsidRPr="00CB7CEF" w:rsidRDefault="001B5725" w:rsidP="001B5725">
            <w:pPr>
              <w:pStyle w:val="ListParagraph"/>
              <w:numPr>
                <w:ilvl w:val="1"/>
                <w:numId w:val="41"/>
              </w:numPr>
              <w:bidi w:val="0"/>
              <w:spacing w:before="60" w:line="264" w:lineRule="auto"/>
              <w:rPr>
                <w:rtl w:val="0"/>
                <w:cs w:val="0"/>
              </w:rPr>
            </w:pPr>
            <w:r w:rsidRPr="00CB7CEF">
              <w:rPr>
                <w:rtl w:val="0"/>
                <w:cs w:val="0"/>
              </w:rPr>
              <w:t>Updating emission forecasts from agriculture, land use, wastewater and industrial process emissions</w:t>
            </w:r>
          </w:p>
          <w:p w14:paraId="3F5B8DDD" w14:textId="64657253" w:rsidR="001B5725" w:rsidRPr="00CB7CEF" w:rsidRDefault="001B5725" w:rsidP="001B5725">
            <w:pPr>
              <w:pStyle w:val="ListParagraph"/>
              <w:bidi w:val="0"/>
              <w:spacing w:before="60" w:line="264" w:lineRule="auto"/>
              <w:ind w:left="1440"/>
              <w:rPr>
                <w:rtl w:val="0"/>
                <w:cs w:val="0"/>
              </w:rPr>
            </w:pPr>
          </w:p>
        </w:tc>
        <w:tc>
          <w:tcPr>
            <w:tcW w:w="1308" w:type="pct"/>
            <w:shd w:val="clear" w:color="auto" w:fill="auto"/>
          </w:tcPr>
          <w:p w14:paraId="365E3AB7" w14:textId="77777777" w:rsidR="001B5725" w:rsidRPr="00CB7CEF" w:rsidRDefault="001B5725" w:rsidP="001B5725">
            <w:pPr>
              <w:pStyle w:val="DecimalAligned"/>
              <w:bidi w:val="0"/>
              <w:spacing w:before="60" w:after="0" w:line="264" w:lineRule="auto"/>
              <w:rPr>
                <w:rFonts w:ascii="Times New Roman" w:hAnsi="Times New Roman"/>
                <w:b/>
                <w:bCs/>
                <w:sz w:val="20"/>
                <w:szCs w:val="20"/>
              </w:rPr>
            </w:pPr>
            <w:r w:rsidRPr="00CB7CEF">
              <w:rPr>
                <w:rFonts w:ascii="Times New Roman" w:hAnsi="Times New Roman"/>
                <w:sz w:val="20"/>
                <w:szCs w:val="20"/>
              </w:rPr>
              <w:t>Assumptions and methodological approaches used for accounting for the implementation of policies and measures or strategies in the nationally determined contribution;</w:t>
            </w:r>
          </w:p>
        </w:tc>
        <w:tc>
          <w:tcPr>
            <w:tcW w:w="348" w:type="pct"/>
            <w:shd w:val="clear" w:color="auto" w:fill="FFFFFF" w:themeFill="background1"/>
          </w:tcPr>
          <w:p w14:paraId="57FF59BE" w14:textId="77777777" w:rsidR="001B5725" w:rsidRPr="00CB7CEF" w:rsidRDefault="001B5725" w:rsidP="001B5725">
            <w:pPr>
              <w:pStyle w:val="DecimalAligned"/>
              <w:numPr>
                <w:ilvl w:val="0"/>
                <w:numId w:val="20"/>
              </w:numPr>
              <w:bidi w:val="0"/>
              <w:spacing w:before="60" w:after="0" w:line="264" w:lineRule="auto"/>
            </w:pPr>
          </w:p>
        </w:tc>
      </w:tr>
      <w:tr w:rsidR="001B5725" w:rsidRPr="00CB7CEF" w14:paraId="6EDC6EC3" w14:textId="77777777" w:rsidTr="00814688">
        <w:trPr>
          <w:trHeight w:val="80"/>
        </w:trPr>
        <w:tc>
          <w:tcPr>
            <w:tcW w:w="3344" w:type="pct"/>
            <w:shd w:val="clear" w:color="auto" w:fill="FFFFFF" w:themeFill="background1"/>
            <w:noWrap/>
          </w:tcPr>
          <w:p w14:paraId="21984D59" w14:textId="4BDA810E" w:rsidR="0058784E" w:rsidRPr="0058784E" w:rsidRDefault="0058784E" w:rsidP="001B5725">
            <w:pPr>
              <w:bidi w:val="0"/>
              <w:spacing w:before="60" w:line="264" w:lineRule="auto"/>
              <w:jc w:val="both"/>
              <w:rPr>
                <w:rFonts w:cstheme="minorHAnsi"/>
                <w:rtl w:val="0"/>
                <w:cs w:val="0"/>
              </w:rPr>
            </w:pPr>
            <w:r w:rsidRPr="0058784E">
              <w:rPr>
                <w:rFonts w:cstheme="minorHAnsi"/>
                <w:rtl w:val="0"/>
                <w:cs w:val="0"/>
              </w:rPr>
              <w:t>See</w:t>
            </w:r>
            <w:r w:rsidR="00635098">
              <w:rPr>
                <w:rFonts w:cstheme="minorHAnsi"/>
                <w:rtl w:val="0"/>
                <w:cs w:val="0"/>
              </w:rPr>
              <w:t xml:space="preserve"> section</w:t>
            </w:r>
            <w:r w:rsidRPr="0058784E">
              <w:rPr>
                <w:rFonts w:cstheme="minorHAnsi"/>
                <w:rtl w:val="0"/>
                <w:cs w:val="0"/>
              </w:rPr>
              <w:t xml:space="preserve"> </w:t>
            </w:r>
            <w:r w:rsidR="00635098">
              <w:rPr>
                <w:rFonts w:cstheme="minorHAnsi"/>
                <w:rtl w:val="0"/>
                <w:cs w:val="0"/>
              </w:rPr>
              <w:t>5(d)</w:t>
            </w:r>
            <w:r w:rsidRPr="0058784E">
              <w:rPr>
                <w:rFonts w:cstheme="minorHAnsi"/>
                <w:rtl w:val="0"/>
                <w:cs w:val="0"/>
              </w:rPr>
              <w:t xml:space="preserve"> below</w:t>
            </w:r>
          </w:p>
          <w:p w14:paraId="16F41EE6" w14:textId="77777777" w:rsidR="0058784E" w:rsidRDefault="0058784E" w:rsidP="0058784E">
            <w:pPr>
              <w:bidi w:val="0"/>
              <w:spacing w:before="60" w:line="264" w:lineRule="auto"/>
              <w:jc w:val="both"/>
              <w:rPr>
                <w:rFonts w:cstheme="minorHAnsi"/>
                <w:highlight w:val="green"/>
                <w:rtl w:val="0"/>
                <w:cs w:val="0"/>
              </w:rPr>
            </w:pPr>
          </w:p>
          <w:p w14:paraId="0B4B3147" w14:textId="4EBF1301" w:rsidR="001B5725" w:rsidRPr="00CB7CEF" w:rsidRDefault="001B5725" w:rsidP="0058784E">
            <w:pPr>
              <w:bidi w:val="0"/>
              <w:spacing w:before="60" w:line="264" w:lineRule="auto"/>
              <w:jc w:val="both"/>
              <w:rPr>
                <w:rtl w:val="0"/>
                <w:cs w:val="0"/>
              </w:rPr>
            </w:pPr>
          </w:p>
        </w:tc>
        <w:tc>
          <w:tcPr>
            <w:tcW w:w="1308" w:type="pct"/>
            <w:shd w:val="clear" w:color="auto" w:fill="FFFFFF" w:themeFill="background1"/>
          </w:tcPr>
          <w:p w14:paraId="5EAE1CED" w14:textId="77777777" w:rsidR="001B5725" w:rsidRPr="00CB7CEF" w:rsidRDefault="001B5725" w:rsidP="001B5725">
            <w:pPr>
              <w:pStyle w:val="DecimalAligned"/>
              <w:bidi w:val="0"/>
              <w:spacing w:before="60" w:after="0" w:line="264" w:lineRule="auto"/>
              <w:jc w:val="both"/>
              <w:rPr>
                <w:rFonts w:ascii="Times New Roman" w:hAnsi="Times New Roman"/>
                <w:b/>
                <w:bCs/>
                <w:sz w:val="20"/>
                <w:szCs w:val="20"/>
              </w:rPr>
            </w:pPr>
            <w:r w:rsidRPr="00CB7CEF">
              <w:rPr>
                <w:rFonts w:ascii="Times New Roman" w:hAnsi="Times New Roman"/>
                <w:sz w:val="20"/>
                <w:szCs w:val="20"/>
              </w:rPr>
              <w:t xml:space="preserve">If applicable, information on how the Party will </w:t>
            </w:r>
            <w:proofErr w:type="gramStart"/>
            <w:r w:rsidRPr="00CB7CEF">
              <w:rPr>
                <w:rFonts w:ascii="Times New Roman" w:hAnsi="Times New Roman"/>
                <w:sz w:val="20"/>
                <w:szCs w:val="20"/>
              </w:rPr>
              <w:t>take into account</w:t>
            </w:r>
            <w:proofErr w:type="gramEnd"/>
            <w:r w:rsidRPr="00CB7CEF">
              <w:rPr>
                <w:rFonts w:ascii="Times New Roman" w:hAnsi="Times New Roman"/>
                <w:sz w:val="20"/>
                <w:szCs w:val="20"/>
              </w:rPr>
              <w:t xml:space="preserve"> existing methods and guidance under the Convention to account for anthropogenic emissions and removals, in accordance with Article 4, paragraph 14, of the Paris Agreement, as appropriate;</w:t>
            </w:r>
          </w:p>
        </w:tc>
        <w:tc>
          <w:tcPr>
            <w:tcW w:w="348" w:type="pct"/>
            <w:shd w:val="clear" w:color="auto" w:fill="FFFFFF" w:themeFill="background1"/>
          </w:tcPr>
          <w:p w14:paraId="58988969" w14:textId="77777777" w:rsidR="001B5725" w:rsidRPr="00CB7CEF" w:rsidRDefault="001B5725" w:rsidP="001B5725">
            <w:pPr>
              <w:pStyle w:val="DecimalAligned"/>
              <w:numPr>
                <w:ilvl w:val="0"/>
                <w:numId w:val="20"/>
              </w:numPr>
              <w:bidi w:val="0"/>
              <w:spacing w:before="60" w:after="0" w:line="264" w:lineRule="auto"/>
              <w:jc w:val="both"/>
            </w:pPr>
          </w:p>
        </w:tc>
      </w:tr>
      <w:tr w:rsidR="001B5725" w:rsidRPr="00CB7CEF" w14:paraId="4624C924" w14:textId="77777777" w:rsidTr="00814688">
        <w:trPr>
          <w:trHeight w:val="80"/>
        </w:trPr>
        <w:tc>
          <w:tcPr>
            <w:tcW w:w="3344" w:type="pct"/>
            <w:shd w:val="clear" w:color="auto" w:fill="FFFFFF" w:themeFill="background1"/>
            <w:noWrap/>
          </w:tcPr>
          <w:p w14:paraId="78A82137" w14:textId="77777777" w:rsidR="0058784E" w:rsidRPr="006A75A2" w:rsidRDefault="0058784E" w:rsidP="0058784E">
            <w:pPr>
              <w:bidi w:val="0"/>
              <w:spacing w:before="60" w:line="264" w:lineRule="auto"/>
              <w:rPr>
                <w:rFonts w:cstheme="minorHAnsi"/>
                <w:b/>
                <w:bCs/>
                <w:rtl w:val="0"/>
                <w:cs w:val="0"/>
              </w:rPr>
            </w:pPr>
            <w:r w:rsidRPr="006A75A2">
              <w:rPr>
                <w:rFonts w:cstheme="minorHAnsi"/>
                <w:b/>
                <w:bCs/>
                <w:rtl w:val="0"/>
                <w:cs w:val="0"/>
              </w:rPr>
              <w:t xml:space="preserve">IPCC methodologies: </w:t>
            </w:r>
          </w:p>
          <w:p w14:paraId="49184575" w14:textId="7C4B07BB" w:rsidR="0058784E" w:rsidRPr="006A75A2" w:rsidRDefault="0058784E" w:rsidP="00EA0698">
            <w:pPr>
              <w:bidi w:val="0"/>
              <w:spacing w:before="60" w:line="264" w:lineRule="auto"/>
              <w:rPr>
                <w:rFonts w:cstheme="minorHAnsi"/>
                <w:b/>
                <w:bCs/>
                <w:cs w:val="0"/>
              </w:rPr>
            </w:pPr>
            <w:r w:rsidRPr="006A75A2">
              <w:rPr>
                <w:rFonts w:cstheme="minorHAnsi"/>
                <w:rtl w:val="0"/>
                <w:cs w:val="0"/>
              </w:rPr>
              <w:t xml:space="preserve">The revised 1996 IPCC Guidelines for National GHG Inventories were applied for the calculation of GHGs in all sectors, except agriculture </w:t>
            </w:r>
            <w:r w:rsidR="00137245">
              <w:rPr>
                <w:rFonts w:cstheme="minorHAnsi"/>
                <w:rtl w:val="0"/>
                <w:cs w:val="0"/>
              </w:rPr>
              <w:t xml:space="preserve">and waste. Agriculture (category 4) </w:t>
            </w:r>
            <w:r w:rsidR="00EA0698">
              <w:rPr>
                <w:rFonts w:cstheme="minorHAnsi"/>
                <w:rtl w:val="0"/>
                <w:cs w:val="0"/>
              </w:rPr>
              <w:t xml:space="preserve">is calculated according to the </w:t>
            </w:r>
            <w:r w:rsidR="00EA0698" w:rsidRPr="006A75A2">
              <w:rPr>
                <w:rFonts w:cstheme="minorHAnsi"/>
                <w:rtl w:val="0"/>
                <w:cs w:val="0"/>
              </w:rPr>
              <w:t>2006 IPCC Guidelines for National GHG Inventories</w:t>
            </w:r>
            <w:r w:rsidR="00EA0698">
              <w:rPr>
                <w:rFonts w:cstheme="minorHAnsi"/>
                <w:rtl w:val="0"/>
                <w:cs w:val="0"/>
              </w:rPr>
              <w:t xml:space="preserve"> as of the 2011 Inventory year</w:t>
            </w:r>
            <w:r w:rsidR="00D96163">
              <w:rPr>
                <w:rFonts w:cstheme="minorHAnsi"/>
                <w:rtl w:val="0"/>
                <w:cs w:val="0"/>
              </w:rPr>
              <w:t xml:space="preserve">. </w:t>
            </w:r>
            <w:r w:rsidR="00137245">
              <w:rPr>
                <w:rFonts w:cstheme="minorHAnsi"/>
                <w:rtl w:val="0"/>
                <w:cs w:val="0"/>
              </w:rPr>
              <w:t>W</w:t>
            </w:r>
            <w:r w:rsidRPr="006A75A2">
              <w:rPr>
                <w:rFonts w:cstheme="minorHAnsi"/>
                <w:rtl w:val="0"/>
                <w:cs w:val="0"/>
              </w:rPr>
              <w:t>aste</w:t>
            </w:r>
            <w:r w:rsidR="00EA0698">
              <w:rPr>
                <w:rFonts w:cstheme="minorHAnsi"/>
                <w:rtl w:val="0"/>
                <w:cs w:val="0"/>
              </w:rPr>
              <w:t xml:space="preserve"> </w:t>
            </w:r>
            <w:r w:rsidR="00137245">
              <w:rPr>
                <w:rFonts w:cstheme="minorHAnsi"/>
                <w:rtl w:val="0"/>
                <w:cs w:val="0"/>
              </w:rPr>
              <w:t>(</w:t>
            </w:r>
            <w:proofErr w:type="gramStart"/>
            <w:r w:rsidR="00D96163">
              <w:rPr>
                <w:rFonts w:cstheme="minorHAnsi"/>
                <w:rtl w:val="0"/>
                <w:cs w:val="0"/>
              </w:rPr>
              <w:t xml:space="preserve">category </w:t>
            </w:r>
            <w:r w:rsidR="00137245">
              <w:rPr>
                <w:rFonts w:cstheme="minorHAnsi"/>
                <w:rtl w:val="0"/>
                <w:cs w:val="0"/>
              </w:rPr>
              <w:t xml:space="preserve"> 6</w:t>
            </w:r>
            <w:proofErr w:type="gramEnd"/>
            <w:r w:rsidR="00137245">
              <w:rPr>
                <w:rFonts w:cstheme="minorHAnsi"/>
                <w:rtl w:val="0"/>
                <w:cs w:val="0"/>
              </w:rPr>
              <w:t xml:space="preserve">) </w:t>
            </w:r>
            <w:r w:rsidR="00EA0698">
              <w:rPr>
                <w:rFonts w:cstheme="minorHAnsi"/>
                <w:rtl w:val="0"/>
                <w:cs w:val="0"/>
              </w:rPr>
              <w:t>was recalculated</w:t>
            </w:r>
            <w:r w:rsidR="00137245">
              <w:rPr>
                <w:rFonts w:cstheme="minorHAnsi"/>
                <w:rtl w:val="0"/>
                <w:cs w:val="0"/>
              </w:rPr>
              <w:t xml:space="preserve"> in 2012, </w:t>
            </w:r>
            <w:r w:rsidR="00EA0698">
              <w:rPr>
                <w:rFonts w:cstheme="minorHAnsi"/>
                <w:rtl w:val="0"/>
                <w:cs w:val="0"/>
              </w:rPr>
              <w:t xml:space="preserve"> for all inventory years according to the </w:t>
            </w:r>
            <w:r w:rsidR="00EA0698" w:rsidRPr="006A75A2">
              <w:rPr>
                <w:rFonts w:cstheme="minorHAnsi"/>
                <w:rtl w:val="0"/>
                <w:cs w:val="0"/>
              </w:rPr>
              <w:t>2006 IPCC Guidelines</w:t>
            </w:r>
            <w:r w:rsidRPr="006A75A2">
              <w:rPr>
                <w:rFonts w:cstheme="minorHAnsi"/>
                <w:rtl w:val="0"/>
                <w:cs w:val="0"/>
              </w:rPr>
              <w:t xml:space="preserve">. </w:t>
            </w:r>
          </w:p>
          <w:p w14:paraId="432D6F72" w14:textId="77777777" w:rsidR="0058784E" w:rsidRPr="006A75A2" w:rsidRDefault="0058784E" w:rsidP="0058784E">
            <w:pPr>
              <w:bidi w:val="0"/>
              <w:spacing w:before="60" w:line="264" w:lineRule="auto"/>
              <w:rPr>
                <w:rFonts w:cstheme="minorHAnsi"/>
                <w:cs w:val="0"/>
              </w:rPr>
            </w:pPr>
          </w:p>
          <w:p w14:paraId="41194F5E" w14:textId="77777777" w:rsidR="0058784E" w:rsidRPr="006A75A2" w:rsidRDefault="0058784E" w:rsidP="0058784E">
            <w:pPr>
              <w:bidi w:val="0"/>
              <w:spacing w:before="60" w:line="264" w:lineRule="auto"/>
              <w:rPr>
                <w:rFonts w:cstheme="minorHAnsi"/>
                <w:cs w:val="0"/>
              </w:rPr>
            </w:pPr>
            <w:r w:rsidRPr="006A75A2">
              <w:rPr>
                <w:rFonts w:cstheme="minorHAnsi"/>
                <w:rtl w:val="0"/>
                <w:cs w:val="0"/>
              </w:rPr>
              <w:t>Additional Guidance</w:t>
            </w:r>
            <w:r w:rsidRPr="006A75A2">
              <w:rPr>
                <w:rFonts w:cs="Calibri"/>
                <w:cs w:val="0"/>
              </w:rPr>
              <w:t>:</w:t>
            </w:r>
          </w:p>
          <w:p w14:paraId="611E5A5E" w14:textId="30780929" w:rsidR="0058784E" w:rsidRPr="006A75A2" w:rsidRDefault="0058784E" w:rsidP="0058784E">
            <w:pPr>
              <w:bidi w:val="0"/>
              <w:spacing w:before="60" w:line="264" w:lineRule="auto"/>
              <w:rPr>
                <w:rFonts w:cstheme="minorHAnsi"/>
                <w:cs w:val="0"/>
              </w:rPr>
            </w:pPr>
            <w:r w:rsidRPr="006A75A2">
              <w:rPr>
                <w:rFonts w:cstheme="minorHAnsi"/>
                <w:rtl w:val="0"/>
                <w:cs w:val="0"/>
              </w:rPr>
              <w:t>In addition to the IPCC Guidelines for National GHG Inventories, the ‘Good Practice Guidance and Uncertainty Management in National GHG Inventories’ guidelines were used for preparation of the inventor</w:t>
            </w:r>
            <w:r w:rsidR="004F253A" w:rsidRPr="006A75A2">
              <w:rPr>
                <w:rFonts w:cstheme="minorHAnsi"/>
                <w:rtl w:val="0"/>
                <w:cs w:val="0"/>
              </w:rPr>
              <w:t>ies</w:t>
            </w:r>
            <w:r w:rsidRPr="006A75A2">
              <w:rPr>
                <w:rFonts w:cstheme="minorHAnsi"/>
                <w:rtl w:val="0"/>
                <w:cs w:val="0"/>
              </w:rPr>
              <w:t>.</w:t>
            </w:r>
          </w:p>
          <w:p w14:paraId="267E7222" w14:textId="77777777" w:rsidR="001B5725" w:rsidRPr="006A75A2" w:rsidRDefault="001B5725" w:rsidP="001B5725">
            <w:pPr>
              <w:bidi w:val="0"/>
              <w:spacing w:before="60" w:line="264" w:lineRule="auto"/>
              <w:jc w:val="both"/>
              <w:rPr>
                <w:rtl w:val="0"/>
                <w:cs w:val="0"/>
              </w:rPr>
            </w:pPr>
          </w:p>
          <w:p w14:paraId="5BED4DF4" w14:textId="52285475" w:rsidR="001B5725" w:rsidRPr="006A75A2" w:rsidRDefault="001B5725" w:rsidP="001B5725">
            <w:pPr>
              <w:bidi w:val="0"/>
              <w:spacing w:before="60" w:line="264" w:lineRule="auto"/>
              <w:jc w:val="both"/>
              <w:rPr>
                <w:cs w:val="0"/>
              </w:rPr>
            </w:pPr>
            <w:r w:rsidRPr="006A75A2">
              <w:rPr>
                <w:rtl w:val="0"/>
                <w:cs w:val="0"/>
              </w:rPr>
              <w:t xml:space="preserve">Tier </w:t>
            </w:r>
            <w:proofErr w:type="gramStart"/>
            <w:r w:rsidRPr="006A75A2">
              <w:rPr>
                <w:rtl w:val="0"/>
                <w:cs w:val="0"/>
              </w:rPr>
              <w:t>Levels :</w:t>
            </w:r>
            <w:proofErr w:type="gramEnd"/>
          </w:p>
          <w:p w14:paraId="39D46E0C" w14:textId="77777777" w:rsidR="001B5725" w:rsidRPr="006A75A2" w:rsidRDefault="001B5725" w:rsidP="001B5725">
            <w:pPr>
              <w:bidi w:val="0"/>
              <w:spacing w:before="60" w:line="264" w:lineRule="auto"/>
              <w:jc w:val="both"/>
              <w:rPr>
                <w:cs w:val="0"/>
              </w:rPr>
            </w:pPr>
            <w:r w:rsidRPr="006A75A2">
              <w:rPr>
                <w:rtl w:val="0"/>
                <w:cs w:val="0"/>
              </w:rPr>
              <w:t>The tier level applied in the national GHG inventory varies from sector to sector due to the varying availability of data and information</w:t>
            </w:r>
            <w:r w:rsidRPr="006A75A2">
              <w:rPr>
                <w:rFonts w:cs="Arial"/>
                <w:cs w:val="0"/>
              </w:rPr>
              <w:t>:</w:t>
            </w:r>
          </w:p>
          <w:p w14:paraId="258E851F" w14:textId="06833F05" w:rsidR="001B5725" w:rsidRPr="006A75A2" w:rsidRDefault="001B5725" w:rsidP="001B5725">
            <w:pPr>
              <w:bidi w:val="0"/>
              <w:spacing w:before="60" w:line="264" w:lineRule="auto"/>
              <w:jc w:val="both"/>
              <w:rPr>
                <w:cs w:val="0"/>
              </w:rPr>
            </w:pPr>
            <w:r w:rsidRPr="006A75A2">
              <w:rPr>
                <w:rFonts w:cs="Arial"/>
                <w:cs w:val="0"/>
              </w:rPr>
              <w:t>•</w:t>
            </w:r>
            <w:r w:rsidRPr="006A75A2">
              <w:rPr>
                <w:rFonts w:cs="Arial"/>
                <w:cs w:val="0"/>
              </w:rPr>
              <w:tab/>
            </w:r>
            <w:r w:rsidRPr="006A75A2">
              <w:rPr>
                <w:rtl w:val="0"/>
                <w:cs w:val="0"/>
              </w:rPr>
              <w:t>Module 1-Energy: In principle, Tier 1 was applied, with notable exceptions being the application of Tier 2 using information that is unique to Israel such as calorific values of primary energy sources (coal, natural gas, shale</w:t>
            </w:r>
            <w:r w:rsidR="004F253A" w:rsidRPr="006A75A2">
              <w:rPr>
                <w:rtl w:val="0"/>
                <w:cs w:val="0"/>
              </w:rPr>
              <w:t xml:space="preserve"> oil</w:t>
            </w:r>
            <w:r w:rsidRPr="006A75A2">
              <w:rPr>
                <w:rtl w:val="0"/>
                <w:cs w:val="0"/>
              </w:rPr>
              <w:t xml:space="preserve">). Tier 3 was applied for emissions of </w:t>
            </w:r>
            <w:proofErr w:type="spellStart"/>
            <w:r w:rsidRPr="006A75A2">
              <w:rPr>
                <w:rtl w:val="0"/>
                <w:cs w:val="0"/>
              </w:rPr>
              <w:t>SOx</w:t>
            </w:r>
            <w:proofErr w:type="spellEnd"/>
            <w:r w:rsidRPr="006A75A2">
              <w:rPr>
                <w:rtl w:val="0"/>
                <w:cs w:val="0"/>
              </w:rPr>
              <w:t xml:space="preserve">, NOx, and CO from vehicles, as well as emissions of </w:t>
            </w:r>
            <w:proofErr w:type="spellStart"/>
            <w:r w:rsidRPr="006A75A2">
              <w:rPr>
                <w:rtl w:val="0"/>
                <w:cs w:val="0"/>
              </w:rPr>
              <w:t>SOx</w:t>
            </w:r>
            <w:proofErr w:type="spellEnd"/>
            <w:r w:rsidRPr="006A75A2">
              <w:rPr>
                <w:rtl w:val="0"/>
                <w:cs w:val="0"/>
              </w:rPr>
              <w:t xml:space="preserve"> and NOx from electricity generation</w:t>
            </w:r>
            <w:r w:rsidRPr="006A75A2">
              <w:rPr>
                <w:rFonts w:cs="Arial"/>
                <w:cs w:val="0"/>
              </w:rPr>
              <w:t>.</w:t>
            </w:r>
          </w:p>
          <w:p w14:paraId="6795CA08" w14:textId="77777777" w:rsidR="001B5725" w:rsidRPr="006A75A2" w:rsidRDefault="001B5725" w:rsidP="001B5725">
            <w:pPr>
              <w:bidi w:val="0"/>
              <w:spacing w:before="60" w:line="264" w:lineRule="auto"/>
              <w:jc w:val="both"/>
              <w:rPr>
                <w:cs w:val="0"/>
              </w:rPr>
            </w:pPr>
            <w:r w:rsidRPr="006A75A2">
              <w:rPr>
                <w:rFonts w:cs="Arial"/>
                <w:cs w:val="0"/>
              </w:rPr>
              <w:t>•</w:t>
            </w:r>
            <w:r w:rsidRPr="006A75A2">
              <w:rPr>
                <w:rFonts w:cs="Arial"/>
                <w:cs w:val="0"/>
              </w:rPr>
              <w:tab/>
            </w:r>
            <w:r w:rsidRPr="006A75A2">
              <w:rPr>
                <w:rtl w:val="0"/>
                <w:cs w:val="0"/>
              </w:rPr>
              <w:t>Module 2-Industrial Processes: In principle, Tier 1 was applied. For some sources emission factors specific to Israeli industry were used and therefore Tier 3 was applied. Regarding emissions of fluorinated gases, a methodology was adapted specifically to Israel and therefore Tier 3 was applied</w:t>
            </w:r>
            <w:r w:rsidRPr="006A75A2">
              <w:rPr>
                <w:rFonts w:cs="Arial"/>
                <w:cs w:val="0"/>
              </w:rPr>
              <w:t>.</w:t>
            </w:r>
          </w:p>
          <w:p w14:paraId="78747197" w14:textId="77777777" w:rsidR="001B5725" w:rsidRPr="006A75A2" w:rsidRDefault="001B5725" w:rsidP="001B5725">
            <w:pPr>
              <w:bidi w:val="0"/>
              <w:spacing w:before="60" w:line="264" w:lineRule="auto"/>
              <w:jc w:val="both"/>
              <w:rPr>
                <w:cs w:val="0"/>
              </w:rPr>
            </w:pPr>
            <w:r w:rsidRPr="006A75A2">
              <w:rPr>
                <w:rFonts w:cs="Arial"/>
                <w:cs w:val="0"/>
              </w:rPr>
              <w:t>•</w:t>
            </w:r>
            <w:r w:rsidRPr="006A75A2">
              <w:rPr>
                <w:rFonts w:cs="Arial"/>
                <w:cs w:val="0"/>
              </w:rPr>
              <w:tab/>
            </w:r>
            <w:r w:rsidRPr="006A75A2">
              <w:rPr>
                <w:rtl w:val="0"/>
                <w:cs w:val="0"/>
              </w:rPr>
              <w:t>Module 3-Solvent and Other Product Use: There is no calculation of emissions from sources as such and therefore no tier level was applied yet</w:t>
            </w:r>
            <w:r w:rsidRPr="006A75A2">
              <w:rPr>
                <w:rFonts w:cs="Arial"/>
                <w:cs w:val="0"/>
              </w:rPr>
              <w:t>.</w:t>
            </w:r>
          </w:p>
          <w:p w14:paraId="2636A225" w14:textId="4721AB89" w:rsidR="001B5725" w:rsidRPr="006A75A2" w:rsidRDefault="001B5725" w:rsidP="001B5725">
            <w:pPr>
              <w:bidi w:val="0"/>
              <w:spacing w:before="60" w:line="264" w:lineRule="auto"/>
              <w:jc w:val="both"/>
              <w:rPr>
                <w:rtl w:val="0"/>
                <w:cs w:val="0"/>
              </w:rPr>
            </w:pPr>
            <w:r w:rsidRPr="006A75A2">
              <w:rPr>
                <w:rFonts w:cs="Arial"/>
                <w:cs w:val="0"/>
              </w:rPr>
              <w:t>•</w:t>
            </w:r>
            <w:r w:rsidRPr="006A75A2">
              <w:rPr>
                <w:rFonts w:cs="Arial"/>
                <w:cs w:val="0"/>
              </w:rPr>
              <w:tab/>
            </w:r>
            <w:r w:rsidRPr="006A75A2">
              <w:rPr>
                <w:rtl w:val="0"/>
                <w:cs w:val="0"/>
              </w:rPr>
              <w:t xml:space="preserve">Module 4- Agriculture: In principle, Tier </w:t>
            </w:r>
            <w:r w:rsidR="0014124A">
              <w:rPr>
                <w:rtl w:val="0"/>
                <w:cs w:val="0"/>
              </w:rPr>
              <w:t>1</w:t>
            </w:r>
            <w:r w:rsidRPr="006A75A2">
              <w:rPr>
                <w:rtl w:val="0"/>
                <w:cs w:val="0"/>
              </w:rPr>
              <w:t xml:space="preserve"> was applied, taking into account the specific processes in Israel’s agriculture sector and appropriate emission factors</w:t>
            </w:r>
            <w:r w:rsidRPr="006A75A2">
              <w:rPr>
                <w:rFonts w:cs="Arial"/>
                <w:cs w:val="0"/>
              </w:rPr>
              <w:t>.</w:t>
            </w:r>
            <w:r w:rsidR="0014124A">
              <w:rPr>
                <w:rtl w:val="0"/>
                <w:cs w:val="0"/>
              </w:rPr>
              <w:t>For some sub sectors Tier 2 was applied.</w:t>
            </w:r>
          </w:p>
          <w:p w14:paraId="18F73BB0" w14:textId="77777777" w:rsidR="001B5725" w:rsidRPr="006A75A2" w:rsidRDefault="001B5725" w:rsidP="001B5725">
            <w:pPr>
              <w:bidi w:val="0"/>
              <w:spacing w:before="60" w:line="264" w:lineRule="auto"/>
              <w:jc w:val="both"/>
              <w:rPr>
                <w:cs w:val="0"/>
              </w:rPr>
            </w:pPr>
            <w:r w:rsidRPr="006A75A2">
              <w:rPr>
                <w:rFonts w:cs="Arial"/>
                <w:cs w:val="0"/>
              </w:rPr>
              <w:t>•</w:t>
            </w:r>
            <w:r w:rsidRPr="006A75A2">
              <w:rPr>
                <w:rFonts w:cs="Arial"/>
                <w:cs w:val="0"/>
              </w:rPr>
              <w:tab/>
            </w:r>
            <w:r w:rsidRPr="006A75A2">
              <w:rPr>
                <w:rtl w:val="0"/>
                <w:cs w:val="0"/>
              </w:rPr>
              <w:t>Module 5- Land Use Change and Forestry: Israel uses the Tier 1 approach for estimating removals in forest land areas. There is no forest inventory in place as the forest land in Israel is negligible. However, data on forest land and on the mass of trees harvested do exist and are periodically updated</w:t>
            </w:r>
            <w:r w:rsidRPr="006A75A2">
              <w:rPr>
                <w:rFonts w:cs="Arial"/>
                <w:cs w:val="0"/>
              </w:rPr>
              <w:t>.</w:t>
            </w:r>
          </w:p>
          <w:p w14:paraId="434DB082" w14:textId="77777777" w:rsidR="001B5725" w:rsidRPr="006A75A2" w:rsidRDefault="001B5725" w:rsidP="001B5725">
            <w:pPr>
              <w:bidi w:val="0"/>
              <w:spacing w:before="60" w:line="264" w:lineRule="auto"/>
              <w:rPr>
                <w:rtl w:val="0"/>
                <w:cs w:val="0"/>
              </w:rPr>
            </w:pPr>
            <w:r w:rsidRPr="006A75A2">
              <w:rPr>
                <w:rtl w:val="0"/>
                <w:cs w:val="0"/>
              </w:rPr>
              <w:t>•</w:t>
            </w:r>
            <w:r w:rsidRPr="006A75A2">
              <w:rPr>
                <w:rtl w:val="0"/>
                <w:cs w:val="0"/>
              </w:rPr>
              <w:tab/>
              <w:t>Module 6- Waste: Tier 2 is applied to waste and Tier 1 to wastewater.</w:t>
            </w:r>
          </w:p>
          <w:p w14:paraId="43504663" w14:textId="77777777" w:rsidR="0058784E" w:rsidRPr="006A75A2" w:rsidRDefault="0058784E" w:rsidP="0058784E">
            <w:pPr>
              <w:bidi w:val="0"/>
              <w:spacing w:before="60" w:line="264" w:lineRule="auto"/>
              <w:rPr>
                <w:rtl w:val="0"/>
                <w:cs w:val="0"/>
              </w:rPr>
            </w:pPr>
          </w:p>
          <w:p w14:paraId="50666B92" w14:textId="14DDBF37" w:rsidR="0058784E" w:rsidRPr="006A75A2" w:rsidRDefault="0058784E" w:rsidP="0058784E">
            <w:pPr>
              <w:bidi w:val="0"/>
              <w:spacing w:before="60" w:line="264" w:lineRule="auto"/>
              <w:rPr>
                <w:rFonts w:cstheme="minorHAnsi"/>
                <w:b/>
                <w:bCs/>
                <w:rtl w:val="0"/>
                <w:cs w:val="0"/>
              </w:rPr>
            </w:pPr>
            <w:r w:rsidRPr="006A75A2">
              <w:rPr>
                <w:rFonts w:cstheme="minorHAnsi"/>
                <w:b/>
                <w:bCs/>
                <w:rtl w:val="0"/>
                <w:cs w:val="0"/>
              </w:rPr>
              <w:t>Metrics:</w:t>
            </w:r>
          </w:p>
          <w:p w14:paraId="51D2628E" w14:textId="54B3FE82" w:rsidR="0058784E" w:rsidRPr="006A75A2" w:rsidRDefault="0058784E" w:rsidP="0058784E">
            <w:pPr>
              <w:bidi w:val="0"/>
              <w:spacing w:before="60" w:line="264" w:lineRule="auto"/>
              <w:rPr>
                <w:cs w:val="0"/>
              </w:rPr>
            </w:pPr>
            <w:r w:rsidRPr="006A75A2">
              <w:rPr>
                <w:rFonts w:cstheme="minorHAnsi"/>
                <w:rtl w:val="0"/>
                <w:cs w:val="0"/>
              </w:rPr>
              <w:t>Global Warming Potential (GWP) values for a 100-year time horizon from the IPCC Second Assessment Report (1995).</w:t>
            </w:r>
          </w:p>
        </w:tc>
        <w:tc>
          <w:tcPr>
            <w:tcW w:w="1308" w:type="pct"/>
            <w:shd w:val="clear" w:color="auto" w:fill="FFFFFF" w:themeFill="background1"/>
          </w:tcPr>
          <w:p w14:paraId="0F1BD3A1" w14:textId="77777777" w:rsidR="001B5725" w:rsidRPr="00CB7CEF" w:rsidRDefault="001B5725" w:rsidP="001B5725">
            <w:pPr>
              <w:pStyle w:val="DecimalAligned"/>
              <w:bidi w:val="0"/>
              <w:spacing w:before="60" w:after="0" w:line="264" w:lineRule="auto"/>
              <w:rPr>
                <w:rFonts w:ascii="Times New Roman" w:hAnsi="Times New Roman"/>
                <w:b/>
                <w:bCs/>
                <w:sz w:val="20"/>
                <w:szCs w:val="20"/>
              </w:rPr>
            </w:pPr>
            <w:r w:rsidRPr="00CB7CEF">
              <w:rPr>
                <w:rFonts w:ascii="Times New Roman" w:hAnsi="Times New Roman"/>
                <w:sz w:val="20"/>
                <w:szCs w:val="20"/>
              </w:rPr>
              <w:t>IPCC methodologies and metrics used for estimating anthropogenic greenhouse gas emissions and removals;</w:t>
            </w:r>
          </w:p>
        </w:tc>
        <w:tc>
          <w:tcPr>
            <w:tcW w:w="348" w:type="pct"/>
            <w:shd w:val="clear" w:color="auto" w:fill="FFFFFF" w:themeFill="background1"/>
          </w:tcPr>
          <w:p w14:paraId="39928C7F" w14:textId="77777777" w:rsidR="001B5725" w:rsidRPr="00CB7CEF" w:rsidRDefault="001B5725" w:rsidP="001B5725">
            <w:pPr>
              <w:pStyle w:val="DecimalAligned"/>
              <w:numPr>
                <w:ilvl w:val="0"/>
                <w:numId w:val="20"/>
              </w:numPr>
              <w:bidi w:val="0"/>
              <w:spacing w:before="60" w:after="0" w:line="264" w:lineRule="auto"/>
            </w:pPr>
          </w:p>
        </w:tc>
      </w:tr>
      <w:tr w:rsidR="001B5725" w:rsidRPr="00CB7CEF" w14:paraId="34A057C8" w14:textId="77777777" w:rsidTr="00814688">
        <w:trPr>
          <w:trHeight w:val="80"/>
        </w:trPr>
        <w:tc>
          <w:tcPr>
            <w:tcW w:w="4652" w:type="pct"/>
            <w:gridSpan w:val="2"/>
            <w:shd w:val="clear" w:color="auto" w:fill="FFFFFF" w:themeFill="background1"/>
            <w:noWrap/>
          </w:tcPr>
          <w:p w14:paraId="5770E9DF" w14:textId="77777777" w:rsidR="001B5725" w:rsidRPr="00CB7CEF" w:rsidRDefault="001B5725" w:rsidP="001B5725">
            <w:pPr>
              <w:pStyle w:val="DecimalAligned"/>
              <w:bidi w:val="0"/>
              <w:spacing w:before="60" w:after="0" w:line="264" w:lineRule="auto"/>
              <w:rPr>
                <w:rFonts w:ascii="Times New Roman" w:hAnsi="Times New Roman"/>
                <w:sz w:val="20"/>
                <w:szCs w:val="20"/>
                <w:highlight w:val="yellow"/>
              </w:rPr>
            </w:pPr>
            <w:r w:rsidRPr="00CB7CEF">
              <w:rPr>
                <w:rFonts w:ascii="Times New Roman" w:hAnsi="Times New Roman"/>
                <w:sz w:val="20"/>
                <w:szCs w:val="20"/>
              </w:rPr>
              <w:t>Sector-, category- or activity-specific assumptions, methodologies and approaches consistent with IPCC guidance, as appropriate, including, as applicable:</w:t>
            </w:r>
          </w:p>
        </w:tc>
        <w:tc>
          <w:tcPr>
            <w:tcW w:w="348" w:type="pct"/>
            <w:shd w:val="clear" w:color="auto" w:fill="FFFFFF" w:themeFill="background1"/>
          </w:tcPr>
          <w:p w14:paraId="21C8EFB3" w14:textId="77777777" w:rsidR="001B5725" w:rsidRPr="00CB7CEF" w:rsidRDefault="001B5725" w:rsidP="001B5725">
            <w:pPr>
              <w:pStyle w:val="DecimalAligned"/>
              <w:numPr>
                <w:ilvl w:val="0"/>
                <w:numId w:val="20"/>
              </w:numPr>
              <w:bidi w:val="0"/>
              <w:spacing w:before="60" w:after="0" w:line="264" w:lineRule="auto"/>
            </w:pPr>
          </w:p>
        </w:tc>
      </w:tr>
      <w:tr w:rsidR="001B5725" w:rsidRPr="00CB7CEF" w14:paraId="658BF871" w14:textId="77777777" w:rsidTr="00814688">
        <w:trPr>
          <w:trHeight w:val="80"/>
        </w:trPr>
        <w:tc>
          <w:tcPr>
            <w:tcW w:w="3344" w:type="pct"/>
            <w:shd w:val="clear" w:color="auto" w:fill="FFFFFF" w:themeFill="background1"/>
            <w:noWrap/>
          </w:tcPr>
          <w:p w14:paraId="6D0A6A73" w14:textId="30E72B01" w:rsidR="001B5725" w:rsidRPr="006A75A2" w:rsidRDefault="006A75A2" w:rsidP="001B5725">
            <w:pPr>
              <w:autoSpaceDE w:val="0"/>
              <w:autoSpaceDN w:val="0"/>
              <w:bidi w:val="0"/>
              <w:spacing w:before="60" w:line="264" w:lineRule="auto"/>
              <w:rPr>
                <w:cs w:val="0"/>
              </w:rPr>
            </w:pPr>
            <w:r w:rsidRPr="006A75A2">
              <w:rPr>
                <w:rtl w:val="0"/>
                <w:cs w:val="0"/>
              </w:rPr>
              <w:t xml:space="preserve">Not </w:t>
            </w:r>
            <w:r w:rsidR="00223780">
              <w:rPr>
                <w:rtl w:val="0"/>
                <w:cs w:val="0"/>
              </w:rPr>
              <w:t>a</w:t>
            </w:r>
            <w:r w:rsidRPr="006A75A2">
              <w:rPr>
                <w:rtl w:val="0"/>
                <w:cs w:val="0"/>
              </w:rPr>
              <w:t>pplicable</w:t>
            </w:r>
          </w:p>
        </w:tc>
        <w:tc>
          <w:tcPr>
            <w:tcW w:w="1308" w:type="pct"/>
            <w:shd w:val="clear" w:color="auto" w:fill="FFFFFF" w:themeFill="background1"/>
          </w:tcPr>
          <w:p w14:paraId="43A2BC2E" w14:textId="77777777" w:rsidR="001B5725" w:rsidRPr="00CB7CEF" w:rsidRDefault="001B5725" w:rsidP="001B5725">
            <w:pPr>
              <w:pStyle w:val="DecimalAligned"/>
              <w:bidi w:val="0"/>
              <w:spacing w:before="60" w:after="0" w:line="264" w:lineRule="auto"/>
              <w:rPr>
                <w:rFonts w:ascii="Times New Roman" w:hAnsi="Times New Roman"/>
                <w:sz w:val="20"/>
                <w:szCs w:val="20"/>
                <w:highlight w:val="yellow"/>
              </w:rPr>
            </w:pPr>
            <w:r w:rsidRPr="00CB7CEF">
              <w:rPr>
                <w:rFonts w:ascii="Times New Roman" w:hAnsi="Times New Roman"/>
                <w:sz w:val="20"/>
                <w:szCs w:val="20"/>
              </w:rPr>
              <w:t>Approach to addressing emissions and subsequent removals from natural disturbances on managed lands;</w:t>
            </w:r>
          </w:p>
        </w:tc>
        <w:tc>
          <w:tcPr>
            <w:tcW w:w="348" w:type="pct"/>
            <w:shd w:val="clear" w:color="auto" w:fill="FFFFFF" w:themeFill="background1"/>
          </w:tcPr>
          <w:p w14:paraId="551A1B09" w14:textId="77777777" w:rsidR="001B5725" w:rsidRPr="00CB7CEF" w:rsidRDefault="001B5725" w:rsidP="001B5725">
            <w:pPr>
              <w:pStyle w:val="DecimalAligned"/>
              <w:numPr>
                <w:ilvl w:val="0"/>
                <w:numId w:val="21"/>
              </w:numPr>
              <w:bidi w:val="0"/>
              <w:spacing w:before="60" w:after="0" w:line="264" w:lineRule="auto"/>
            </w:pPr>
          </w:p>
        </w:tc>
      </w:tr>
      <w:tr w:rsidR="001B5725" w:rsidRPr="00CB7CEF" w14:paraId="7527516B" w14:textId="77777777" w:rsidTr="00814688">
        <w:trPr>
          <w:trHeight w:val="80"/>
        </w:trPr>
        <w:tc>
          <w:tcPr>
            <w:tcW w:w="3344" w:type="pct"/>
            <w:shd w:val="clear" w:color="auto" w:fill="FFFFFF" w:themeFill="background1"/>
            <w:noWrap/>
          </w:tcPr>
          <w:p w14:paraId="1D7EEA92" w14:textId="607B1B03" w:rsidR="001B5725" w:rsidRPr="006A75A2" w:rsidRDefault="006A75A2" w:rsidP="001B5725">
            <w:pPr>
              <w:bidi w:val="0"/>
              <w:spacing w:before="60" w:line="264" w:lineRule="auto"/>
              <w:rPr>
                <w:cs w:val="0"/>
              </w:rPr>
            </w:pPr>
            <w:r w:rsidRPr="006A75A2">
              <w:rPr>
                <w:rtl w:val="0"/>
                <w:cs w:val="0"/>
              </w:rPr>
              <w:t xml:space="preserve">Not </w:t>
            </w:r>
            <w:r w:rsidR="00223780">
              <w:rPr>
                <w:rtl w:val="0"/>
                <w:cs w:val="0"/>
              </w:rPr>
              <w:t>a</w:t>
            </w:r>
            <w:r w:rsidRPr="006A75A2">
              <w:rPr>
                <w:rtl w:val="0"/>
                <w:cs w:val="0"/>
              </w:rPr>
              <w:t>pplicable</w:t>
            </w:r>
          </w:p>
        </w:tc>
        <w:tc>
          <w:tcPr>
            <w:tcW w:w="1308" w:type="pct"/>
            <w:shd w:val="clear" w:color="auto" w:fill="FFFFFF" w:themeFill="background1"/>
          </w:tcPr>
          <w:p w14:paraId="28F99744"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Approach used to account for emissions and removals from harvested wood products;</w:t>
            </w:r>
          </w:p>
        </w:tc>
        <w:tc>
          <w:tcPr>
            <w:tcW w:w="348" w:type="pct"/>
            <w:shd w:val="clear" w:color="auto" w:fill="FFFFFF" w:themeFill="background1"/>
          </w:tcPr>
          <w:p w14:paraId="0A2CD656" w14:textId="77777777" w:rsidR="001B5725" w:rsidRPr="00CB7CEF" w:rsidRDefault="001B5725" w:rsidP="001B5725">
            <w:pPr>
              <w:pStyle w:val="DecimalAligned"/>
              <w:numPr>
                <w:ilvl w:val="0"/>
                <w:numId w:val="21"/>
              </w:numPr>
              <w:bidi w:val="0"/>
              <w:spacing w:before="60" w:after="0" w:line="264" w:lineRule="auto"/>
            </w:pPr>
          </w:p>
        </w:tc>
      </w:tr>
      <w:tr w:rsidR="001B5725" w:rsidRPr="00CB7CEF" w14:paraId="3B81B145" w14:textId="77777777" w:rsidTr="00814688">
        <w:trPr>
          <w:trHeight w:val="80"/>
        </w:trPr>
        <w:tc>
          <w:tcPr>
            <w:tcW w:w="3344" w:type="pct"/>
            <w:shd w:val="clear" w:color="auto" w:fill="FFFFFF" w:themeFill="background1"/>
            <w:noWrap/>
          </w:tcPr>
          <w:p w14:paraId="006B6E36" w14:textId="14F9A698" w:rsidR="001B5725" w:rsidRPr="006A75A2" w:rsidRDefault="00C03E6D" w:rsidP="001B5725">
            <w:pPr>
              <w:bidi w:val="0"/>
              <w:spacing w:before="60" w:line="264" w:lineRule="auto"/>
              <w:rPr>
                <w:rFonts w:cs="Arial"/>
                <w:cs w:val="0"/>
              </w:rPr>
            </w:pPr>
            <w:r>
              <w:rPr>
                <w:rFonts w:cs="Arial"/>
                <w:rtl w:val="0"/>
                <w:cs w:val="0"/>
              </w:rPr>
              <w:t xml:space="preserve">The effects of age-class structure are not currently </w:t>
            </w:r>
            <w:proofErr w:type="gramStart"/>
            <w:r>
              <w:rPr>
                <w:rFonts w:cs="Arial"/>
                <w:rtl w:val="0"/>
                <w:cs w:val="0"/>
              </w:rPr>
              <w:t>taken into account</w:t>
            </w:r>
            <w:proofErr w:type="gramEnd"/>
            <w:r>
              <w:rPr>
                <w:rFonts w:cs="Arial"/>
                <w:rtl w:val="0"/>
                <w:cs w:val="0"/>
              </w:rPr>
              <w:t xml:space="preserve"> in </w:t>
            </w:r>
            <w:r w:rsidR="00223780">
              <w:rPr>
                <w:rFonts w:cs="Arial"/>
                <w:rtl w:val="0"/>
                <w:cs w:val="0"/>
              </w:rPr>
              <w:t>Israel's GHG</w:t>
            </w:r>
            <w:r>
              <w:rPr>
                <w:rFonts w:cs="Arial"/>
                <w:rtl w:val="0"/>
                <w:cs w:val="0"/>
              </w:rPr>
              <w:t xml:space="preserve"> Inventory.</w:t>
            </w:r>
          </w:p>
          <w:p w14:paraId="3A02644F" w14:textId="77777777" w:rsidR="001B5725" w:rsidRPr="006A75A2" w:rsidRDefault="001B5725" w:rsidP="001B5725">
            <w:pPr>
              <w:bidi w:val="0"/>
              <w:spacing w:before="60" w:line="264" w:lineRule="auto"/>
              <w:jc w:val="right"/>
              <w:rPr>
                <w:cs w:val="0"/>
              </w:rPr>
            </w:pPr>
          </w:p>
        </w:tc>
        <w:tc>
          <w:tcPr>
            <w:tcW w:w="1308" w:type="pct"/>
            <w:shd w:val="clear" w:color="auto" w:fill="FFFFFF" w:themeFill="background1"/>
          </w:tcPr>
          <w:p w14:paraId="08CF01C5"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Approach used to address the effects of age-class structure in forests;</w:t>
            </w:r>
          </w:p>
        </w:tc>
        <w:tc>
          <w:tcPr>
            <w:tcW w:w="348" w:type="pct"/>
            <w:shd w:val="clear" w:color="auto" w:fill="FFFFFF" w:themeFill="background1"/>
          </w:tcPr>
          <w:p w14:paraId="08839898" w14:textId="77777777" w:rsidR="001B5725" w:rsidRPr="00CB7CEF" w:rsidRDefault="001B5725" w:rsidP="001B5725">
            <w:pPr>
              <w:pStyle w:val="DecimalAligned"/>
              <w:numPr>
                <w:ilvl w:val="0"/>
                <w:numId w:val="21"/>
              </w:numPr>
              <w:bidi w:val="0"/>
              <w:spacing w:before="60" w:after="0" w:line="264" w:lineRule="auto"/>
            </w:pPr>
          </w:p>
        </w:tc>
      </w:tr>
      <w:tr w:rsidR="001B5725" w:rsidRPr="00CB7CEF" w14:paraId="355CD560" w14:textId="77777777" w:rsidTr="00814688">
        <w:trPr>
          <w:trHeight w:val="80"/>
        </w:trPr>
        <w:tc>
          <w:tcPr>
            <w:tcW w:w="4652" w:type="pct"/>
            <w:gridSpan w:val="2"/>
            <w:shd w:val="clear" w:color="auto" w:fill="FFFFFF" w:themeFill="background1"/>
            <w:noWrap/>
          </w:tcPr>
          <w:p w14:paraId="797A8ACA"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Other assumptions and methodological approaches used for understanding the nationally determined contribution and, if applicable, estimating corresponding emissions and removals, including:</w:t>
            </w:r>
          </w:p>
        </w:tc>
        <w:tc>
          <w:tcPr>
            <w:tcW w:w="348" w:type="pct"/>
            <w:shd w:val="clear" w:color="auto" w:fill="FFFFFF" w:themeFill="background1"/>
          </w:tcPr>
          <w:p w14:paraId="6D2B68B5" w14:textId="77777777" w:rsidR="001B5725" w:rsidRPr="00CB7CEF" w:rsidRDefault="001B5725" w:rsidP="001B5725">
            <w:pPr>
              <w:pStyle w:val="DecimalAligned"/>
              <w:numPr>
                <w:ilvl w:val="0"/>
                <w:numId w:val="20"/>
              </w:numPr>
              <w:bidi w:val="0"/>
              <w:spacing w:before="60" w:after="0" w:line="264" w:lineRule="auto"/>
            </w:pPr>
          </w:p>
        </w:tc>
      </w:tr>
      <w:tr w:rsidR="001B5725" w:rsidRPr="00CB7CEF" w14:paraId="3DEADF34" w14:textId="77777777" w:rsidTr="00814688">
        <w:trPr>
          <w:trHeight w:val="80"/>
        </w:trPr>
        <w:tc>
          <w:tcPr>
            <w:tcW w:w="3344" w:type="pct"/>
            <w:shd w:val="clear" w:color="auto" w:fill="FFFFFF" w:themeFill="background1"/>
            <w:noWrap/>
          </w:tcPr>
          <w:p w14:paraId="5D7CE2FD" w14:textId="776019D2" w:rsidR="001B5725" w:rsidRPr="00CB7CEF" w:rsidRDefault="001B5725" w:rsidP="001B5725">
            <w:pPr>
              <w:bidi w:val="0"/>
              <w:spacing w:before="60" w:line="264" w:lineRule="auto"/>
              <w:jc w:val="both"/>
              <w:rPr>
                <w:cs w:val="0"/>
              </w:rPr>
            </w:pPr>
            <w:r w:rsidRPr="00915DFA">
              <w:rPr>
                <w:rtl w:val="0"/>
                <w:cs w:val="0"/>
              </w:rPr>
              <w:t>Final reference year and target year emissions will be based on the 2015-2030 GHG Inventory</w:t>
            </w:r>
            <w:r w:rsidR="00DF439D">
              <w:rPr>
                <w:rtl w:val="0"/>
                <w:cs w:val="0"/>
              </w:rPr>
              <w:t xml:space="preserve"> to be</w:t>
            </w:r>
            <w:r w:rsidRPr="00915DFA">
              <w:rPr>
                <w:rtl w:val="0"/>
                <w:cs w:val="0"/>
              </w:rPr>
              <w:t xml:space="preserve"> submitted to the UNFCCC in 2032</w:t>
            </w:r>
            <w:r w:rsidR="00DF439D">
              <w:rPr>
                <w:rtl w:val="0"/>
                <w:cs w:val="0"/>
              </w:rPr>
              <w:t xml:space="preserve"> for the 2030 target year</w:t>
            </w:r>
            <w:r w:rsidRPr="00915DFA">
              <w:rPr>
                <w:rtl w:val="0"/>
                <w:cs w:val="0"/>
              </w:rPr>
              <w:t xml:space="preserve">. Emissions estimates in Israel's GHG Inventory are made using methodologies outlined in the 2006 IPCC Guidelines for National Greenhouse Gas Inventories and subsequent IPCC guidelines (see </w:t>
            </w:r>
            <w:r w:rsidR="009F1777">
              <w:rPr>
                <w:rtl w:val="0"/>
                <w:cs w:val="0"/>
              </w:rPr>
              <w:t>s</w:t>
            </w:r>
            <w:r w:rsidRPr="00915DFA">
              <w:rPr>
                <w:rtl w:val="0"/>
                <w:cs w:val="0"/>
              </w:rPr>
              <w:t>ection 5(d)). The Inventory is revised annually and undergoes extensive review processes.</w:t>
            </w:r>
          </w:p>
          <w:p w14:paraId="1B1CED69" w14:textId="77777777" w:rsidR="001B5725" w:rsidRPr="00CB7CEF" w:rsidRDefault="001B5725" w:rsidP="001B5725">
            <w:pPr>
              <w:bidi w:val="0"/>
              <w:spacing w:before="60" w:line="264" w:lineRule="auto"/>
              <w:rPr>
                <w:rtl w:val="0"/>
                <w:cs w:val="0"/>
              </w:rPr>
            </w:pPr>
          </w:p>
          <w:p w14:paraId="28F1DBC6" w14:textId="3FBE3277" w:rsidR="001B5725" w:rsidRPr="00CB7CEF" w:rsidRDefault="001B5725" w:rsidP="001B5725">
            <w:pPr>
              <w:bidi w:val="0"/>
              <w:spacing w:before="60" w:line="264" w:lineRule="auto"/>
              <w:rPr>
                <w:rtl w:val="0"/>
                <w:cs w:val="0"/>
              </w:rPr>
            </w:pPr>
          </w:p>
        </w:tc>
        <w:tc>
          <w:tcPr>
            <w:tcW w:w="1308" w:type="pct"/>
            <w:shd w:val="clear" w:color="auto" w:fill="FFFFFF" w:themeFill="background1"/>
          </w:tcPr>
          <w:p w14:paraId="61890ABA" w14:textId="77777777" w:rsidR="001B5725" w:rsidRPr="00CB7CEF" w:rsidRDefault="001B5725" w:rsidP="001B5725">
            <w:pPr>
              <w:pStyle w:val="DecimalAligned"/>
              <w:bidi w:val="0"/>
              <w:spacing w:before="60" w:after="0" w:line="264" w:lineRule="auto"/>
              <w:rPr>
                <w:rFonts w:ascii="Times New Roman" w:hAnsi="Times New Roman"/>
                <w:sz w:val="20"/>
                <w:szCs w:val="20"/>
                <w:highlight w:val="yellow"/>
                <w:rtl/>
              </w:rPr>
            </w:pPr>
            <w:r w:rsidRPr="00915DFA">
              <w:rPr>
                <w:rFonts w:ascii="Times New Roman" w:hAnsi="Times New Roman"/>
                <w:sz w:val="20"/>
                <w:szCs w:val="20"/>
              </w:rPr>
              <w:t>How the reference indicators, baseline(s) and/or reference level(s), including, where applicable, sector-, category- or activity-specific reference levels, are constructed, including, for example, key parameters, assumptions, definitions, methodologies, data sources and models used</w:t>
            </w:r>
          </w:p>
        </w:tc>
        <w:tc>
          <w:tcPr>
            <w:tcW w:w="348" w:type="pct"/>
            <w:shd w:val="clear" w:color="auto" w:fill="FFFFFF" w:themeFill="background1"/>
          </w:tcPr>
          <w:p w14:paraId="616D6C91" w14:textId="77777777" w:rsidR="001B5725" w:rsidRPr="00CB7CEF" w:rsidRDefault="001B5725" w:rsidP="001B5725">
            <w:pPr>
              <w:pStyle w:val="DecimalAligned"/>
              <w:numPr>
                <w:ilvl w:val="0"/>
                <w:numId w:val="22"/>
              </w:numPr>
              <w:bidi w:val="0"/>
              <w:spacing w:before="60" w:after="0" w:line="264" w:lineRule="auto"/>
            </w:pPr>
          </w:p>
        </w:tc>
      </w:tr>
      <w:tr w:rsidR="001B5725" w:rsidRPr="00CB7CEF" w14:paraId="5657E49C" w14:textId="77777777" w:rsidTr="00814688">
        <w:trPr>
          <w:trHeight w:val="80"/>
        </w:trPr>
        <w:tc>
          <w:tcPr>
            <w:tcW w:w="3344" w:type="pct"/>
            <w:shd w:val="clear" w:color="auto" w:fill="FFFFFF" w:themeFill="background1"/>
            <w:noWrap/>
          </w:tcPr>
          <w:p w14:paraId="3B2992C3" w14:textId="71A1F4D9" w:rsidR="001B5725" w:rsidRPr="00CB7CEF" w:rsidRDefault="001B5725" w:rsidP="001B5725">
            <w:pPr>
              <w:bidi w:val="0"/>
              <w:spacing w:before="60" w:line="264" w:lineRule="auto"/>
              <w:rPr>
                <w:rtl w:val="0"/>
                <w:cs w:val="0"/>
              </w:rPr>
            </w:pPr>
            <w:r w:rsidRPr="00CB7CEF">
              <w:rPr>
                <w:rtl w:val="0"/>
                <w:cs w:val="0"/>
              </w:rPr>
              <w:t>Not applicable</w:t>
            </w:r>
          </w:p>
        </w:tc>
        <w:tc>
          <w:tcPr>
            <w:tcW w:w="1308" w:type="pct"/>
            <w:shd w:val="clear" w:color="auto" w:fill="FFFFFF" w:themeFill="background1"/>
          </w:tcPr>
          <w:p w14:paraId="44F013B0" w14:textId="77777777" w:rsidR="001B5725" w:rsidRPr="00CB7CEF" w:rsidRDefault="001B5725" w:rsidP="001B5725">
            <w:pPr>
              <w:pStyle w:val="DecimalAligned"/>
              <w:bidi w:val="0"/>
              <w:spacing w:before="60" w:after="0" w:line="264" w:lineRule="auto"/>
              <w:rPr>
                <w:rFonts w:ascii="Times New Roman" w:hAnsi="Times New Roman"/>
                <w:sz w:val="20"/>
                <w:szCs w:val="20"/>
                <w:highlight w:val="yellow"/>
              </w:rPr>
            </w:pPr>
            <w:r w:rsidRPr="00CB7CEF">
              <w:rPr>
                <w:rFonts w:ascii="Times New Roman" w:hAnsi="Times New Roman"/>
                <w:sz w:val="20"/>
                <w:szCs w:val="20"/>
              </w:rPr>
              <w:t>For Parties with nationally determined contributions that contain non-greenhouse-gas components, information on assumptions and methodological approaches used in relation to those components, as applicable;</w:t>
            </w:r>
          </w:p>
        </w:tc>
        <w:tc>
          <w:tcPr>
            <w:tcW w:w="348" w:type="pct"/>
            <w:shd w:val="clear" w:color="auto" w:fill="FFFFFF" w:themeFill="background1"/>
          </w:tcPr>
          <w:p w14:paraId="49302067" w14:textId="77777777" w:rsidR="001B5725" w:rsidRPr="00CB7CEF" w:rsidRDefault="001B5725" w:rsidP="001B5725">
            <w:pPr>
              <w:pStyle w:val="DecimalAligned"/>
              <w:numPr>
                <w:ilvl w:val="0"/>
                <w:numId w:val="22"/>
              </w:numPr>
              <w:bidi w:val="0"/>
              <w:spacing w:before="60" w:after="0" w:line="264" w:lineRule="auto"/>
            </w:pPr>
          </w:p>
        </w:tc>
      </w:tr>
      <w:tr w:rsidR="001B5725" w:rsidRPr="00CB7CEF" w14:paraId="1555CC97" w14:textId="77777777" w:rsidTr="00814688">
        <w:trPr>
          <w:trHeight w:val="80"/>
        </w:trPr>
        <w:tc>
          <w:tcPr>
            <w:tcW w:w="3344" w:type="pct"/>
            <w:shd w:val="clear" w:color="auto" w:fill="FFFFFF" w:themeFill="background1"/>
            <w:noWrap/>
          </w:tcPr>
          <w:p w14:paraId="2540C67A" w14:textId="77777777" w:rsidR="001B5725" w:rsidRPr="00CB7CEF" w:rsidRDefault="001B5725" w:rsidP="001B5725">
            <w:pPr>
              <w:bidi w:val="0"/>
              <w:spacing w:before="60" w:line="264" w:lineRule="auto"/>
              <w:rPr>
                <w:rtl w:val="0"/>
                <w:cs w:val="0"/>
              </w:rPr>
            </w:pPr>
            <w:r w:rsidRPr="00CB7CEF">
              <w:rPr>
                <w:rtl w:val="0"/>
                <w:cs w:val="0"/>
              </w:rPr>
              <w:t xml:space="preserve">Not applicable </w:t>
            </w:r>
          </w:p>
          <w:p w14:paraId="5B3F22B4" w14:textId="395C641F" w:rsidR="001B5725" w:rsidRPr="00CB7CEF" w:rsidRDefault="001B5725" w:rsidP="001B5725">
            <w:pPr>
              <w:bidi w:val="0"/>
              <w:spacing w:before="60" w:line="264" w:lineRule="auto"/>
              <w:rPr>
                <w:rtl w:val="0"/>
                <w:cs w:val="0"/>
              </w:rPr>
            </w:pPr>
          </w:p>
        </w:tc>
        <w:tc>
          <w:tcPr>
            <w:tcW w:w="1308" w:type="pct"/>
            <w:shd w:val="clear" w:color="auto" w:fill="FFFFFF" w:themeFill="background1"/>
          </w:tcPr>
          <w:p w14:paraId="20232AE9"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 xml:space="preserve">For climate forcers included in nationally determined contributions not covered by IPCC guidelines, information on how the climate forcers </w:t>
            </w:r>
            <w:proofErr w:type="gramStart"/>
            <w:r w:rsidRPr="00CB7CEF">
              <w:rPr>
                <w:rFonts w:ascii="Times New Roman" w:hAnsi="Times New Roman"/>
                <w:sz w:val="20"/>
                <w:szCs w:val="20"/>
              </w:rPr>
              <w:t>are</w:t>
            </w:r>
            <w:proofErr w:type="gramEnd"/>
            <w:r w:rsidRPr="00CB7CEF">
              <w:rPr>
                <w:rFonts w:ascii="Times New Roman" w:hAnsi="Times New Roman"/>
                <w:sz w:val="20"/>
                <w:szCs w:val="20"/>
              </w:rPr>
              <w:t xml:space="preserve"> estimated;</w:t>
            </w:r>
          </w:p>
        </w:tc>
        <w:tc>
          <w:tcPr>
            <w:tcW w:w="348" w:type="pct"/>
            <w:shd w:val="clear" w:color="auto" w:fill="FFFFFF" w:themeFill="background1"/>
          </w:tcPr>
          <w:p w14:paraId="0031E61E" w14:textId="77777777" w:rsidR="001B5725" w:rsidRPr="00CB7CEF" w:rsidRDefault="001B5725" w:rsidP="001B5725">
            <w:pPr>
              <w:pStyle w:val="DecimalAligned"/>
              <w:numPr>
                <w:ilvl w:val="0"/>
                <w:numId w:val="22"/>
              </w:numPr>
              <w:bidi w:val="0"/>
              <w:spacing w:before="60" w:after="0" w:line="264" w:lineRule="auto"/>
            </w:pPr>
          </w:p>
        </w:tc>
      </w:tr>
      <w:tr w:rsidR="001B5725" w:rsidRPr="00CB7CEF" w14:paraId="1963EEC2" w14:textId="77777777" w:rsidTr="00814688">
        <w:trPr>
          <w:trHeight w:val="80"/>
        </w:trPr>
        <w:tc>
          <w:tcPr>
            <w:tcW w:w="3344" w:type="pct"/>
            <w:shd w:val="clear" w:color="auto" w:fill="FFFFFF" w:themeFill="background1"/>
            <w:noWrap/>
          </w:tcPr>
          <w:p w14:paraId="17967F79" w14:textId="77777777" w:rsidR="001B5725" w:rsidRPr="00CB7CEF" w:rsidRDefault="001B5725" w:rsidP="001B5725">
            <w:pPr>
              <w:bidi w:val="0"/>
              <w:spacing w:before="60" w:line="264" w:lineRule="auto"/>
              <w:rPr>
                <w:cs w:val="0"/>
              </w:rPr>
            </w:pPr>
            <w:r w:rsidRPr="00CB7CEF">
              <w:rPr>
                <w:rtl w:val="0"/>
                <w:cs w:val="0"/>
              </w:rPr>
              <w:t xml:space="preserve">Not applicable </w:t>
            </w:r>
          </w:p>
        </w:tc>
        <w:tc>
          <w:tcPr>
            <w:tcW w:w="1308" w:type="pct"/>
            <w:shd w:val="clear" w:color="auto" w:fill="FFFFFF" w:themeFill="background1"/>
          </w:tcPr>
          <w:p w14:paraId="03A4F2CC"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Further technical information, as necessary;</w:t>
            </w:r>
          </w:p>
        </w:tc>
        <w:tc>
          <w:tcPr>
            <w:tcW w:w="348" w:type="pct"/>
            <w:shd w:val="clear" w:color="auto" w:fill="FFFFFF" w:themeFill="background1"/>
          </w:tcPr>
          <w:p w14:paraId="6A033DBA" w14:textId="77777777" w:rsidR="001B5725" w:rsidRPr="00CB7CEF" w:rsidRDefault="001B5725" w:rsidP="001B5725">
            <w:pPr>
              <w:pStyle w:val="DecimalAligned"/>
              <w:numPr>
                <w:ilvl w:val="0"/>
                <w:numId w:val="22"/>
              </w:numPr>
              <w:bidi w:val="0"/>
              <w:spacing w:before="60" w:after="0" w:line="264" w:lineRule="auto"/>
            </w:pPr>
          </w:p>
        </w:tc>
      </w:tr>
      <w:tr w:rsidR="001B5725" w:rsidRPr="00CB7CEF" w14:paraId="48921C9A" w14:textId="77777777" w:rsidTr="00814688">
        <w:trPr>
          <w:trHeight w:val="80"/>
        </w:trPr>
        <w:tc>
          <w:tcPr>
            <w:tcW w:w="3344" w:type="pct"/>
            <w:shd w:val="clear" w:color="auto" w:fill="FFFFFF" w:themeFill="background1"/>
            <w:noWrap/>
          </w:tcPr>
          <w:p w14:paraId="7F578DF4" w14:textId="3CCB7BE2" w:rsidR="001B5725" w:rsidRPr="00CB7CEF" w:rsidRDefault="001B5725" w:rsidP="001B5725">
            <w:pPr>
              <w:bidi w:val="0"/>
              <w:spacing w:before="60" w:line="264" w:lineRule="auto"/>
              <w:rPr>
                <w:cs w:val="0"/>
              </w:rPr>
            </w:pPr>
            <w:r w:rsidRPr="00CB7CEF">
              <w:rPr>
                <w:rtl w:val="0"/>
                <w:cs w:val="0"/>
              </w:rPr>
              <w:t>Israel is planning to achieve its NDC mitigation objectives through domestic means but is following Article 6 negotiations so that this option remains open should it be relevant in the future.</w:t>
            </w:r>
          </w:p>
        </w:tc>
        <w:tc>
          <w:tcPr>
            <w:tcW w:w="1308" w:type="pct"/>
            <w:shd w:val="clear" w:color="auto" w:fill="FFFFFF" w:themeFill="background1"/>
          </w:tcPr>
          <w:p w14:paraId="5CEDBCBB"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The intention to use voluntary cooperation under Article 6 of the Paris Agreement, if applicable.</w:t>
            </w:r>
          </w:p>
        </w:tc>
        <w:tc>
          <w:tcPr>
            <w:tcW w:w="348" w:type="pct"/>
            <w:shd w:val="clear" w:color="auto" w:fill="FFFFFF" w:themeFill="background1"/>
          </w:tcPr>
          <w:p w14:paraId="276E2BC6" w14:textId="77777777" w:rsidR="001B5725" w:rsidRPr="00CB7CEF" w:rsidRDefault="001B5725" w:rsidP="001B5725">
            <w:pPr>
              <w:pStyle w:val="DecimalAligned"/>
              <w:numPr>
                <w:ilvl w:val="0"/>
                <w:numId w:val="20"/>
              </w:numPr>
              <w:bidi w:val="0"/>
              <w:spacing w:before="60" w:after="0" w:line="264" w:lineRule="auto"/>
            </w:pPr>
          </w:p>
        </w:tc>
      </w:tr>
      <w:tr w:rsidR="001B5725" w:rsidRPr="00CB7CEF" w14:paraId="10A2B559" w14:textId="77777777" w:rsidTr="00814688">
        <w:trPr>
          <w:trHeight w:val="80"/>
        </w:trPr>
        <w:tc>
          <w:tcPr>
            <w:tcW w:w="4652" w:type="pct"/>
            <w:gridSpan w:val="2"/>
            <w:shd w:val="clear" w:color="auto" w:fill="5B9BD5" w:themeFill="accent1"/>
            <w:noWrap/>
          </w:tcPr>
          <w:p w14:paraId="28601956"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b/>
                <w:bCs/>
                <w:sz w:val="20"/>
                <w:szCs w:val="20"/>
              </w:rPr>
              <w:t>How the Party considers that its nationally determined contribution is fair and ambitious in the light of its national circumstances:</w:t>
            </w:r>
          </w:p>
        </w:tc>
        <w:tc>
          <w:tcPr>
            <w:tcW w:w="348" w:type="pct"/>
            <w:shd w:val="clear" w:color="auto" w:fill="5B9BD5" w:themeFill="accent1"/>
          </w:tcPr>
          <w:p w14:paraId="09B8C679" w14:textId="77777777" w:rsidR="001B5725" w:rsidRPr="00CB7CEF" w:rsidRDefault="001B5725" w:rsidP="001B5725">
            <w:pPr>
              <w:pStyle w:val="DecimalAligned"/>
              <w:bidi w:val="0"/>
              <w:spacing w:before="60" w:after="0" w:line="264" w:lineRule="auto"/>
              <w:ind w:left="360"/>
            </w:pPr>
            <w:r w:rsidRPr="00CB7CEF">
              <w:t>6</w:t>
            </w:r>
          </w:p>
        </w:tc>
      </w:tr>
      <w:tr w:rsidR="001B5725" w:rsidRPr="00CB7CEF" w14:paraId="3C0B60D2" w14:textId="77777777" w:rsidTr="00814688">
        <w:trPr>
          <w:trHeight w:val="80"/>
        </w:trPr>
        <w:tc>
          <w:tcPr>
            <w:tcW w:w="3344" w:type="pct"/>
            <w:shd w:val="clear" w:color="auto" w:fill="FFFFFF" w:themeFill="background1"/>
            <w:noWrap/>
          </w:tcPr>
          <w:p w14:paraId="57B5A9E6" w14:textId="6A3EFBEE" w:rsidR="001B5725" w:rsidRDefault="001B5725" w:rsidP="001B5725">
            <w:pPr>
              <w:bidi w:val="0"/>
              <w:spacing w:before="60" w:line="264" w:lineRule="auto"/>
              <w:rPr>
                <w:rtl w:val="0"/>
                <w:cs w:val="0"/>
              </w:rPr>
            </w:pPr>
            <w:r w:rsidRPr="00CB7CEF">
              <w:rPr>
                <w:rtl w:val="0"/>
                <w:cs w:val="0"/>
              </w:rPr>
              <w:t>Taking into consideration its national circumstances, Israel believes its target to be fair and ambitious reflecting genuine efforts to move forward in a sustainable manner to facilitate the transition to a low-carbon and climate-resilient economy.</w:t>
            </w:r>
          </w:p>
          <w:p w14:paraId="0D53BC5F" w14:textId="77777777" w:rsidR="001B5725" w:rsidRPr="00CB7CEF" w:rsidRDefault="001B5725" w:rsidP="001B5725">
            <w:pPr>
              <w:bidi w:val="0"/>
              <w:spacing w:before="60" w:line="264" w:lineRule="auto"/>
              <w:rPr>
                <w:rtl w:val="0"/>
                <w:cs w:val="0"/>
              </w:rPr>
            </w:pPr>
          </w:p>
          <w:p w14:paraId="73B3A349" w14:textId="77777777" w:rsidR="001B5725" w:rsidRPr="00CB7CEF" w:rsidRDefault="001B5725" w:rsidP="001B5725">
            <w:pPr>
              <w:bidi w:val="0"/>
              <w:spacing w:before="60" w:line="264" w:lineRule="auto"/>
              <w:rPr>
                <w:rFonts w:cstheme="minorHAnsi"/>
                <w:cs w:val="0"/>
              </w:rPr>
            </w:pPr>
            <w:r w:rsidRPr="00CB7CEF">
              <w:rPr>
                <w:rFonts w:cstheme="minorHAnsi"/>
                <w:rtl w:val="0"/>
                <w:cs w:val="0"/>
              </w:rPr>
              <w:t>Israel is a small and densely populated country characterized by an expanding population and economic growth, facing land and water scarcity. Arid zones comprise over 45% of the area of the country while there is an exceptionally high degree of biological diversity that must be protected</w:t>
            </w:r>
            <w:r w:rsidRPr="00CB7CEF">
              <w:rPr>
                <w:rFonts w:cs="Calibri"/>
                <w:cs w:val="0"/>
              </w:rPr>
              <w:t>.</w:t>
            </w:r>
          </w:p>
          <w:p w14:paraId="7F4D961C" w14:textId="77777777" w:rsidR="001B5725" w:rsidRPr="00CB7CEF" w:rsidRDefault="001B5725" w:rsidP="001B5725">
            <w:pPr>
              <w:bidi w:val="0"/>
              <w:spacing w:before="60" w:line="264" w:lineRule="auto"/>
              <w:rPr>
                <w:rFonts w:cstheme="minorHAnsi"/>
                <w:rtl w:val="0"/>
                <w:cs w:val="0"/>
              </w:rPr>
            </w:pPr>
          </w:p>
          <w:p w14:paraId="33BA97F8" w14:textId="0169190E" w:rsidR="001B5725" w:rsidRPr="00CB7CEF" w:rsidRDefault="001B5725" w:rsidP="001B5725">
            <w:pPr>
              <w:bidi w:val="0"/>
              <w:spacing w:before="60" w:line="264" w:lineRule="auto"/>
              <w:rPr>
                <w:rFonts w:cstheme="minorHAnsi"/>
                <w:rtl w:val="0"/>
                <w:cs w:val="0"/>
              </w:rPr>
            </w:pPr>
            <w:r w:rsidRPr="00CB7CEF">
              <w:rPr>
                <w:rFonts w:cstheme="minorHAnsi"/>
                <w:rtl w:val="0"/>
                <w:cs w:val="0"/>
              </w:rPr>
              <w:t xml:space="preserve">Electricity generation has been largely based on domestic and imported fossil fuels as Israel has no access to </w:t>
            </w:r>
            <w:proofErr w:type="gramStart"/>
            <w:r w:rsidRPr="00CB7CEF">
              <w:rPr>
                <w:rFonts w:cstheme="minorHAnsi"/>
                <w:rtl w:val="0"/>
                <w:cs w:val="0"/>
              </w:rPr>
              <w:t>a number of</w:t>
            </w:r>
            <w:proofErr w:type="gramEnd"/>
            <w:r w:rsidRPr="00CB7CEF">
              <w:rPr>
                <w:rFonts w:cstheme="minorHAnsi"/>
                <w:rtl w:val="0"/>
                <w:cs w:val="0"/>
              </w:rPr>
              <w:t xml:space="preserve"> widely used low-carbon sources of energy such as nuclear, hydro-electric and geothermal power. The country is an energy island, without grid interconnectivity. There is limited surface area available for large-scale energy installations. The few available areas are subject to competing uses such as industrial development and housing, bio-diversity preservation, habitat conservation, agriculture and defense. Electricity generation from renewable energy (mostly solar PV) amounted to 6.1% of the total electricity generation in 20</w:t>
            </w:r>
            <w:r>
              <w:rPr>
                <w:rFonts w:cstheme="minorHAnsi"/>
                <w:rtl w:val="0"/>
                <w:cs w:val="0"/>
              </w:rPr>
              <w:t>20</w:t>
            </w:r>
            <w:r w:rsidRPr="00CB7CEF">
              <w:rPr>
                <w:rFonts w:cstheme="minorHAnsi"/>
                <w:rtl w:val="0"/>
                <w:cs w:val="0"/>
              </w:rPr>
              <w:t>.</w:t>
            </w:r>
          </w:p>
          <w:p w14:paraId="7289454A" w14:textId="77777777" w:rsidR="001B5725" w:rsidRPr="00CB7CEF" w:rsidRDefault="001B5725" w:rsidP="001B5725">
            <w:pPr>
              <w:bidi w:val="0"/>
              <w:spacing w:before="60" w:line="264" w:lineRule="auto"/>
              <w:rPr>
                <w:rFonts w:cstheme="minorHAnsi"/>
                <w:rtl w:val="0"/>
                <w:cs w:val="0"/>
              </w:rPr>
            </w:pPr>
          </w:p>
          <w:p w14:paraId="6B8F7887" w14:textId="3D30EDFF" w:rsidR="001B5725" w:rsidRPr="00CB7CEF" w:rsidRDefault="001B5725" w:rsidP="001B5725">
            <w:pPr>
              <w:bidi w:val="0"/>
              <w:spacing w:before="60" w:line="264" w:lineRule="auto"/>
              <w:rPr>
                <w:rFonts w:cstheme="minorHAnsi"/>
                <w:cs w:val="0"/>
              </w:rPr>
            </w:pPr>
            <w:r w:rsidRPr="00CB7CEF">
              <w:rPr>
                <w:rFonts w:cstheme="minorHAnsi"/>
                <w:rtl w:val="0"/>
                <w:cs w:val="0"/>
              </w:rPr>
              <w:t>For many years, there has been significant use of solar heaters for water heating and greenhouse gas emissions</w:t>
            </w:r>
            <w:r w:rsidR="00C352FF">
              <w:rPr>
                <w:rFonts w:cstheme="minorHAnsi"/>
                <w:rtl w:val="0"/>
                <w:cs w:val="0"/>
              </w:rPr>
              <w:t xml:space="preserve"> associated with</w:t>
            </w:r>
            <w:r w:rsidRPr="00CB7CEF">
              <w:rPr>
                <w:rFonts w:cstheme="minorHAnsi"/>
                <w:rtl w:val="0"/>
                <w:cs w:val="0"/>
              </w:rPr>
              <w:t xml:space="preserve"> </w:t>
            </w:r>
            <w:r w:rsidR="00C352FF">
              <w:rPr>
                <w:rFonts w:cstheme="minorHAnsi"/>
                <w:rtl w:val="0"/>
                <w:cs w:val="0"/>
              </w:rPr>
              <w:t>water heating</w:t>
            </w:r>
            <w:r w:rsidRPr="00CB7CEF">
              <w:rPr>
                <w:rFonts w:cstheme="minorHAnsi"/>
                <w:rtl w:val="0"/>
                <w:cs w:val="0"/>
              </w:rPr>
              <w:t xml:space="preserve"> are substantially lower than the global average. An additional factor limiting Israel's abatement potential is its small</w:t>
            </w:r>
            <w:r w:rsidR="00DA26D8">
              <w:rPr>
                <w:rFonts w:cstheme="minorHAnsi"/>
                <w:rtl w:val="0"/>
                <w:cs w:val="0"/>
              </w:rPr>
              <w:t xml:space="preserve"> share of</w:t>
            </w:r>
            <w:r w:rsidRPr="00CB7CEF">
              <w:rPr>
                <w:rFonts w:cstheme="minorHAnsi"/>
                <w:rtl w:val="0"/>
                <w:cs w:val="0"/>
              </w:rPr>
              <w:t xml:space="preserve"> heavy industry sector with relatively low emission</w:t>
            </w:r>
            <w:r w:rsidR="00DA26D8">
              <w:rPr>
                <w:rFonts w:cstheme="minorHAnsi"/>
                <w:rtl w:val="0"/>
                <w:cs w:val="0"/>
              </w:rPr>
              <w:t>s reduction potential</w:t>
            </w:r>
            <w:r w:rsidRPr="00CB7CEF">
              <w:rPr>
                <w:rFonts w:cs="Calibri"/>
                <w:cs w:val="0"/>
              </w:rPr>
              <w:t>.</w:t>
            </w:r>
          </w:p>
          <w:p w14:paraId="39C2A7BF" w14:textId="4BBEFE64" w:rsidR="001B5725" w:rsidRPr="00CB7CEF" w:rsidRDefault="001B5725" w:rsidP="001B5725">
            <w:pPr>
              <w:bidi w:val="0"/>
              <w:spacing w:before="60" w:line="264" w:lineRule="auto"/>
              <w:rPr>
                <w:rFonts w:cstheme="minorHAnsi"/>
                <w:cs w:val="0"/>
              </w:rPr>
            </w:pPr>
            <w:r w:rsidRPr="00CB7CEF">
              <w:rPr>
                <w:rFonts w:cstheme="minorHAnsi"/>
                <w:rtl w:val="0"/>
                <w:cs w:val="0"/>
              </w:rPr>
              <w:t>Israel attains extremely high levels of water reuse (85%). However, to meet increasing water demand several desalination plants have been constructed. These installations are comparatively energy efficient and currently account for 5% of energy consumption. Water scarcity may necessitate the construction of additional plants in the future.</w:t>
            </w:r>
          </w:p>
        </w:tc>
        <w:tc>
          <w:tcPr>
            <w:tcW w:w="1308" w:type="pct"/>
            <w:shd w:val="clear" w:color="auto" w:fill="FFFFFF" w:themeFill="background1"/>
          </w:tcPr>
          <w:p w14:paraId="7BAA2F03" w14:textId="77777777" w:rsidR="001B5725" w:rsidRPr="00CB7CEF" w:rsidRDefault="001B5725" w:rsidP="001B5725">
            <w:pPr>
              <w:pStyle w:val="DecimalAligned"/>
              <w:bidi w:val="0"/>
              <w:spacing w:before="60" w:after="0" w:line="264" w:lineRule="auto"/>
              <w:rPr>
                <w:rFonts w:ascii="Times New Roman" w:hAnsi="Times New Roman"/>
                <w:sz w:val="20"/>
                <w:szCs w:val="20"/>
                <w:highlight w:val="yellow"/>
              </w:rPr>
            </w:pPr>
            <w:r w:rsidRPr="00CB7CEF">
              <w:rPr>
                <w:rFonts w:ascii="Times New Roman" w:hAnsi="Times New Roman"/>
                <w:sz w:val="20"/>
                <w:szCs w:val="20"/>
              </w:rPr>
              <w:t>How the Party considers that its nationally determined contribution is fair and ambitious in the light of its national circumstances;</w:t>
            </w:r>
          </w:p>
        </w:tc>
        <w:tc>
          <w:tcPr>
            <w:tcW w:w="348" w:type="pct"/>
            <w:shd w:val="clear" w:color="auto" w:fill="FFFFFF" w:themeFill="background1"/>
          </w:tcPr>
          <w:p w14:paraId="4ADA841E" w14:textId="77777777" w:rsidR="001B5725" w:rsidRPr="00CB7CEF" w:rsidRDefault="001B5725" w:rsidP="001B5725">
            <w:pPr>
              <w:pStyle w:val="DecimalAligned"/>
              <w:numPr>
                <w:ilvl w:val="0"/>
                <w:numId w:val="24"/>
              </w:numPr>
              <w:bidi w:val="0"/>
              <w:spacing w:before="60" w:after="0" w:line="264" w:lineRule="auto"/>
            </w:pPr>
          </w:p>
        </w:tc>
      </w:tr>
      <w:tr w:rsidR="001B5725" w:rsidRPr="00CB7CEF" w14:paraId="30B0D6E8" w14:textId="77777777" w:rsidTr="00814688">
        <w:trPr>
          <w:trHeight w:val="80"/>
        </w:trPr>
        <w:tc>
          <w:tcPr>
            <w:tcW w:w="3344" w:type="pct"/>
            <w:shd w:val="clear" w:color="auto" w:fill="FFFFFF" w:themeFill="background1"/>
            <w:noWrap/>
          </w:tcPr>
          <w:p w14:paraId="1B8E1DAD" w14:textId="383EE30D" w:rsidR="001B5725" w:rsidRPr="00CB7CEF" w:rsidRDefault="001B5725" w:rsidP="001B5725">
            <w:pPr>
              <w:bidi w:val="0"/>
              <w:spacing w:before="60" w:line="264" w:lineRule="auto"/>
              <w:rPr>
                <w:cs w:val="0"/>
              </w:rPr>
            </w:pPr>
            <w:r w:rsidRPr="00CB7CEF">
              <w:rPr>
                <w:rtl w:val="0"/>
                <w:cs w:val="0"/>
              </w:rPr>
              <w:t xml:space="preserve">See above, </w:t>
            </w:r>
            <w:r w:rsidR="009F1777">
              <w:rPr>
                <w:rtl w:val="0"/>
                <w:cs w:val="0"/>
              </w:rPr>
              <w:t>section</w:t>
            </w:r>
            <w:r w:rsidRPr="00CB7CEF">
              <w:rPr>
                <w:rtl w:val="0"/>
                <w:cs w:val="0"/>
              </w:rPr>
              <w:t xml:space="preserve"> 6</w:t>
            </w:r>
            <w:r w:rsidR="009F1777">
              <w:rPr>
                <w:rtl w:val="0"/>
                <w:cs w:val="0"/>
              </w:rPr>
              <w:t>(</w:t>
            </w:r>
            <w:r w:rsidRPr="00CB7CEF">
              <w:rPr>
                <w:rtl w:val="0"/>
                <w:cs w:val="0"/>
              </w:rPr>
              <w:t>a</w:t>
            </w:r>
            <w:r w:rsidR="009F1777">
              <w:rPr>
                <w:rtl w:val="0"/>
                <w:cs w:val="0"/>
              </w:rPr>
              <w:t>)</w:t>
            </w:r>
          </w:p>
          <w:p w14:paraId="361530F8" w14:textId="77777777" w:rsidR="001B5725" w:rsidRPr="00CB7CEF" w:rsidRDefault="001B5725" w:rsidP="001B5725">
            <w:pPr>
              <w:bidi w:val="0"/>
              <w:spacing w:before="60" w:line="264" w:lineRule="auto"/>
              <w:rPr>
                <w:rtl w:val="0"/>
                <w:cs w:val="0"/>
              </w:rPr>
            </w:pPr>
          </w:p>
        </w:tc>
        <w:tc>
          <w:tcPr>
            <w:tcW w:w="1308" w:type="pct"/>
            <w:shd w:val="clear" w:color="auto" w:fill="FFFFFF" w:themeFill="background1"/>
          </w:tcPr>
          <w:p w14:paraId="660459A2"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Fairness considerations, including reflecting on equity;</w:t>
            </w:r>
          </w:p>
        </w:tc>
        <w:tc>
          <w:tcPr>
            <w:tcW w:w="348" w:type="pct"/>
            <w:shd w:val="clear" w:color="auto" w:fill="FFFFFF" w:themeFill="background1"/>
          </w:tcPr>
          <w:p w14:paraId="4FEF76E4" w14:textId="77777777" w:rsidR="001B5725" w:rsidRPr="00CB7CEF" w:rsidRDefault="001B5725" w:rsidP="001B5725">
            <w:pPr>
              <w:pStyle w:val="DecimalAligned"/>
              <w:numPr>
                <w:ilvl w:val="0"/>
                <w:numId w:val="24"/>
              </w:numPr>
              <w:bidi w:val="0"/>
              <w:spacing w:before="60" w:after="0" w:line="264" w:lineRule="auto"/>
            </w:pPr>
          </w:p>
        </w:tc>
      </w:tr>
      <w:tr w:rsidR="001B5725" w:rsidRPr="00CB7CEF" w14:paraId="048BD055" w14:textId="77777777" w:rsidTr="00814688">
        <w:trPr>
          <w:trHeight w:val="80"/>
        </w:trPr>
        <w:tc>
          <w:tcPr>
            <w:tcW w:w="3344" w:type="pct"/>
            <w:shd w:val="clear" w:color="auto" w:fill="FFFFFF" w:themeFill="background1"/>
            <w:noWrap/>
          </w:tcPr>
          <w:p w14:paraId="231D829F" w14:textId="192720B6" w:rsidR="001B5725" w:rsidRPr="00CB7CEF" w:rsidRDefault="001B5725" w:rsidP="001B5725">
            <w:pPr>
              <w:bidi w:val="0"/>
              <w:spacing w:before="60" w:line="264" w:lineRule="auto"/>
              <w:jc w:val="both"/>
              <w:rPr>
                <w:rtl w:val="0"/>
                <w:cs w:val="0"/>
              </w:rPr>
            </w:pPr>
            <w:r w:rsidRPr="00CB7CEF">
              <w:rPr>
                <w:rtl w:val="0"/>
                <w:cs w:val="0"/>
              </w:rPr>
              <w:t xml:space="preserve">Israel’s first NDC formulated a per capita GHG emissions target </w:t>
            </w:r>
            <w:r>
              <w:rPr>
                <w:rtl w:val="0"/>
                <w:cs w:val="0"/>
              </w:rPr>
              <w:t>that</w:t>
            </w:r>
            <w:r w:rsidRPr="00CB7CEF">
              <w:rPr>
                <w:rtl w:val="0"/>
                <w:cs w:val="0"/>
              </w:rPr>
              <w:t xml:space="preserve"> did not entail</w:t>
            </w:r>
            <w:r>
              <w:rPr>
                <w:rtl w:val="0"/>
                <w:cs w:val="0"/>
              </w:rPr>
              <w:t xml:space="preserve"> a reduction in </w:t>
            </w:r>
            <w:r w:rsidRPr="00CB7CEF">
              <w:rPr>
                <w:rtl w:val="0"/>
                <w:cs w:val="0"/>
              </w:rPr>
              <w:t xml:space="preserve">absolute </w:t>
            </w:r>
            <w:proofErr w:type="gramStart"/>
            <w:r w:rsidRPr="00CB7CEF">
              <w:rPr>
                <w:rtl w:val="0"/>
                <w:cs w:val="0"/>
              </w:rPr>
              <w:t>emissions .</w:t>
            </w:r>
            <w:proofErr w:type="gramEnd"/>
            <w:r w:rsidRPr="00CB7CEF">
              <w:rPr>
                <w:rtl w:val="0"/>
                <w:cs w:val="0"/>
              </w:rPr>
              <w:t xml:space="preserve"> </w:t>
            </w:r>
          </w:p>
          <w:p w14:paraId="28CEBA5C" w14:textId="78E5EEE6" w:rsidR="001B5725" w:rsidRPr="00CB7CEF" w:rsidRDefault="001B5725" w:rsidP="001B5725">
            <w:pPr>
              <w:bidi w:val="0"/>
              <w:spacing w:before="60" w:line="264" w:lineRule="auto"/>
              <w:jc w:val="both"/>
              <w:rPr>
                <w:rtl w:val="0"/>
                <w:cs w:val="0"/>
              </w:rPr>
            </w:pPr>
            <w:r w:rsidRPr="00CB7CEF">
              <w:rPr>
                <w:rtl w:val="0"/>
                <w:cs w:val="0"/>
              </w:rPr>
              <w:t>Considering the previous target set in 2015</w:t>
            </w:r>
            <w:r>
              <w:rPr>
                <w:rtl w:val="0"/>
                <w:cs w:val="0"/>
              </w:rPr>
              <w:t xml:space="preserve"> and revised population growth forecasts</w:t>
            </w:r>
            <w:r w:rsidRPr="00CB7CEF">
              <w:rPr>
                <w:rtl w:val="0"/>
                <w:cs w:val="0"/>
              </w:rPr>
              <w:t xml:space="preserve">, the expected annual GHG emissions in 2030 would have been </w:t>
            </w:r>
            <w:r w:rsidR="009F1777">
              <w:rPr>
                <w:rtl w:val="0"/>
                <w:cs w:val="0"/>
              </w:rPr>
              <w:t xml:space="preserve">around </w:t>
            </w:r>
            <w:r w:rsidRPr="00CB7CEF">
              <w:rPr>
                <w:rtl w:val="0"/>
                <w:cs w:val="0"/>
              </w:rPr>
              <w:t xml:space="preserve">more than 85 </w:t>
            </w:r>
            <w:r>
              <w:rPr>
                <w:rtl w:val="0"/>
                <w:cs w:val="0"/>
              </w:rPr>
              <w:t>M</w:t>
            </w:r>
            <w:r w:rsidRPr="00CB7CEF">
              <w:rPr>
                <w:rtl w:val="0"/>
                <w:cs w:val="0"/>
              </w:rPr>
              <w:t xml:space="preserve">tCO2e. </w:t>
            </w:r>
          </w:p>
          <w:p w14:paraId="1EA7AC97" w14:textId="7BFD25EE" w:rsidR="001B5725" w:rsidRPr="00CB7CEF" w:rsidRDefault="001B5725" w:rsidP="001B5725">
            <w:pPr>
              <w:bidi w:val="0"/>
              <w:spacing w:before="60" w:line="264" w:lineRule="auto"/>
              <w:jc w:val="both"/>
              <w:rPr>
                <w:highlight w:val="lightGray"/>
                <w:cs w:val="0"/>
              </w:rPr>
            </w:pPr>
            <w:r w:rsidRPr="00CB7CEF">
              <w:rPr>
                <w:rtl w:val="0"/>
                <w:cs w:val="0"/>
              </w:rPr>
              <w:t xml:space="preserve">The current target </w:t>
            </w:r>
            <w:r>
              <w:rPr>
                <w:rtl w:val="0"/>
                <w:cs w:val="0"/>
              </w:rPr>
              <w:t>of</w:t>
            </w:r>
            <w:r w:rsidRPr="00CB7CEF">
              <w:rPr>
                <w:rtl w:val="0"/>
                <w:cs w:val="0"/>
              </w:rPr>
              <w:t xml:space="preserve"> 58 </w:t>
            </w:r>
            <w:r>
              <w:rPr>
                <w:rtl w:val="0"/>
                <w:cs w:val="0"/>
              </w:rPr>
              <w:t>M</w:t>
            </w:r>
            <w:r w:rsidRPr="00CB7CEF">
              <w:rPr>
                <w:rtl w:val="0"/>
                <w:cs w:val="0"/>
              </w:rPr>
              <w:t xml:space="preserve">tCO2e is significantly more ambitious. </w:t>
            </w:r>
          </w:p>
        </w:tc>
        <w:tc>
          <w:tcPr>
            <w:tcW w:w="1308" w:type="pct"/>
            <w:shd w:val="clear" w:color="auto" w:fill="FFFFFF" w:themeFill="background1"/>
          </w:tcPr>
          <w:p w14:paraId="2194CDC9"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How the Party has addressed Article 4, paragraph 3, of the Paris Agreement;</w:t>
            </w:r>
          </w:p>
        </w:tc>
        <w:tc>
          <w:tcPr>
            <w:tcW w:w="348" w:type="pct"/>
            <w:shd w:val="clear" w:color="auto" w:fill="FFFFFF" w:themeFill="background1"/>
          </w:tcPr>
          <w:p w14:paraId="64A762F2" w14:textId="77777777" w:rsidR="001B5725" w:rsidRPr="00CB7CEF" w:rsidRDefault="001B5725" w:rsidP="001B5725">
            <w:pPr>
              <w:pStyle w:val="DecimalAligned"/>
              <w:numPr>
                <w:ilvl w:val="0"/>
                <w:numId w:val="24"/>
              </w:numPr>
              <w:bidi w:val="0"/>
              <w:spacing w:before="60" w:after="0" w:line="264" w:lineRule="auto"/>
            </w:pPr>
          </w:p>
        </w:tc>
      </w:tr>
      <w:tr w:rsidR="001B5725" w:rsidRPr="00CB7CEF" w14:paraId="5A4D004A" w14:textId="77777777" w:rsidTr="00814688">
        <w:trPr>
          <w:trHeight w:val="80"/>
        </w:trPr>
        <w:tc>
          <w:tcPr>
            <w:tcW w:w="3344" w:type="pct"/>
            <w:shd w:val="clear" w:color="auto" w:fill="FFFFFF" w:themeFill="background1"/>
            <w:noWrap/>
          </w:tcPr>
          <w:p w14:paraId="02C40E5F" w14:textId="1BFDED08" w:rsidR="001B5725" w:rsidRPr="00CB7CEF" w:rsidRDefault="001B5725" w:rsidP="001B5725">
            <w:pPr>
              <w:pStyle w:val="Default"/>
              <w:bidi w:val="0"/>
              <w:spacing w:before="60" w:line="264" w:lineRule="auto"/>
              <w:jc w:val="both"/>
              <w:rPr>
                <w:rFonts w:asciiTheme="minorHAnsi" w:hAnsiTheme="minorHAnsi" w:cstheme="minorHAnsi"/>
                <w:sz w:val="22"/>
                <w:szCs w:val="22"/>
                <w:rtl w:val="0"/>
                <w:cs w:val="0"/>
              </w:rPr>
            </w:pPr>
            <w:r w:rsidRPr="00CB7CEF">
              <w:rPr>
                <w:rFonts w:asciiTheme="minorHAnsi" w:hAnsiTheme="minorHAnsi" w:cstheme="minorHAnsi"/>
                <w:sz w:val="22"/>
                <w:szCs w:val="22"/>
                <w:rtl w:val="0"/>
                <w:cs w:val="0"/>
              </w:rPr>
              <w:t xml:space="preserve">Israel's NDC is an economy-wide absolute emissions reduction target in compliance with Article 4.4 of the Paris Agreement. Sectorial targets were defined as well in order to </w:t>
            </w:r>
            <w:r>
              <w:rPr>
                <w:rFonts w:asciiTheme="minorHAnsi" w:hAnsiTheme="minorHAnsi" w:cstheme="minorHAnsi"/>
                <w:sz w:val="22"/>
                <w:szCs w:val="22"/>
                <w:rtl w:val="0"/>
                <w:cs w:val="0"/>
              </w:rPr>
              <w:t xml:space="preserve">facilitate successful implementation of </w:t>
            </w:r>
            <w:r w:rsidRPr="00CB7CEF">
              <w:rPr>
                <w:rFonts w:asciiTheme="minorHAnsi" w:hAnsiTheme="minorHAnsi" w:cstheme="minorHAnsi"/>
                <w:sz w:val="22"/>
                <w:szCs w:val="22"/>
                <w:rtl w:val="0"/>
                <w:cs w:val="0"/>
              </w:rPr>
              <w:t xml:space="preserve">the economy-wide target. See above, </w:t>
            </w:r>
            <w:r w:rsidR="009F1777">
              <w:rPr>
                <w:rFonts w:asciiTheme="minorHAnsi" w:hAnsiTheme="minorHAnsi" w:cstheme="minorHAnsi"/>
                <w:sz w:val="22"/>
                <w:szCs w:val="22"/>
                <w:rtl w:val="0"/>
                <w:cs w:val="0"/>
              </w:rPr>
              <w:t>section</w:t>
            </w:r>
            <w:r w:rsidRPr="00CB7CEF">
              <w:rPr>
                <w:rFonts w:asciiTheme="minorHAnsi" w:hAnsiTheme="minorHAnsi" w:cstheme="minorHAnsi"/>
                <w:sz w:val="22"/>
                <w:szCs w:val="22"/>
                <w:rtl w:val="0"/>
                <w:cs w:val="0"/>
              </w:rPr>
              <w:t xml:space="preserve"> 1</w:t>
            </w:r>
            <w:r w:rsidR="00223780">
              <w:rPr>
                <w:rFonts w:asciiTheme="minorHAnsi" w:hAnsiTheme="minorHAnsi" w:cstheme="minorHAnsi"/>
                <w:sz w:val="22"/>
                <w:szCs w:val="22"/>
                <w:rtl w:val="0"/>
                <w:cs w:val="0"/>
              </w:rPr>
              <w:t>(</w:t>
            </w:r>
            <w:r w:rsidRPr="00CB7CEF">
              <w:rPr>
                <w:rFonts w:asciiTheme="minorHAnsi" w:hAnsiTheme="minorHAnsi" w:cstheme="minorHAnsi"/>
                <w:sz w:val="22"/>
                <w:szCs w:val="22"/>
                <w:rtl w:val="0"/>
                <w:cs w:val="0"/>
              </w:rPr>
              <w:t>d</w:t>
            </w:r>
            <w:r w:rsidR="00223780">
              <w:rPr>
                <w:rFonts w:asciiTheme="minorHAnsi" w:hAnsiTheme="minorHAnsi" w:cstheme="minorHAnsi"/>
                <w:sz w:val="22"/>
                <w:szCs w:val="22"/>
                <w:rtl w:val="0"/>
                <w:cs w:val="0"/>
              </w:rPr>
              <w:t>)</w:t>
            </w:r>
            <w:r w:rsidRPr="00CB7CEF">
              <w:rPr>
                <w:rFonts w:asciiTheme="minorHAnsi" w:hAnsiTheme="minorHAnsi" w:cstheme="minorHAnsi"/>
                <w:sz w:val="22"/>
                <w:szCs w:val="22"/>
                <w:rtl w:val="0"/>
                <w:cs w:val="0"/>
              </w:rPr>
              <w:t>.</w:t>
            </w:r>
          </w:p>
          <w:p w14:paraId="3667FC8C" w14:textId="1742F94B" w:rsidR="001B5725" w:rsidRPr="00CB7CEF" w:rsidRDefault="001B5725" w:rsidP="001B5725">
            <w:pPr>
              <w:pStyle w:val="Default"/>
              <w:bidi w:val="0"/>
              <w:spacing w:before="60" w:line="264" w:lineRule="auto"/>
              <w:jc w:val="both"/>
              <w:rPr>
                <w:rFonts w:asciiTheme="minorHAnsi" w:hAnsiTheme="minorHAnsi" w:cstheme="minorHAnsi"/>
                <w:sz w:val="22"/>
                <w:szCs w:val="22"/>
                <w:cs w:val="0"/>
              </w:rPr>
            </w:pPr>
          </w:p>
        </w:tc>
        <w:tc>
          <w:tcPr>
            <w:tcW w:w="1308" w:type="pct"/>
            <w:shd w:val="clear" w:color="auto" w:fill="FFFFFF" w:themeFill="background1"/>
          </w:tcPr>
          <w:p w14:paraId="4E505CE1" w14:textId="498A4D3F" w:rsidR="001B5725" w:rsidRPr="00CB7CEF" w:rsidRDefault="001B5725" w:rsidP="001B5725">
            <w:pPr>
              <w:pStyle w:val="DecimalAligned"/>
              <w:bidi w:val="0"/>
              <w:spacing w:before="60" w:after="0" w:line="264" w:lineRule="auto"/>
              <w:jc w:val="both"/>
              <w:rPr>
                <w:rFonts w:ascii="Times New Roman" w:hAnsi="Times New Roman"/>
                <w:sz w:val="20"/>
                <w:szCs w:val="20"/>
              </w:rPr>
            </w:pPr>
            <w:r w:rsidRPr="00CB7CEF">
              <w:rPr>
                <w:rFonts w:ascii="Times New Roman" w:hAnsi="Times New Roman"/>
                <w:sz w:val="20"/>
                <w:szCs w:val="20"/>
              </w:rPr>
              <w:t>How the Party has addressed Article 4, paragraph 4, of the Paris Agreement;</w:t>
            </w:r>
          </w:p>
        </w:tc>
        <w:tc>
          <w:tcPr>
            <w:tcW w:w="348" w:type="pct"/>
            <w:shd w:val="clear" w:color="auto" w:fill="FFFFFF" w:themeFill="background1"/>
          </w:tcPr>
          <w:p w14:paraId="7C08024B" w14:textId="77777777" w:rsidR="001B5725" w:rsidRPr="00CB7CEF" w:rsidRDefault="001B5725" w:rsidP="001B5725">
            <w:pPr>
              <w:pStyle w:val="DecimalAligned"/>
              <w:numPr>
                <w:ilvl w:val="0"/>
                <w:numId w:val="24"/>
              </w:numPr>
              <w:bidi w:val="0"/>
              <w:spacing w:before="60" w:after="0" w:line="264" w:lineRule="auto"/>
            </w:pPr>
          </w:p>
        </w:tc>
      </w:tr>
      <w:tr w:rsidR="001B5725" w:rsidRPr="00CB7CEF" w14:paraId="45432CCC" w14:textId="77777777" w:rsidTr="00814688">
        <w:trPr>
          <w:trHeight w:val="80"/>
        </w:trPr>
        <w:tc>
          <w:tcPr>
            <w:tcW w:w="3344" w:type="pct"/>
            <w:shd w:val="clear" w:color="auto" w:fill="FFFFFF" w:themeFill="background1"/>
            <w:noWrap/>
          </w:tcPr>
          <w:p w14:paraId="41376C23" w14:textId="476A2454" w:rsidR="001B5725" w:rsidRPr="00CB7CEF" w:rsidRDefault="001B5725" w:rsidP="001B5725">
            <w:pPr>
              <w:bidi w:val="0"/>
              <w:spacing w:before="60" w:line="264" w:lineRule="auto"/>
              <w:rPr>
                <w:rtl w:val="0"/>
                <w:cs w:val="0"/>
              </w:rPr>
            </w:pPr>
            <w:r w:rsidRPr="00CB7CEF">
              <w:rPr>
                <w:rtl w:val="0"/>
                <w:cs w:val="0"/>
              </w:rPr>
              <w:t xml:space="preserve">Not </w:t>
            </w:r>
            <w:r w:rsidR="00223780">
              <w:rPr>
                <w:rtl w:val="0"/>
                <w:cs w:val="0"/>
              </w:rPr>
              <w:t>a</w:t>
            </w:r>
            <w:r w:rsidRPr="00CB7CEF">
              <w:rPr>
                <w:rtl w:val="0"/>
                <w:cs w:val="0"/>
              </w:rPr>
              <w:t>pplicable</w:t>
            </w:r>
          </w:p>
        </w:tc>
        <w:tc>
          <w:tcPr>
            <w:tcW w:w="1308" w:type="pct"/>
            <w:shd w:val="clear" w:color="auto" w:fill="FFFFFF" w:themeFill="background1"/>
          </w:tcPr>
          <w:p w14:paraId="063C4AAB" w14:textId="77777777" w:rsidR="001B5725" w:rsidRPr="00CB7CEF" w:rsidRDefault="001B5725" w:rsidP="001B5725">
            <w:pPr>
              <w:pStyle w:val="DecimalAligned"/>
              <w:bidi w:val="0"/>
              <w:spacing w:before="60" w:after="0" w:line="264" w:lineRule="auto"/>
              <w:rPr>
                <w:rFonts w:ascii="Times New Roman" w:hAnsi="Times New Roman"/>
                <w:sz w:val="20"/>
                <w:szCs w:val="20"/>
              </w:rPr>
            </w:pPr>
            <w:r w:rsidRPr="00CB7CEF">
              <w:rPr>
                <w:rFonts w:ascii="Times New Roman" w:hAnsi="Times New Roman"/>
                <w:sz w:val="20"/>
                <w:szCs w:val="20"/>
              </w:rPr>
              <w:t>How the Party has addressed Article 4, paragraph 6, of the Paris Agreement.</w:t>
            </w:r>
          </w:p>
        </w:tc>
        <w:tc>
          <w:tcPr>
            <w:tcW w:w="348" w:type="pct"/>
            <w:shd w:val="clear" w:color="auto" w:fill="FFFFFF" w:themeFill="background1"/>
          </w:tcPr>
          <w:p w14:paraId="52092E54" w14:textId="77777777" w:rsidR="001B5725" w:rsidRPr="00CB7CEF" w:rsidRDefault="001B5725" w:rsidP="001B5725">
            <w:pPr>
              <w:pStyle w:val="DecimalAligned"/>
              <w:numPr>
                <w:ilvl w:val="0"/>
                <w:numId w:val="24"/>
              </w:numPr>
              <w:bidi w:val="0"/>
              <w:spacing w:before="60" w:after="0" w:line="264" w:lineRule="auto"/>
            </w:pPr>
          </w:p>
        </w:tc>
      </w:tr>
      <w:tr w:rsidR="001B5725" w:rsidRPr="00CB7CEF" w14:paraId="231804D1" w14:textId="77777777" w:rsidTr="00814688">
        <w:trPr>
          <w:trHeight w:val="80"/>
        </w:trPr>
        <w:tc>
          <w:tcPr>
            <w:tcW w:w="4652" w:type="pct"/>
            <w:gridSpan w:val="2"/>
            <w:shd w:val="clear" w:color="auto" w:fill="5B9BD5" w:themeFill="accent1"/>
            <w:noWrap/>
          </w:tcPr>
          <w:p w14:paraId="3D1A779C" w14:textId="77777777" w:rsidR="001B5725" w:rsidRPr="00CB7CEF" w:rsidRDefault="001B5725" w:rsidP="001B5725">
            <w:pPr>
              <w:pStyle w:val="DecimalAligned"/>
              <w:bidi w:val="0"/>
              <w:spacing w:before="60" w:after="0" w:line="264" w:lineRule="auto"/>
              <w:rPr>
                <w:rFonts w:ascii="Times New Roman" w:hAnsi="Times New Roman"/>
                <w:sz w:val="20"/>
                <w:szCs w:val="20"/>
                <w:rtl/>
                <w:cs/>
              </w:rPr>
            </w:pPr>
            <w:r w:rsidRPr="00CB7CEF">
              <w:rPr>
                <w:rFonts w:ascii="Times New Roman" w:hAnsi="Times New Roman"/>
                <w:b/>
                <w:bCs/>
                <w:sz w:val="20"/>
                <w:szCs w:val="20"/>
              </w:rPr>
              <w:t xml:space="preserve">How the nationally determined contribution contributes towards achieving the objective of the Convention as set out in its </w:t>
            </w:r>
            <w:proofErr w:type="gramStart"/>
            <w:r w:rsidRPr="00CB7CEF">
              <w:rPr>
                <w:rFonts w:ascii="Times New Roman" w:hAnsi="Times New Roman"/>
                <w:b/>
                <w:bCs/>
                <w:sz w:val="20"/>
                <w:szCs w:val="20"/>
              </w:rPr>
              <w:t>Article</w:t>
            </w:r>
            <w:proofErr w:type="gramEnd"/>
            <w:r w:rsidRPr="00CB7CEF">
              <w:rPr>
                <w:rFonts w:ascii="Times New Roman" w:hAnsi="Times New Roman"/>
                <w:b/>
                <w:bCs/>
                <w:sz w:val="20"/>
                <w:szCs w:val="20"/>
              </w:rPr>
              <w:t xml:space="preserve"> 2:</w:t>
            </w:r>
          </w:p>
        </w:tc>
        <w:tc>
          <w:tcPr>
            <w:tcW w:w="348" w:type="pct"/>
            <w:shd w:val="clear" w:color="auto" w:fill="5B9BD5" w:themeFill="accent1"/>
          </w:tcPr>
          <w:p w14:paraId="3B6B6BEC" w14:textId="77777777" w:rsidR="001B5725" w:rsidRPr="00CB7CEF" w:rsidRDefault="001B5725" w:rsidP="001B5725">
            <w:pPr>
              <w:pStyle w:val="DecimalAligned"/>
              <w:bidi w:val="0"/>
              <w:spacing w:before="60" w:after="0" w:line="264" w:lineRule="auto"/>
              <w:ind w:left="360"/>
            </w:pPr>
            <w:r w:rsidRPr="00CB7CEF">
              <w:t>7</w:t>
            </w:r>
          </w:p>
        </w:tc>
      </w:tr>
      <w:tr w:rsidR="001B5725" w:rsidRPr="00CB7CEF" w14:paraId="00DE4DB1" w14:textId="77777777" w:rsidTr="00872FF7">
        <w:trPr>
          <w:trHeight w:val="80"/>
        </w:trPr>
        <w:tc>
          <w:tcPr>
            <w:tcW w:w="3344" w:type="pct"/>
            <w:tcBorders>
              <w:bottom w:val="single" w:sz="4" w:space="0" w:color="auto"/>
            </w:tcBorders>
            <w:shd w:val="clear" w:color="auto" w:fill="FFFFFF" w:themeFill="background1"/>
            <w:noWrap/>
          </w:tcPr>
          <w:p w14:paraId="48CB446A" w14:textId="59C2381C" w:rsidR="001B5725" w:rsidRPr="00CB7CEF" w:rsidRDefault="001B5725" w:rsidP="001B5725">
            <w:pPr>
              <w:bidi w:val="0"/>
              <w:spacing w:before="60" w:line="264" w:lineRule="auto"/>
              <w:jc w:val="both"/>
              <w:rPr>
                <w:rtl w:val="0"/>
                <w:cs w:val="0"/>
              </w:rPr>
            </w:pPr>
            <w:r w:rsidRPr="00CB7CEF">
              <w:rPr>
                <w:rtl w:val="0"/>
                <w:cs w:val="0"/>
              </w:rPr>
              <w:t>This NDC represents Israel's contribution to achieving the objective of Article 2 of the Convention and reflects Israel's highest ambition at this time to stabili</w:t>
            </w:r>
            <w:r>
              <w:rPr>
                <w:rtl w:val="0"/>
                <w:cs w:val="0"/>
              </w:rPr>
              <w:t>z</w:t>
            </w:r>
            <w:r w:rsidRPr="00CB7CEF">
              <w:rPr>
                <w:rtl w:val="0"/>
                <w:cs w:val="0"/>
              </w:rPr>
              <w:t xml:space="preserve">e GHG concentrations in the atmosphere at a level that would prevent dangerous anthropogenic interference with the climate system. </w:t>
            </w:r>
          </w:p>
          <w:p w14:paraId="390C7F42" w14:textId="77777777" w:rsidR="001B5725" w:rsidRPr="00CB7CEF" w:rsidRDefault="001B5725" w:rsidP="001B5725">
            <w:pPr>
              <w:bidi w:val="0"/>
              <w:spacing w:before="60" w:line="264" w:lineRule="auto"/>
              <w:rPr>
                <w:rtl w:val="0"/>
                <w:cs w:val="0"/>
              </w:rPr>
            </w:pPr>
          </w:p>
        </w:tc>
        <w:tc>
          <w:tcPr>
            <w:tcW w:w="1308" w:type="pct"/>
            <w:tcBorders>
              <w:bottom w:val="single" w:sz="4" w:space="0" w:color="auto"/>
            </w:tcBorders>
            <w:shd w:val="clear" w:color="auto" w:fill="FFFFFF" w:themeFill="background1"/>
          </w:tcPr>
          <w:p w14:paraId="2F7ADE45" w14:textId="77777777" w:rsidR="001B5725" w:rsidRPr="00CB7CEF" w:rsidRDefault="001B5725" w:rsidP="001B5725">
            <w:pPr>
              <w:pStyle w:val="DecimalAligned"/>
              <w:bidi w:val="0"/>
              <w:spacing w:before="60" w:after="0" w:line="264" w:lineRule="auto"/>
              <w:rPr>
                <w:rFonts w:ascii="Times New Roman" w:hAnsi="Times New Roman"/>
                <w:sz w:val="20"/>
                <w:szCs w:val="20"/>
                <w:rtl/>
                <w:cs/>
              </w:rPr>
            </w:pPr>
            <w:r w:rsidRPr="00CB7CEF">
              <w:rPr>
                <w:rFonts w:ascii="Times New Roman" w:hAnsi="Times New Roman"/>
                <w:sz w:val="20"/>
                <w:szCs w:val="20"/>
              </w:rPr>
              <w:t xml:space="preserve">How the nationally determined contribution contributes towards achieving the objective of the Convention as set out in its </w:t>
            </w:r>
            <w:proofErr w:type="gramStart"/>
            <w:r w:rsidRPr="00CB7CEF">
              <w:rPr>
                <w:rFonts w:ascii="Times New Roman" w:hAnsi="Times New Roman"/>
                <w:sz w:val="20"/>
                <w:szCs w:val="20"/>
              </w:rPr>
              <w:t>Article</w:t>
            </w:r>
            <w:proofErr w:type="gramEnd"/>
            <w:r w:rsidRPr="00CB7CEF">
              <w:rPr>
                <w:rFonts w:ascii="Times New Roman" w:hAnsi="Times New Roman"/>
                <w:sz w:val="20"/>
                <w:szCs w:val="20"/>
              </w:rPr>
              <w:t xml:space="preserve"> 2;</w:t>
            </w:r>
          </w:p>
        </w:tc>
        <w:tc>
          <w:tcPr>
            <w:tcW w:w="348" w:type="pct"/>
            <w:tcBorders>
              <w:bottom w:val="single" w:sz="4" w:space="0" w:color="auto"/>
            </w:tcBorders>
            <w:shd w:val="clear" w:color="auto" w:fill="FFFFFF" w:themeFill="background1"/>
          </w:tcPr>
          <w:p w14:paraId="17ADC7FF" w14:textId="77777777" w:rsidR="001B5725" w:rsidRPr="00CB7CEF" w:rsidRDefault="001B5725" w:rsidP="001B5725">
            <w:pPr>
              <w:pStyle w:val="DecimalAligned"/>
              <w:numPr>
                <w:ilvl w:val="0"/>
                <w:numId w:val="26"/>
              </w:numPr>
              <w:bidi w:val="0"/>
              <w:spacing w:before="60" w:after="0" w:line="264" w:lineRule="auto"/>
            </w:pPr>
          </w:p>
        </w:tc>
      </w:tr>
      <w:tr w:rsidR="001B5725" w:rsidRPr="00CB7CEF" w14:paraId="58724337" w14:textId="77777777" w:rsidTr="00872FF7">
        <w:trPr>
          <w:cnfStyle w:val="010000000000" w:firstRow="0" w:lastRow="1" w:firstColumn="0" w:lastColumn="0" w:oddVBand="0" w:evenVBand="0" w:oddHBand="0" w:evenHBand="0" w:firstRowFirstColumn="0" w:firstRowLastColumn="0" w:lastRowFirstColumn="0" w:lastRowLastColumn="0"/>
          <w:trHeight w:val="80"/>
        </w:trPr>
        <w:tc>
          <w:tcPr>
            <w:tcW w:w="3344" w:type="pct"/>
            <w:tcBorders>
              <w:top w:val="single" w:sz="4" w:space="0" w:color="auto"/>
              <w:left w:val="single" w:sz="4" w:space="0" w:color="auto"/>
              <w:bottom w:val="single" w:sz="4" w:space="0" w:color="auto"/>
              <w:right w:val="single" w:sz="4" w:space="0" w:color="auto"/>
            </w:tcBorders>
            <w:noWrap/>
          </w:tcPr>
          <w:p w14:paraId="6B5740C9" w14:textId="11E491DE" w:rsidR="001B5725" w:rsidRPr="00CB7CEF" w:rsidRDefault="001B5725" w:rsidP="001B5725">
            <w:pPr>
              <w:bidi w:val="0"/>
              <w:spacing w:before="60" w:line="264" w:lineRule="auto"/>
              <w:jc w:val="both"/>
              <w:rPr>
                <w:rtl w:val="0"/>
                <w:cs w:val="0"/>
              </w:rPr>
            </w:pPr>
            <w:r w:rsidRPr="00CB7CEF">
              <w:rPr>
                <w:rtl w:val="0"/>
                <w:cs w:val="0"/>
              </w:rPr>
              <w:t>Israel has outlined its specific circumstances (a growing population, limited land use area, and limitations on the forms of suitable renewable energies</w:t>
            </w:r>
            <w:r>
              <w:rPr>
                <w:rtl w:val="0"/>
                <w:cs w:val="0"/>
              </w:rPr>
              <w:t>,</w:t>
            </w:r>
            <w:r w:rsidRPr="00CB7CEF">
              <w:rPr>
                <w:rtl w:val="0"/>
                <w:cs w:val="0"/>
              </w:rPr>
              <w:t xml:space="preserve"> among others). Through its multisectoral consultation process, Israel has determined a mid-century long-term low carbon strategy which </w:t>
            </w:r>
            <w:r w:rsidR="00254B9F">
              <w:rPr>
                <w:rtl w:val="0"/>
                <w:cs w:val="0"/>
              </w:rPr>
              <w:t xml:space="preserve">was </w:t>
            </w:r>
            <w:r w:rsidRPr="00CB7CEF">
              <w:rPr>
                <w:rtl w:val="0"/>
                <w:cs w:val="0"/>
              </w:rPr>
              <w:t>formali</w:t>
            </w:r>
            <w:r>
              <w:rPr>
                <w:rtl w:val="0"/>
                <w:cs w:val="0"/>
              </w:rPr>
              <w:t>z</w:t>
            </w:r>
            <w:r w:rsidRPr="00CB7CEF">
              <w:rPr>
                <w:rtl w:val="0"/>
                <w:cs w:val="0"/>
              </w:rPr>
              <w:t>e</w:t>
            </w:r>
            <w:r w:rsidR="00254B9F">
              <w:rPr>
                <w:rtl w:val="0"/>
                <w:cs w:val="0"/>
              </w:rPr>
              <w:t>d and approved by the government</w:t>
            </w:r>
            <w:r w:rsidRPr="00CB7CEF">
              <w:rPr>
                <w:rtl w:val="0"/>
                <w:cs w:val="0"/>
              </w:rPr>
              <w:t>. Thus</w:t>
            </w:r>
            <w:r w:rsidR="00DA26D8">
              <w:rPr>
                <w:rtl w:val="0"/>
                <w:cs w:val="0"/>
              </w:rPr>
              <w:t>,</w:t>
            </w:r>
            <w:r w:rsidRPr="00CB7CEF">
              <w:rPr>
                <w:rtl w:val="0"/>
                <w:cs w:val="0"/>
              </w:rPr>
              <w:t xml:space="preserve"> Israel aims to support the collective effort to reach global peaking of GHG emissions as soon as possible (which is expected to occur in Israel by mid-decade), as set out in Article 4.1 of the Paris Agreement. </w:t>
            </w:r>
          </w:p>
          <w:p w14:paraId="0D5D55C9" w14:textId="77777777" w:rsidR="001B5725" w:rsidRPr="00CB7CEF" w:rsidRDefault="001B5725" w:rsidP="001B5725">
            <w:pPr>
              <w:spacing w:before="60" w:line="264" w:lineRule="auto"/>
              <w:rPr>
                <w:cs w:val="0"/>
              </w:rPr>
            </w:pPr>
          </w:p>
        </w:tc>
        <w:tc>
          <w:tcPr>
            <w:tcW w:w="1308" w:type="pct"/>
            <w:tcBorders>
              <w:top w:val="single" w:sz="4" w:space="0" w:color="auto"/>
              <w:left w:val="single" w:sz="4" w:space="0" w:color="auto"/>
              <w:bottom w:val="single" w:sz="4" w:space="0" w:color="auto"/>
              <w:right w:val="single" w:sz="4" w:space="0" w:color="auto"/>
            </w:tcBorders>
          </w:tcPr>
          <w:p w14:paraId="50B0BB4A" w14:textId="77777777" w:rsidR="001B5725" w:rsidRPr="00CB7CEF" w:rsidRDefault="001B5725" w:rsidP="001B5725">
            <w:pPr>
              <w:pStyle w:val="DecimalAligned"/>
              <w:bidi w:val="0"/>
              <w:spacing w:before="60" w:after="0" w:line="264" w:lineRule="auto"/>
              <w:rPr>
                <w:rFonts w:ascii="Times New Roman" w:hAnsi="Times New Roman"/>
                <w:sz w:val="20"/>
                <w:szCs w:val="20"/>
                <w:rtl/>
                <w:cs/>
              </w:rPr>
            </w:pPr>
            <w:r w:rsidRPr="00CB7CEF">
              <w:rPr>
                <w:rFonts w:ascii="Times New Roman" w:hAnsi="Times New Roman"/>
                <w:sz w:val="20"/>
                <w:szCs w:val="20"/>
              </w:rPr>
              <w:t>How the nationally determined contribution contributes towards Article 2, paragraph 1(a), and Article 4, paragraph 1, of the Paris Agreement.</w:t>
            </w:r>
          </w:p>
        </w:tc>
        <w:tc>
          <w:tcPr>
            <w:tcW w:w="348" w:type="pct"/>
            <w:tcBorders>
              <w:top w:val="single" w:sz="4" w:space="0" w:color="auto"/>
              <w:left w:val="single" w:sz="4" w:space="0" w:color="auto"/>
              <w:bottom w:val="single" w:sz="4" w:space="0" w:color="auto"/>
              <w:right w:val="single" w:sz="4" w:space="0" w:color="auto"/>
            </w:tcBorders>
          </w:tcPr>
          <w:p w14:paraId="270DD35C" w14:textId="77777777" w:rsidR="001B5725" w:rsidRPr="00CB7CEF" w:rsidRDefault="001B5725" w:rsidP="001B5725">
            <w:pPr>
              <w:pStyle w:val="DecimalAligned"/>
              <w:numPr>
                <w:ilvl w:val="0"/>
                <w:numId w:val="26"/>
              </w:numPr>
              <w:bidi w:val="0"/>
              <w:spacing w:before="60" w:after="0" w:line="264" w:lineRule="auto"/>
            </w:pPr>
          </w:p>
        </w:tc>
      </w:tr>
    </w:tbl>
    <w:p w14:paraId="41C52BD5" w14:textId="77777777" w:rsidR="001045DC" w:rsidRPr="00CB7CEF" w:rsidRDefault="001045DC" w:rsidP="00AB6D3A">
      <w:pPr>
        <w:pStyle w:val="Caption"/>
        <w:spacing w:before="60" w:after="0" w:line="264" w:lineRule="auto"/>
        <w:rPr>
          <w:b/>
          <w:bCs/>
          <w:i w:val="0"/>
          <w:iCs w:val="0"/>
          <w:color w:val="auto"/>
          <w:sz w:val="22"/>
          <w:szCs w:val="22"/>
          <w:highlight w:val="green"/>
          <w:u w:val="single"/>
        </w:rPr>
      </w:pPr>
      <w:bookmarkStart w:id="0" w:name="_Ref66374655"/>
      <w:bookmarkEnd w:id="0"/>
    </w:p>
    <w:sectPr w:rsidR="001045DC" w:rsidRPr="00CB7CEF" w:rsidSect="006A1A08">
      <w:pgSz w:w="16838" w:h="11906" w:orient="landscape"/>
      <w:pgMar w:top="1800" w:right="1440" w:bottom="180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9857A" w14:textId="77777777" w:rsidR="008C6A15" w:rsidRDefault="008C6A15" w:rsidP="0028013D">
      <w:pPr>
        <w:spacing w:after="0" w:line="240" w:lineRule="auto"/>
      </w:pPr>
      <w:r>
        <w:separator/>
      </w:r>
    </w:p>
  </w:endnote>
  <w:endnote w:type="continuationSeparator" w:id="0">
    <w:p w14:paraId="068234FB" w14:textId="77777777" w:rsidR="008C6A15" w:rsidRDefault="008C6A15" w:rsidP="00280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B060" w14:textId="77777777" w:rsidR="008C6A15" w:rsidRDefault="008C6A15" w:rsidP="0028013D">
      <w:pPr>
        <w:spacing w:after="0" w:line="240" w:lineRule="auto"/>
      </w:pPr>
      <w:r>
        <w:separator/>
      </w:r>
    </w:p>
  </w:footnote>
  <w:footnote w:type="continuationSeparator" w:id="0">
    <w:p w14:paraId="73812FDC" w14:textId="77777777" w:rsidR="008C6A15" w:rsidRDefault="008C6A15" w:rsidP="00280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D23599"/>
    <w:multiLevelType w:val="multilevel"/>
    <w:tmpl w:val="4CCA5232"/>
    <w:lvl w:ilvl="0">
      <w:start w:val="1"/>
      <w:numFmt w:val="upperRoman"/>
      <w:lvlText w:val="%1"/>
      <w:lvlJc w:val="left"/>
    </w:lvl>
    <w:lvl w:ilvl="1">
      <w:start w:val="1"/>
      <w:numFmt w:val="ideographDigital"/>
      <w:lvlText w:val=""/>
      <w:lvlJc w:val="left"/>
    </w:lvl>
    <w:lvl w:ilvl="2">
      <w:start w:val="1"/>
      <w:numFmt w:val="lowerLetter"/>
      <w:lvlText w:val=""/>
      <w:lvlJc w:val="left"/>
    </w:lvl>
    <w:lvl w:ilvl="3">
      <w:start w:val="1"/>
      <w:numFmt w:val="lowerRoman"/>
      <w:lvlText w:va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9ADC941"/>
    <w:multiLevelType w:val="hybridMultilevel"/>
    <w:tmpl w:val="B3F05310"/>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EE87750"/>
    <w:multiLevelType w:val="hybridMultilevel"/>
    <w:tmpl w:val="FB324D49"/>
    <w:lvl w:ilvl="0" w:tplc="FFFFFFFF">
      <w:start w:val="1"/>
      <w:numFmt w:val="upperRoman"/>
      <w:lvlText w:val="%1"/>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E788D4"/>
    <w:multiLevelType w:val="multilevel"/>
    <w:tmpl w:val="21CE6896"/>
    <w:lvl w:ilvl="0">
      <w:start w:val="1"/>
      <w:numFmt w:val="upperRoman"/>
      <w:lvlText w:val="%1"/>
      <w:lvlJc w:val="left"/>
    </w:lvl>
    <w:lvl w:ilvl="1">
      <w:start w:val="1"/>
      <w:numFmt w:val="ideographDigital"/>
      <w:lvlText w:val=""/>
      <w:lvlJc w:val="left"/>
    </w:lvl>
    <w:lvl w:ilvl="2">
      <w:start w:val="1"/>
      <w:numFmt w:val="lowerLetter"/>
      <w:lvlText w:val=""/>
      <w:lvlJc w:val="left"/>
    </w:lvl>
    <w:lvl w:ilvl="3">
      <w:start w:val="1"/>
      <w:numFmt w:val="lowerRoman"/>
      <w:lvlText w:va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B381AF"/>
    <w:multiLevelType w:val="multilevel"/>
    <w:tmpl w:val="CFDEFE18"/>
    <w:lvl w:ilvl="0">
      <w:start w:val="1"/>
      <w:numFmt w:val="upperRoman"/>
      <w:lvlText w:val="%1"/>
      <w:lvlJc w:val="left"/>
    </w:lvl>
    <w:lvl w:ilvl="1">
      <w:start w:val="1"/>
      <w:numFmt w:val="ideographDigital"/>
      <w:lvlText w:val=""/>
      <w:lvlJc w:val="left"/>
    </w:lvl>
    <w:lvl w:ilvl="2">
      <w:start w:val="1"/>
      <w:numFmt w:val="lowerLetter"/>
      <w:lvlText w:val=""/>
      <w:lvlJc w:val="left"/>
    </w:lvl>
    <w:lvl w:ilvl="3">
      <w:start w:val="1"/>
      <w:numFmt w:val="lowerRoman"/>
      <w:lvlText w:va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B673D2"/>
    <w:multiLevelType w:val="hybridMultilevel"/>
    <w:tmpl w:val="09C64E92"/>
    <w:lvl w:ilvl="0" w:tplc="CA8CD4CA">
      <w:start w:val="20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F27694"/>
    <w:multiLevelType w:val="hybridMultilevel"/>
    <w:tmpl w:val="C4383EC2"/>
    <w:lvl w:ilvl="0" w:tplc="6DF01930">
      <w:start w:val="20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113D3D"/>
    <w:multiLevelType w:val="hybridMultilevel"/>
    <w:tmpl w:val="C97638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D078C"/>
    <w:multiLevelType w:val="hybridMultilevel"/>
    <w:tmpl w:val="59E0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D7F7F"/>
    <w:multiLevelType w:val="hybridMultilevel"/>
    <w:tmpl w:val="7528F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55354"/>
    <w:multiLevelType w:val="hybridMultilevel"/>
    <w:tmpl w:val="A880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6754B8"/>
    <w:multiLevelType w:val="hybridMultilevel"/>
    <w:tmpl w:val="746AAA78"/>
    <w:lvl w:ilvl="0" w:tplc="04090001">
      <w:start w:val="1"/>
      <w:numFmt w:val="bullet"/>
      <w:lvlText w:val=""/>
      <w:lvlJc w:val="left"/>
      <w:pPr>
        <w:ind w:left="720" w:hanging="360"/>
      </w:pPr>
      <w:rPr>
        <w:rFonts w:ascii="Symbol" w:hAnsi="Symbol" w:hint="default"/>
      </w:rPr>
    </w:lvl>
    <w:lvl w:ilvl="1" w:tplc="37A2C5B0">
      <w:start w:val="2"/>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65825"/>
    <w:multiLevelType w:val="hybridMultilevel"/>
    <w:tmpl w:val="BCF0BC8E"/>
    <w:lvl w:ilvl="0" w:tplc="A39293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506716"/>
    <w:multiLevelType w:val="hybridMultilevel"/>
    <w:tmpl w:val="04A0C9A2"/>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A7019"/>
    <w:multiLevelType w:val="hybridMultilevel"/>
    <w:tmpl w:val="8402B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E8C1E01"/>
    <w:multiLevelType w:val="hybridMultilevel"/>
    <w:tmpl w:val="ACD85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1609E"/>
    <w:multiLevelType w:val="hybridMultilevel"/>
    <w:tmpl w:val="C97638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01BF"/>
    <w:multiLevelType w:val="hybridMultilevel"/>
    <w:tmpl w:val="85A443EE"/>
    <w:lvl w:ilvl="0" w:tplc="FF22669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02B57C5"/>
    <w:multiLevelType w:val="hybridMultilevel"/>
    <w:tmpl w:val="564ACB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701384"/>
    <w:multiLevelType w:val="hybridMultilevel"/>
    <w:tmpl w:val="0F1E4008"/>
    <w:lvl w:ilvl="0" w:tplc="7D22ED2A">
      <w:start w:val="1"/>
      <w:numFmt w:val="lowerLetter"/>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D53049"/>
    <w:multiLevelType w:val="hybridMultilevel"/>
    <w:tmpl w:val="32986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D96C43"/>
    <w:multiLevelType w:val="hybridMultilevel"/>
    <w:tmpl w:val="62DC045E"/>
    <w:lvl w:ilvl="0" w:tplc="19122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03114E"/>
    <w:multiLevelType w:val="hybridMultilevel"/>
    <w:tmpl w:val="F54C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22022E1"/>
    <w:multiLevelType w:val="hybridMultilevel"/>
    <w:tmpl w:val="8968CC3C"/>
    <w:lvl w:ilvl="0" w:tplc="9148E05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00534C"/>
    <w:multiLevelType w:val="hybridMultilevel"/>
    <w:tmpl w:val="8552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D42A5B"/>
    <w:multiLevelType w:val="hybridMultilevel"/>
    <w:tmpl w:val="4CBBAFA4"/>
    <w:lvl w:ilvl="0" w:tplc="FFFFFFFF">
      <w:start w:val="1"/>
      <w:numFmt w:val="upperRoman"/>
      <w:lvlText w:val="%1"/>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7073AC0"/>
    <w:multiLevelType w:val="hybridMultilevel"/>
    <w:tmpl w:val="5934878E"/>
    <w:lvl w:ilvl="0" w:tplc="0540D4B0">
      <w:start w:val="1"/>
      <w:numFmt w:val="bullet"/>
      <w:pStyle w:val="Bullets"/>
      <w:lvlText w:val=""/>
      <w:lvlJc w:val="left"/>
      <w:pPr>
        <w:ind w:left="720" w:hanging="360"/>
      </w:pPr>
      <w:rPr>
        <w:rFonts w:ascii="Symbol" w:hAnsi="Symbol" w:cs="Symbol" w:hint="default"/>
        <w:color w:val="7B7B7B" w:themeColor="accent3"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EC0231"/>
    <w:multiLevelType w:val="hybridMultilevel"/>
    <w:tmpl w:val="98047E14"/>
    <w:lvl w:ilvl="0" w:tplc="B53AED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914942"/>
    <w:multiLevelType w:val="hybridMultilevel"/>
    <w:tmpl w:val="63563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2B1347"/>
    <w:multiLevelType w:val="hybridMultilevel"/>
    <w:tmpl w:val="944E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BF1ECB"/>
    <w:multiLevelType w:val="hybridMultilevel"/>
    <w:tmpl w:val="387C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E930A1"/>
    <w:multiLevelType w:val="multilevel"/>
    <w:tmpl w:val="642C4D94"/>
    <w:lvl w:ilvl="0">
      <w:start w:val="1"/>
      <w:numFmt w:val="upperRoman"/>
      <w:lvlText w:val="%1"/>
      <w:lvlJc w:val="left"/>
    </w:lvl>
    <w:lvl w:ilvl="1">
      <w:start w:val="1"/>
      <w:numFmt w:val="ideographDigital"/>
      <w:lvlText w:val=""/>
      <w:lvlJc w:val="left"/>
    </w:lvl>
    <w:lvl w:ilvl="2">
      <w:start w:val="1"/>
      <w:numFmt w:val="lowerLetter"/>
      <w:lvlText w:val=""/>
      <w:lvlJc w:val="left"/>
    </w:lvl>
    <w:lvl w:ilvl="3">
      <w:start w:val="1"/>
      <w:numFmt w:val="lowerRoman"/>
      <w:lvlText w:va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1550197"/>
    <w:multiLevelType w:val="hybridMultilevel"/>
    <w:tmpl w:val="380C9354"/>
    <w:lvl w:ilvl="0" w:tplc="2868A3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C23F6"/>
    <w:multiLevelType w:val="hybridMultilevel"/>
    <w:tmpl w:val="6FAC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14E94"/>
    <w:multiLevelType w:val="hybridMultilevel"/>
    <w:tmpl w:val="55E4860C"/>
    <w:lvl w:ilvl="0" w:tplc="BF66350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ED0B01"/>
    <w:multiLevelType w:val="hybridMultilevel"/>
    <w:tmpl w:val="C7B0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95C430E"/>
    <w:multiLevelType w:val="hybridMultilevel"/>
    <w:tmpl w:val="78A01E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F7C8D"/>
    <w:multiLevelType w:val="hybridMultilevel"/>
    <w:tmpl w:val="4F6087E8"/>
    <w:lvl w:ilvl="0" w:tplc="337C9B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5E773E"/>
    <w:multiLevelType w:val="hybridMultilevel"/>
    <w:tmpl w:val="26EA3A98"/>
    <w:lvl w:ilvl="0" w:tplc="7F601EF0">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0F7339"/>
    <w:multiLevelType w:val="hybridMultilevel"/>
    <w:tmpl w:val="1F8C9CC6"/>
    <w:lvl w:ilvl="0" w:tplc="7E5E80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F70A69"/>
    <w:multiLevelType w:val="hybridMultilevel"/>
    <w:tmpl w:val="5C687D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EE4791"/>
    <w:multiLevelType w:val="hybridMultilevel"/>
    <w:tmpl w:val="5574AE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1955A7"/>
    <w:multiLevelType w:val="hybridMultilevel"/>
    <w:tmpl w:val="C16AB864"/>
    <w:lvl w:ilvl="0" w:tplc="7F74F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DF4FC5"/>
    <w:multiLevelType w:val="hybridMultilevel"/>
    <w:tmpl w:val="51C088C8"/>
    <w:lvl w:ilvl="0" w:tplc="E2FEE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0B2DF0"/>
    <w:multiLevelType w:val="hybridMultilevel"/>
    <w:tmpl w:val="A7027F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17365"/>
    <w:multiLevelType w:val="hybridMultilevel"/>
    <w:tmpl w:val="C718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6B08F2"/>
    <w:multiLevelType w:val="hybridMultilevel"/>
    <w:tmpl w:val="8C2E599E"/>
    <w:lvl w:ilvl="0" w:tplc="99BC2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5"/>
  </w:num>
  <w:num w:numId="3">
    <w:abstractNumId w:val="0"/>
  </w:num>
  <w:num w:numId="4">
    <w:abstractNumId w:val="4"/>
  </w:num>
  <w:num w:numId="5">
    <w:abstractNumId w:val="31"/>
  </w:num>
  <w:num w:numId="6">
    <w:abstractNumId w:val="1"/>
  </w:num>
  <w:num w:numId="7">
    <w:abstractNumId w:val="30"/>
  </w:num>
  <w:num w:numId="8">
    <w:abstractNumId w:val="28"/>
  </w:num>
  <w:num w:numId="9">
    <w:abstractNumId w:val="36"/>
  </w:num>
  <w:num w:numId="10">
    <w:abstractNumId w:val="3"/>
  </w:num>
  <w:num w:numId="11">
    <w:abstractNumId w:val="2"/>
  </w:num>
  <w:num w:numId="12">
    <w:abstractNumId w:val="34"/>
  </w:num>
  <w:num w:numId="13">
    <w:abstractNumId w:val="46"/>
  </w:num>
  <w:num w:numId="14">
    <w:abstractNumId w:val="37"/>
  </w:num>
  <w:num w:numId="15">
    <w:abstractNumId w:val="42"/>
  </w:num>
  <w:num w:numId="16">
    <w:abstractNumId w:val="17"/>
  </w:num>
  <w:num w:numId="17">
    <w:abstractNumId w:val="18"/>
  </w:num>
  <w:num w:numId="18">
    <w:abstractNumId w:val="43"/>
  </w:num>
  <w:num w:numId="19">
    <w:abstractNumId w:val="40"/>
  </w:num>
  <w:num w:numId="20">
    <w:abstractNumId w:val="38"/>
  </w:num>
  <w:num w:numId="21">
    <w:abstractNumId w:val="16"/>
  </w:num>
  <w:num w:numId="22">
    <w:abstractNumId w:val="7"/>
  </w:num>
  <w:num w:numId="23">
    <w:abstractNumId w:val="27"/>
  </w:num>
  <w:num w:numId="24">
    <w:abstractNumId w:val="12"/>
  </w:num>
  <w:num w:numId="25">
    <w:abstractNumId w:val="21"/>
  </w:num>
  <w:num w:numId="26">
    <w:abstractNumId w:val="39"/>
  </w:num>
  <w:num w:numId="27">
    <w:abstractNumId w:val="22"/>
  </w:num>
  <w:num w:numId="28">
    <w:abstractNumId w:val="35"/>
  </w:num>
  <w:num w:numId="29">
    <w:abstractNumId w:val="23"/>
  </w:num>
  <w:num w:numId="30">
    <w:abstractNumId w:val="33"/>
  </w:num>
  <w:num w:numId="31">
    <w:abstractNumId w:val="13"/>
  </w:num>
  <w:num w:numId="32">
    <w:abstractNumId w:val="10"/>
  </w:num>
  <w:num w:numId="33">
    <w:abstractNumId w:val="24"/>
  </w:num>
  <w:num w:numId="34">
    <w:abstractNumId w:val="32"/>
  </w:num>
  <w:num w:numId="35">
    <w:abstractNumId w:val="5"/>
  </w:num>
  <w:num w:numId="36">
    <w:abstractNumId w:val="6"/>
  </w:num>
  <w:num w:numId="37">
    <w:abstractNumId w:val="20"/>
  </w:num>
  <w:num w:numId="38">
    <w:abstractNumId w:val="29"/>
  </w:num>
  <w:num w:numId="39">
    <w:abstractNumId w:val="19"/>
  </w:num>
  <w:num w:numId="40">
    <w:abstractNumId w:val="11"/>
  </w:num>
  <w:num w:numId="41">
    <w:abstractNumId w:val="15"/>
  </w:num>
  <w:num w:numId="42">
    <w:abstractNumId w:val="14"/>
  </w:num>
  <w:num w:numId="43">
    <w:abstractNumId w:val="44"/>
  </w:num>
  <w:num w:numId="44">
    <w:abstractNumId w:val="9"/>
  </w:num>
  <w:num w:numId="45">
    <w:abstractNumId w:val="41"/>
  </w:num>
  <w:num w:numId="46">
    <w:abstractNumId w:val="26"/>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zMLC0tDAxMrc0szRS0lEKTi0uzszPAykwrQUAnok7wCwAAAA="/>
  </w:docVars>
  <w:rsids>
    <w:rsidRoot w:val="00C57610"/>
    <w:rsid w:val="00024954"/>
    <w:rsid w:val="00025E00"/>
    <w:rsid w:val="00026182"/>
    <w:rsid w:val="00031DBD"/>
    <w:rsid w:val="000356E7"/>
    <w:rsid w:val="00036E17"/>
    <w:rsid w:val="00050330"/>
    <w:rsid w:val="00057C81"/>
    <w:rsid w:val="000843D4"/>
    <w:rsid w:val="0009292B"/>
    <w:rsid w:val="000C20B6"/>
    <w:rsid w:val="000D466A"/>
    <w:rsid w:val="000E00BF"/>
    <w:rsid w:val="000E5752"/>
    <w:rsid w:val="000E5AD0"/>
    <w:rsid w:val="001045DC"/>
    <w:rsid w:val="001052A6"/>
    <w:rsid w:val="00112AAA"/>
    <w:rsid w:val="001140B0"/>
    <w:rsid w:val="0011769C"/>
    <w:rsid w:val="0012135A"/>
    <w:rsid w:val="001231D7"/>
    <w:rsid w:val="0013303F"/>
    <w:rsid w:val="00137245"/>
    <w:rsid w:val="0014124A"/>
    <w:rsid w:val="00147231"/>
    <w:rsid w:val="001620F2"/>
    <w:rsid w:val="00167859"/>
    <w:rsid w:val="001740E6"/>
    <w:rsid w:val="001A3372"/>
    <w:rsid w:val="001A5B32"/>
    <w:rsid w:val="001A61B8"/>
    <w:rsid w:val="001A6F04"/>
    <w:rsid w:val="001B0543"/>
    <w:rsid w:val="001B5725"/>
    <w:rsid w:val="001C0A05"/>
    <w:rsid w:val="001C0E2C"/>
    <w:rsid w:val="001C264A"/>
    <w:rsid w:val="001C5944"/>
    <w:rsid w:val="001D0FBF"/>
    <w:rsid w:val="001E582A"/>
    <w:rsid w:val="001E6679"/>
    <w:rsid w:val="00201602"/>
    <w:rsid w:val="00203756"/>
    <w:rsid w:val="00223780"/>
    <w:rsid w:val="002320BD"/>
    <w:rsid w:val="00232A1E"/>
    <w:rsid w:val="00233A9F"/>
    <w:rsid w:val="00237941"/>
    <w:rsid w:val="00245D43"/>
    <w:rsid w:val="00247F31"/>
    <w:rsid w:val="002500A8"/>
    <w:rsid w:val="00254B9F"/>
    <w:rsid w:val="002558C3"/>
    <w:rsid w:val="002623CD"/>
    <w:rsid w:val="00270167"/>
    <w:rsid w:val="00273426"/>
    <w:rsid w:val="0028013D"/>
    <w:rsid w:val="00287587"/>
    <w:rsid w:val="00291965"/>
    <w:rsid w:val="002B1AD1"/>
    <w:rsid w:val="002B2040"/>
    <w:rsid w:val="002B2055"/>
    <w:rsid w:val="002B461B"/>
    <w:rsid w:val="002C041B"/>
    <w:rsid w:val="002C3185"/>
    <w:rsid w:val="002C504B"/>
    <w:rsid w:val="002D3442"/>
    <w:rsid w:val="002F00FC"/>
    <w:rsid w:val="002F71F7"/>
    <w:rsid w:val="00306562"/>
    <w:rsid w:val="00310AF3"/>
    <w:rsid w:val="00312D8A"/>
    <w:rsid w:val="00315448"/>
    <w:rsid w:val="00316122"/>
    <w:rsid w:val="00317705"/>
    <w:rsid w:val="00332E54"/>
    <w:rsid w:val="00353122"/>
    <w:rsid w:val="003705FD"/>
    <w:rsid w:val="003736DD"/>
    <w:rsid w:val="003A2687"/>
    <w:rsid w:val="003B6765"/>
    <w:rsid w:val="003C06F7"/>
    <w:rsid w:val="003C2F71"/>
    <w:rsid w:val="003C6CE5"/>
    <w:rsid w:val="003D264C"/>
    <w:rsid w:val="003D6053"/>
    <w:rsid w:val="003D6152"/>
    <w:rsid w:val="003D7066"/>
    <w:rsid w:val="003E48BF"/>
    <w:rsid w:val="00405D7B"/>
    <w:rsid w:val="00416CF8"/>
    <w:rsid w:val="00421977"/>
    <w:rsid w:val="00425F8E"/>
    <w:rsid w:val="004642B9"/>
    <w:rsid w:val="004962BE"/>
    <w:rsid w:val="00496E70"/>
    <w:rsid w:val="00497772"/>
    <w:rsid w:val="004A6EC2"/>
    <w:rsid w:val="004B0EB8"/>
    <w:rsid w:val="004B6E82"/>
    <w:rsid w:val="004D0494"/>
    <w:rsid w:val="004D04E9"/>
    <w:rsid w:val="004D4F05"/>
    <w:rsid w:val="004D7FA6"/>
    <w:rsid w:val="004E70B8"/>
    <w:rsid w:val="004F253A"/>
    <w:rsid w:val="004F7906"/>
    <w:rsid w:val="00503972"/>
    <w:rsid w:val="00505A28"/>
    <w:rsid w:val="005119AC"/>
    <w:rsid w:val="0052282F"/>
    <w:rsid w:val="00524A11"/>
    <w:rsid w:val="00535B19"/>
    <w:rsid w:val="005373AE"/>
    <w:rsid w:val="00541E06"/>
    <w:rsid w:val="0054285D"/>
    <w:rsid w:val="0054439B"/>
    <w:rsid w:val="005544F7"/>
    <w:rsid w:val="00555415"/>
    <w:rsid w:val="00564D96"/>
    <w:rsid w:val="0056598D"/>
    <w:rsid w:val="00574ACB"/>
    <w:rsid w:val="0058354B"/>
    <w:rsid w:val="0058784E"/>
    <w:rsid w:val="005A2C91"/>
    <w:rsid w:val="005B5013"/>
    <w:rsid w:val="005C4AC9"/>
    <w:rsid w:val="005D6865"/>
    <w:rsid w:val="005E12B9"/>
    <w:rsid w:val="005F2169"/>
    <w:rsid w:val="00605DB6"/>
    <w:rsid w:val="00606FA3"/>
    <w:rsid w:val="006106AB"/>
    <w:rsid w:val="00610EA5"/>
    <w:rsid w:val="00621E57"/>
    <w:rsid w:val="00635098"/>
    <w:rsid w:val="00641D69"/>
    <w:rsid w:val="00646900"/>
    <w:rsid w:val="006515E8"/>
    <w:rsid w:val="006524A4"/>
    <w:rsid w:val="00654963"/>
    <w:rsid w:val="00661FB2"/>
    <w:rsid w:val="006639F5"/>
    <w:rsid w:val="006644F2"/>
    <w:rsid w:val="00672621"/>
    <w:rsid w:val="00674EAA"/>
    <w:rsid w:val="00682E29"/>
    <w:rsid w:val="00695E86"/>
    <w:rsid w:val="006A1A08"/>
    <w:rsid w:val="006A75A2"/>
    <w:rsid w:val="006D6696"/>
    <w:rsid w:val="006E40B9"/>
    <w:rsid w:val="006F520D"/>
    <w:rsid w:val="006F54FD"/>
    <w:rsid w:val="00701CC7"/>
    <w:rsid w:val="007025A4"/>
    <w:rsid w:val="007230EA"/>
    <w:rsid w:val="007235B8"/>
    <w:rsid w:val="007250EA"/>
    <w:rsid w:val="007342A0"/>
    <w:rsid w:val="00736357"/>
    <w:rsid w:val="00741319"/>
    <w:rsid w:val="00770299"/>
    <w:rsid w:val="00770795"/>
    <w:rsid w:val="00773C0C"/>
    <w:rsid w:val="00791AE1"/>
    <w:rsid w:val="007A39D9"/>
    <w:rsid w:val="007B3765"/>
    <w:rsid w:val="007B6F1A"/>
    <w:rsid w:val="007D14FC"/>
    <w:rsid w:val="007E7920"/>
    <w:rsid w:val="00800178"/>
    <w:rsid w:val="00800CCD"/>
    <w:rsid w:val="00802620"/>
    <w:rsid w:val="00807055"/>
    <w:rsid w:val="00807297"/>
    <w:rsid w:val="00810F41"/>
    <w:rsid w:val="00813628"/>
    <w:rsid w:val="00814688"/>
    <w:rsid w:val="0082055A"/>
    <w:rsid w:val="00850CC8"/>
    <w:rsid w:val="008520E1"/>
    <w:rsid w:val="0085666F"/>
    <w:rsid w:val="00872FF7"/>
    <w:rsid w:val="0088143E"/>
    <w:rsid w:val="00881EE9"/>
    <w:rsid w:val="008B597C"/>
    <w:rsid w:val="008B7621"/>
    <w:rsid w:val="008C486A"/>
    <w:rsid w:val="008C6A15"/>
    <w:rsid w:val="008E3C58"/>
    <w:rsid w:val="008E4110"/>
    <w:rsid w:val="008F3469"/>
    <w:rsid w:val="008F39BB"/>
    <w:rsid w:val="00902D7A"/>
    <w:rsid w:val="00902F04"/>
    <w:rsid w:val="00903249"/>
    <w:rsid w:val="00915370"/>
    <w:rsid w:val="00915DFA"/>
    <w:rsid w:val="00925171"/>
    <w:rsid w:val="00926C08"/>
    <w:rsid w:val="00932627"/>
    <w:rsid w:val="00936C02"/>
    <w:rsid w:val="0093744B"/>
    <w:rsid w:val="00943D2C"/>
    <w:rsid w:val="00957FA4"/>
    <w:rsid w:val="00961097"/>
    <w:rsid w:val="00971CE0"/>
    <w:rsid w:val="00974A82"/>
    <w:rsid w:val="009816BD"/>
    <w:rsid w:val="00986086"/>
    <w:rsid w:val="009931DD"/>
    <w:rsid w:val="009944D5"/>
    <w:rsid w:val="00994CF6"/>
    <w:rsid w:val="009958A2"/>
    <w:rsid w:val="00996D8A"/>
    <w:rsid w:val="00997776"/>
    <w:rsid w:val="009A32C7"/>
    <w:rsid w:val="009A5850"/>
    <w:rsid w:val="009B02B7"/>
    <w:rsid w:val="009B7249"/>
    <w:rsid w:val="009C7BDC"/>
    <w:rsid w:val="009D5F32"/>
    <w:rsid w:val="009E3F31"/>
    <w:rsid w:val="009E4D68"/>
    <w:rsid w:val="009F1777"/>
    <w:rsid w:val="009F5FC6"/>
    <w:rsid w:val="00A11657"/>
    <w:rsid w:val="00A130AC"/>
    <w:rsid w:val="00A26362"/>
    <w:rsid w:val="00A26A34"/>
    <w:rsid w:val="00A33413"/>
    <w:rsid w:val="00A35A89"/>
    <w:rsid w:val="00A51BF8"/>
    <w:rsid w:val="00A5446B"/>
    <w:rsid w:val="00A55E9F"/>
    <w:rsid w:val="00A605CA"/>
    <w:rsid w:val="00A64185"/>
    <w:rsid w:val="00A6513C"/>
    <w:rsid w:val="00A67928"/>
    <w:rsid w:val="00A67FC3"/>
    <w:rsid w:val="00A72654"/>
    <w:rsid w:val="00A72EFF"/>
    <w:rsid w:val="00A851D6"/>
    <w:rsid w:val="00A868CB"/>
    <w:rsid w:val="00A90A12"/>
    <w:rsid w:val="00A96440"/>
    <w:rsid w:val="00A97953"/>
    <w:rsid w:val="00AB1ADD"/>
    <w:rsid w:val="00AB6D3A"/>
    <w:rsid w:val="00AD46F5"/>
    <w:rsid w:val="00AE1EBD"/>
    <w:rsid w:val="00AE4B11"/>
    <w:rsid w:val="00AF6270"/>
    <w:rsid w:val="00B036A8"/>
    <w:rsid w:val="00B07083"/>
    <w:rsid w:val="00B24315"/>
    <w:rsid w:val="00B30B70"/>
    <w:rsid w:val="00B32D25"/>
    <w:rsid w:val="00B555DD"/>
    <w:rsid w:val="00B620D0"/>
    <w:rsid w:val="00B67F28"/>
    <w:rsid w:val="00B82134"/>
    <w:rsid w:val="00B866DA"/>
    <w:rsid w:val="00BA0FA1"/>
    <w:rsid w:val="00BA104F"/>
    <w:rsid w:val="00BA5E51"/>
    <w:rsid w:val="00BA7ECD"/>
    <w:rsid w:val="00BB422C"/>
    <w:rsid w:val="00BC5939"/>
    <w:rsid w:val="00BC6AC0"/>
    <w:rsid w:val="00BD1041"/>
    <w:rsid w:val="00BE74AD"/>
    <w:rsid w:val="00C03E6D"/>
    <w:rsid w:val="00C05AE9"/>
    <w:rsid w:val="00C071B4"/>
    <w:rsid w:val="00C10F49"/>
    <w:rsid w:val="00C24F8A"/>
    <w:rsid w:val="00C34383"/>
    <w:rsid w:val="00C352FF"/>
    <w:rsid w:val="00C42D69"/>
    <w:rsid w:val="00C44933"/>
    <w:rsid w:val="00C45DA5"/>
    <w:rsid w:val="00C57610"/>
    <w:rsid w:val="00C63E7D"/>
    <w:rsid w:val="00C73058"/>
    <w:rsid w:val="00C82FBE"/>
    <w:rsid w:val="00C91481"/>
    <w:rsid w:val="00CA027A"/>
    <w:rsid w:val="00CA6490"/>
    <w:rsid w:val="00CB5336"/>
    <w:rsid w:val="00CB7CEF"/>
    <w:rsid w:val="00CC0CFC"/>
    <w:rsid w:val="00CE040F"/>
    <w:rsid w:val="00D043DC"/>
    <w:rsid w:val="00D13A52"/>
    <w:rsid w:val="00D237E1"/>
    <w:rsid w:val="00D25996"/>
    <w:rsid w:val="00D2735E"/>
    <w:rsid w:val="00D27D57"/>
    <w:rsid w:val="00D30302"/>
    <w:rsid w:val="00D43575"/>
    <w:rsid w:val="00D5089B"/>
    <w:rsid w:val="00D605F7"/>
    <w:rsid w:val="00D65F1B"/>
    <w:rsid w:val="00D67EE4"/>
    <w:rsid w:val="00D70A23"/>
    <w:rsid w:val="00D713E9"/>
    <w:rsid w:val="00D72FE2"/>
    <w:rsid w:val="00D811E6"/>
    <w:rsid w:val="00D81D18"/>
    <w:rsid w:val="00D82BD0"/>
    <w:rsid w:val="00D82E78"/>
    <w:rsid w:val="00D92CF7"/>
    <w:rsid w:val="00D9491A"/>
    <w:rsid w:val="00D94B37"/>
    <w:rsid w:val="00D95AD4"/>
    <w:rsid w:val="00D96163"/>
    <w:rsid w:val="00D979D0"/>
    <w:rsid w:val="00DA26D8"/>
    <w:rsid w:val="00DA5BE1"/>
    <w:rsid w:val="00DB0596"/>
    <w:rsid w:val="00DB31D6"/>
    <w:rsid w:val="00DB57CB"/>
    <w:rsid w:val="00DB59B8"/>
    <w:rsid w:val="00DC7F74"/>
    <w:rsid w:val="00DE20A5"/>
    <w:rsid w:val="00DF439D"/>
    <w:rsid w:val="00DF702C"/>
    <w:rsid w:val="00E30736"/>
    <w:rsid w:val="00E447A6"/>
    <w:rsid w:val="00E62388"/>
    <w:rsid w:val="00E744C5"/>
    <w:rsid w:val="00E74A34"/>
    <w:rsid w:val="00E802D1"/>
    <w:rsid w:val="00E979DD"/>
    <w:rsid w:val="00EA0698"/>
    <w:rsid w:val="00EA2263"/>
    <w:rsid w:val="00EA247B"/>
    <w:rsid w:val="00EA4D5A"/>
    <w:rsid w:val="00EA79C2"/>
    <w:rsid w:val="00EB2D69"/>
    <w:rsid w:val="00EC2C8F"/>
    <w:rsid w:val="00ED2AA8"/>
    <w:rsid w:val="00ED5C78"/>
    <w:rsid w:val="00ED7B20"/>
    <w:rsid w:val="00EE36E6"/>
    <w:rsid w:val="00EE6A3F"/>
    <w:rsid w:val="00EF18CE"/>
    <w:rsid w:val="00EF5D7B"/>
    <w:rsid w:val="00F06A19"/>
    <w:rsid w:val="00F10968"/>
    <w:rsid w:val="00F1326C"/>
    <w:rsid w:val="00F17DC7"/>
    <w:rsid w:val="00F31958"/>
    <w:rsid w:val="00F35949"/>
    <w:rsid w:val="00F407D1"/>
    <w:rsid w:val="00F42340"/>
    <w:rsid w:val="00F46C3A"/>
    <w:rsid w:val="00F64148"/>
    <w:rsid w:val="00F64A90"/>
    <w:rsid w:val="00F70BA9"/>
    <w:rsid w:val="00F73E72"/>
    <w:rsid w:val="00FA141C"/>
    <w:rsid w:val="00FA65BB"/>
    <w:rsid w:val="00FA65DD"/>
    <w:rsid w:val="00FA6F23"/>
    <w:rsid w:val="00FD027A"/>
    <w:rsid w:val="00FF77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44AA"/>
  <w15:docId w15:val="{A591C472-4571-432F-B438-052203AA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610"/>
    <w:pPr>
      <w:bidi/>
    </w:pPr>
  </w:style>
  <w:style w:type="paragraph" w:styleId="Heading3">
    <w:name w:val="heading 3"/>
    <w:basedOn w:val="Normal"/>
    <w:next w:val="Normal"/>
    <w:link w:val="Heading3Char"/>
    <w:uiPriority w:val="9"/>
    <w:unhideWhenUsed/>
    <w:qFormat/>
    <w:rsid w:val="003736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F31958"/>
    <w:pPr>
      <w:keepNext/>
      <w:keepLines/>
      <w:spacing w:before="40" w:after="240" w:line="276" w:lineRule="auto"/>
      <w:outlineLvl w:val="5"/>
    </w:pPr>
    <w:rPr>
      <w:rFonts w:ascii="Calibri" w:eastAsiaTheme="majorEastAsia" w:hAnsi="Calibri" w:cs="Calibri"/>
      <w:color w:val="ED7D31" w:themeColor="accen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59B8"/>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qFormat/>
    <w:rsid w:val="0028013D"/>
    <w:pPr>
      <w:spacing w:after="0" w:line="240" w:lineRule="auto"/>
    </w:pPr>
    <w:rPr>
      <w:sz w:val="20"/>
      <w:szCs w:val="20"/>
    </w:rPr>
  </w:style>
  <w:style w:type="character" w:customStyle="1" w:styleId="FootnoteTextChar">
    <w:name w:val="Footnote Text Char"/>
    <w:basedOn w:val="DefaultParagraphFont"/>
    <w:link w:val="FootnoteText"/>
    <w:uiPriority w:val="99"/>
    <w:rsid w:val="0028013D"/>
    <w:rPr>
      <w:sz w:val="20"/>
      <w:szCs w:val="20"/>
    </w:rPr>
  </w:style>
  <w:style w:type="character" w:styleId="FootnoteReference">
    <w:name w:val="footnote reference"/>
    <w:basedOn w:val="DefaultParagraphFont"/>
    <w:uiPriority w:val="99"/>
    <w:unhideWhenUsed/>
    <w:rsid w:val="0028013D"/>
    <w:rPr>
      <w:vertAlign w:val="superscript"/>
    </w:rPr>
  </w:style>
  <w:style w:type="character" w:styleId="Hyperlink">
    <w:name w:val="Hyperlink"/>
    <w:basedOn w:val="DefaultParagraphFont"/>
    <w:uiPriority w:val="99"/>
    <w:unhideWhenUsed/>
    <w:rsid w:val="00247F31"/>
    <w:rPr>
      <w:color w:val="0563C1" w:themeColor="hyperlink"/>
      <w:u w:val="single"/>
    </w:rPr>
  </w:style>
  <w:style w:type="paragraph" w:styleId="ListParagraph">
    <w:name w:val="List Paragraph"/>
    <w:basedOn w:val="Normal"/>
    <w:link w:val="ListParagraphChar"/>
    <w:uiPriority w:val="34"/>
    <w:qFormat/>
    <w:rsid w:val="002F71F7"/>
    <w:pPr>
      <w:ind w:left="720"/>
      <w:contextualSpacing/>
    </w:pPr>
  </w:style>
  <w:style w:type="character" w:styleId="FollowedHyperlink">
    <w:name w:val="FollowedHyperlink"/>
    <w:basedOn w:val="DefaultParagraphFont"/>
    <w:uiPriority w:val="99"/>
    <w:semiHidden/>
    <w:unhideWhenUsed/>
    <w:rsid w:val="002F71F7"/>
    <w:rPr>
      <w:color w:val="954F72" w:themeColor="followedHyperlink"/>
      <w:u w:val="single"/>
    </w:rPr>
  </w:style>
  <w:style w:type="table" w:customStyle="1" w:styleId="3">
    <w:name w:val="לוח שנה 3"/>
    <w:basedOn w:val="TableNormal"/>
    <w:uiPriority w:val="99"/>
    <w:qFormat/>
    <w:rsid w:val="0082055A"/>
    <w:pPr>
      <w:bidi/>
      <w:spacing w:after="0" w:line="240" w:lineRule="auto"/>
      <w:jc w:val="right"/>
    </w:pPr>
    <w:rPr>
      <w:rFonts w:asciiTheme="majorHAnsi" w:eastAsiaTheme="majorEastAsia" w:hAnsiTheme="majorHAnsi" w:cstheme="majorBidi"/>
      <w:color w:val="000000" w:themeColor="text1"/>
      <w:rtl/>
      <w:cs/>
    </w:rPr>
    <w:tblPr/>
    <w:tblStylePr w:type="firstRow">
      <w:pPr>
        <w:wordWrap/>
        <w:jc w:val="right"/>
      </w:pPr>
      <w:rPr>
        <w:color w:val="5B9BD5" w:themeColor="accent1"/>
        <w:sz w:val="44"/>
        <w:szCs w:val="44"/>
      </w:rPr>
    </w:tblStylePr>
    <w:tblStylePr w:type="firstCol">
      <w:rPr>
        <w:color w:val="5B9BD5" w:themeColor="accent1"/>
      </w:rPr>
    </w:tblStylePr>
    <w:tblStylePr w:type="lastCol">
      <w:rPr>
        <w:color w:val="5B9BD5" w:themeColor="accent1"/>
      </w:rPr>
    </w:tblStylePr>
  </w:style>
  <w:style w:type="paragraph" w:customStyle="1" w:styleId="DecimalAligned">
    <w:name w:val="Decimal Aligned"/>
    <w:basedOn w:val="Normal"/>
    <w:uiPriority w:val="40"/>
    <w:qFormat/>
    <w:rsid w:val="0082055A"/>
    <w:pPr>
      <w:tabs>
        <w:tab w:val="decimal" w:pos="360"/>
      </w:tabs>
      <w:spacing w:after="200" w:line="276" w:lineRule="auto"/>
    </w:pPr>
    <w:rPr>
      <w:rFonts w:eastAsiaTheme="minorEastAsia" w:cs="Times New Roman"/>
      <w:rtl/>
      <w:cs/>
    </w:rPr>
  </w:style>
  <w:style w:type="character" w:styleId="SubtleEmphasis">
    <w:name w:val="Subtle Emphasis"/>
    <w:basedOn w:val="DefaultParagraphFont"/>
    <w:uiPriority w:val="19"/>
    <w:qFormat/>
    <w:rsid w:val="0082055A"/>
    <w:rPr>
      <w:i/>
      <w:iCs/>
    </w:rPr>
  </w:style>
  <w:style w:type="table" w:styleId="MediumShading2-Accent5">
    <w:name w:val="Medium Shading 2 Accent 5"/>
    <w:basedOn w:val="TableNormal"/>
    <w:uiPriority w:val="64"/>
    <w:rsid w:val="0082055A"/>
    <w:pPr>
      <w:bidi/>
      <w:spacing w:after="0" w:line="240" w:lineRule="auto"/>
    </w:pPr>
    <w:rPr>
      <w:rFonts w:eastAsiaTheme="minorEastAsia"/>
      <w:rtl/>
      <w:c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237941"/>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7941"/>
  </w:style>
  <w:style w:type="paragraph" w:styleId="Footer">
    <w:name w:val="footer"/>
    <w:basedOn w:val="Normal"/>
    <w:link w:val="FooterChar"/>
    <w:uiPriority w:val="99"/>
    <w:unhideWhenUsed/>
    <w:rsid w:val="00237941"/>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7941"/>
  </w:style>
  <w:style w:type="character" w:customStyle="1" w:styleId="ListParagraphChar">
    <w:name w:val="List Paragraph Char"/>
    <w:basedOn w:val="DefaultParagraphFont"/>
    <w:link w:val="ListParagraph"/>
    <w:uiPriority w:val="34"/>
    <w:locked/>
    <w:rsid w:val="00306562"/>
  </w:style>
  <w:style w:type="character" w:customStyle="1" w:styleId="Heading6Char">
    <w:name w:val="Heading 6 Char"/>
    <w:basedOn w:val="DefaultParagraphFont"/>
    <w:link w:val="Heading6"/>
    <w:uiPriority w:val="9"/>
    <w:rsid w:val="00F31958"/>
    <w:rPr>
      <w:rFonts w:ascii="Calibri" w:eastAsiaTheme="majorEastAsia" w:hAnsi="Calibri" w:cs="Calibri"/>
      <w:color w:val="ED7D31" w:themeColor="accent2"/>
      <w:sz w:val="28"/>
      <w:szCs w:val="28"/>
    </w:rPr>
  </w:style>
  <w:style w:type="paragraph" w:styleId="EndnoteText">
    <w:name w:val="endnote text"/>
    <w:basedOn w:val="Normal"/>
    <w:link w:val="EndnoteTextChar"/>
    <w:uiPriority w:val="99"/>
    <w:semiHidden/>
    <w:unhideWhenUsed/>
    <w:rsid w:val="007342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42A0"/>
    <w:rPr>
      <w:sz w:val="20"/>
      <w:szCs w:val="20"/>
    </w:rPr>
  </w:style>
  <w:style w:type="character" w:styleId="EndnoteReference">
    <w:name w:val="endnote reference"/>
    <w:basedOn w:val="DefaultParagraphFont"/>
    <w:uiPriority w:val="99"/>
    <w:semiHidden/>
    <w:unhideWhenUsed/>
    <w:rsid w:val="007342A0"/>
    <w:rPr>
      <w:vertAlign w:val="superscript"/>
    </w:rPr>
  </w:style>
  <w:style w:type="character" w:styleId="CommentReference">
    <w:name w:val="annotation reference"/>
    <w:basedOn w:val="DefaultParagraphFont"/>
    <w:uiPriority w:val="99"/>
    <w:semiHidden/>
    <w:unhideWhenUsed/>
    <w:rsid w:val="00800CCD"/>
    <w:rPr>
      <w:sz w:val="16"/>
      <w:szCs w:val="16"/>
    </w:rPr>
  </w:style>
  <w:style w:type="paragraph" w:styleId="CommentText">
    <w:name w:val="annotation text"/>
    <w:basedOn w:val="Normal"/>
    <w:link w:val="CommentTextChar"/>
    <w:uiPriority w:val="99"/>
    <w:semiHidden/>
    <w:unhideWhenUsed/>
    <w:rsid w:val="00800CCD"/>
    <w:pPr>
      <w:spacing w:line="240" w:lineRule="auto"/>
    </w:pPr>
    <w:rPr>
      <w:sz w:val="20"/>
      <w:szCs w:val="20"/>
    </w:rPr>
  </w:style>
  <w:style w:type="character" w:customStyle="1" w:styleId="CommentTextChar">
    <w:name w:val="Comment Text Char"/>
    <w:basedOn w:val="DefaultParagraphFont"/>
    <w:link w:val="CommentText"/>
    <w:uiPriority w:val="99"/>
    <w:semiHidden/>
    <w:rsid w:val="00800CCD"/>
    <w:rPr>
      <w:sz w:val="20"/>
      <w:szCs w:val="20"/>
    </w:rPr>
  </w:style>
  <w:style w:type="paragraph" w:styleId="CommentSubject">
    <w:name w:val="annotation subject"/>
    <w:basedOn w:val="CommentText"/>
    <w:next w:val="CommentText"/>
    <w:link w:val="CommentSubjectChar"/>
    <w:uiPriority w:val="99"/>
    <w:semiHidden/>
    <w:unhideWhenUsed/>
    <w:rsid w:val="00800CCD"/>
    <w:rPr>
      <w:b/>
      <w:bCs/>
    </w:rPr>
  </w:style>
  <w:style w:type="character" w:customStyle="1" w:styleId="CommentSubjectChar">
    <w:name w:val="Comment Subject Char"/>
    <w:basedOn w:val="CommentTextChar"/>
    <w:link w:val="CommentSubject"/>
    <w:uiPriority w:val="99"/>
    <w:semiHidden/>
    <w:rsid w:val="00800CCD"/>
    <w:rPr>
      <w:b/>
      <w:bCs/>
      <w:sz w:val="20"/>
      <w:szCs w:val="20"/>
    </w:rPr>
  </w:style>
  <w:style w:type="paragraph" w:styleId="BalloonText">
    <w:name w:val="Balloon Text"/>
    <w:basedOn w:val="Normal"/>
    <w:link w:val="BalloonTextChar"/>
    <w:uiPriority w:val="99"/>
    <w:semiHidden/>
    <w:unhideWhenUsed/>
    <w:rsid w:val="00800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CCD"/>
    <w:rPr>
      <w:rFonts w:ascii="Segoe UI" w:hAnsi="Segoe UI" w:cs="Segoe UI"/>
      <w:sz w:val="18"/>
      <w:szCs w:val="18"/>
    </w:rPr>
  </w:style>
  <w:style w:type="character" w:customStyle="1" w:styleId="Heading3Char">
    <w:name w:val="Heading 3 Char"/>
    <w:basedOn w:val="DefaultParagraphFont"/>
    <w:link w:val="Heading3"/>
    <w:uiPriority w:val="9"/>
    <w:rsid w:val="003736D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736DD"/>
    <w:pPr>
      <w:spacing w:after="200" w:line="240" w:lineRule="auto"/>
    </w:pPr>
    <w:rPr>
      <w:i/>
      <w:iCs/>
      <w:color w:val="44546A" w:themeColor="text2"/>
      <w:sz w:val="18"/>
      <w:szCs w:val="18"/>
    </w:rPr>
  </w:style>
  <w:style w:type="paragraph" w:styleId="NoSpacing">
    <w:name w:val="No Spacing"/>
    <w:uiPriority w:val="1"/>
    <w:qFormat/>
    <w:rsid w:val="00C24F8A"/>
    <w:pPr>
      <w:bidi/>
      <w:spacing w:after="0" w:line="240" w:lineRule="auto"/>
    </w:pPr>
  </w:style>
  <w:style w:type="paragraph" w:styleId="Revision">
    <w:name w:val="Revision"/>
    <w:hidden/>
    <w:uiPriority w:val="99"/>
    <w:semiHidden/>
    <w:rsid w:val="00773C0C"/>
    <w:pPr>
      <w:spacing w:after="0" w:line="240" w:lineRule="auto"/>
    </w:pPr>
  </w:style>
  <w:style w:type="paragraph" w:customStyle="1" w:styleId="Bullets">
    <w:name w:val="Bullets"/>
    <w:basedOn w:val="ListParagraph"/>
    <w:link w:val="BulletsChar"/>
    <w:qFormat/>
    <w:rsid w:val="009B02B7"/>
    <w:pPr>
      <w:numPr>
        <w:numId w:val="46"/>
      </w:numPr>
      <w:bidi w:val="0"/>
      <w:spacing w:before="120" w:after="120" w:line="300" w:lineRule="auto"/>
      <w:contextualSpacing w:val="0"/>
      <w:jc w:val="both"/>
    </w:pPr>
    <w:rPr>
      <w:rFonts w:ascii="Calibri Light" w:hAnsi="Calibri Light" w:cs="Arial"/>
      <w:bdr w:val="none" w:sz="0" w:space="0" w:color="auto" w:frame="1"/>
    </w:rPr>
  </w:style>
  <w:style w:type="character" w:customStyle="1" w:styleId="BulletsChar">
    <w:name w:val="Bullets Char"/>
    <w:basedOn w:val="ListParagraphChar"/>
    <w:link w:val="Bullets"/>
    <w:rsid w:val="009B02B7"/>
    <w:rPr>
      <w:rFonts w:ascii="Calibri Light" w:hAnsi="Calibri Light" w:cs="Arial"/>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6405">
      <w:bodyDiv w:val="1"/>
      <w:marLeft w:val="0"/>
      <w:marRight w:val="0"/>
      <w:marTop w:val="0"/>
      <w:marBottom w:val="0"/>
      <w:divBdr>
        <w:top w:val="none" w:sz="0" w:space="0" w:color="auto"/>
        <w:left w:val="none" w:sz="0" w:space="0" w:color="auto"/>
        <w:bottom w:val="none" w:sz="0" w:space="0" w:color="auto"/>
        <w:right w:val="none" w:sz="0" w:space="0" w:color="auto"/>
      </w:divBdr>
    </w:div>
    <w:div w:id="583296247">
      <w:bodyDiv w:val="1"/>
      <w:marLeft w:val="0"/>
      <w:marRight w:val="0"/>
      <w:marTop w:val="0"/>
      <w:marBottom w:val="0"/>
      <w:divBdr>
        <w:top w:val="none" w:sz="0" w:space="0" w:color="auto"/>
        <w:left w:val="none" w:sz="0" w:space="0" w:color="auto"/>
        <w:bottom w:val="none" w:sz="0" w:space="0" w:color="auto"/>
        <w:right w:val="none" w:sz="0" w:space="0" w:color="auto"/>
      </w:divBdr>
    </w:div>
    <w:div w:id="1511795215">
      <w:bodyDiv w:val="1"/>
      <w:marLeft w:val="0"/>
      <w:marRight w:val="0"/>
      <w:marTop w:val="0"/>
      <w:marBottom w:val="0"/>
      <w:divBdr>
        <w:top w:val="none" w:sz="0" w:space="0" w:color="auto"/>
        <w:left w:val="none" w:sz="0" w:space="0" w:color="auto"/>
        <w:bottom w:val="none" w:sz="0" w:space="0" w:color="auto"/>
        <w:right w:val="none" w:sz="0" w:space="0" w:color="auto"/>
      </w:divBdr>
    </w:div>
    <w:div w:id="15206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9d8c265a-5436-43a7-80c1-713d2827ffde" ContentTypeId="0x0101" PreviousValue="false" LastSyncTimeStamp="2020-07-07T13:32:30.27Z"/>
</file>

<file path=customXml/itemProps1.xml><?xml version="1.0" encoding="utf-8"?>
<ds:datastoreItem xmlns:ds="http://schemas.openxmlformats.org/officeDocument/2006/customXml" ds:itemID="{E1EE1E65-6344-4EC3-A65E-2F8423DA48D2}"/>
</file>

<file path=customXml/itemProps2.xml><?xml version="1.0" encoding="utf-8"?>
<ds:datastoreItem xmlns:ds="http://schemas.openxmlformats.org/officeDocument/2006/customXml" ds:itemID="{F9EF468C-3976-4EB0-9840-1D16A544B8CF}"/>
</file>

<file path=customXml/itemProps3.xml><?xml version="1.0" encoding="utf-8"?>
<ds:datastoreItem xmlns:ds="http://schemas.openxmlformats.org/officeDocument/2006/customXml" ds:itemID="{DDD2613F-AEAC-44C7-A4A5-25F46E955C69}"/>
</file>

<file path=customXml/itemProps4.xml><?xml version="1.0" encoding="utf-8"?>
<ds:datastoreItem xmlns:ds="http://schemas.openxmlformats.org/officeDocument/2006/customXml" ds:itemID="{1D00BDB2-BD7C-438B-9094-2F616C8EB7B0}"/>
</file>

<file path=customXml/itemProps5.xml><?xml version="1.0" encoding="utf-8"?>
<ds:datastoreItem xmlns:ds="http://schemas.openxmlformats.org/officeDocument/2006/customXml" ds:itemID="{091233BD-4FE2-42FC-AECA-A9515CA31E7C}"/>
</file>

<file path=docProps/app.xml><?xml version="1.0" encoding="utf-8"?>
<Properties xmlns="http://schemas.openxmlformats.org/officeDocument/2006/extended-properties" xmlns:vt="http://schemas.openxmlformats.org/officeDocument/2006/docPropsVTypes">
  <Template>Normal</Template>
  <TotalTime>2</TotalTime>
  <Pages>20</Pages>
  <Words>6160</Words>
  <Characters>30802</Characters>
  <Application>Microsoft Office Word</Application>
  <DocSecurity>0</DocSecurity>
  <Lines>256</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CBS</Company>
  <LinksUpToDate>false</LinksUpToDate>
  <CharactersWithSpaces>36889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 First NDC (Updated submission)</dc:title>
  <dc:creator>אילת רוזן   Ayelet Rosen</dc:creator>
  <cp:lastModifiedBy>אילת רוזן  Ayelet Rosen</cp:lastModifiedBy>
  <cp:revision>2</cp:revision>
  <dcterms:created xsi:type="dcterms:W3CDTF">2021-07-29T14:22:00Z</dcterms:created>
  <dcterms:modified xsi:type="dcterms:W3CDTF">2021-07-29T14:22:00Z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DocumentSetDescription">
    <vt:lpwstr/>
  </property>
</Properties>
</file>