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2C6BB5"/>
          <w:sz w:val="30"/>
          <w:szCs w:val="30"/>
        </w:rPr>
        <w:t xml:space="preserve">AI4SWENG</w:t>
      </w:r>
    </w:p>
    <w:p>
      <w:pPr>
        <w:spacing w:after="120"/>
        <w:jc w:val="center"/>
      </w:pPr>
      <w:r>
        <w:rPr>
          <w:b/>
          <w:bCs/>
          <w:sz w:val="42"/>
          <w:szCs w:val="42"/>
        </w:rPr>
        <w:t xml:space="preserve">Proje KPI ve Metrik Referans Dokümanı</w:t>
      </w:r>
    </w:p>
    <w:p>
      <w:pPr>
        <w:spacing w:after="400"/>
        <w:jc w:val="center"/>
      </w:pPr>
      <w:r>
        <w:rPr>
          <w:color w:val="5B5650"/>
          <w:sz w:val="26"/>
          <w:szCs w:val="26"/>
        </w:rPr>
        <w:t xml:space="preserve">D1.1 Project Management Handbook temel alınarak hazırlanmıştır</w:t>
      </w:r>
    </w:p>
    <w:p>
      <w:pPr>
        <w:spacing w:after="60"/>
        <w:jc w:val="center"/>
      </w:pPr>
      <w:r>
        <w:rPr>
          <w:sz w:val="20"/>
          <w:szCs w:val="20"/>
        </w:rPr>
        <w:t xml:space="preserve">Sürüm: 1.3  ·  Durum: Yaşayan doküman</w:t>
      </w:r>
    </w:p>
    <w:p>
      <w:pPr>
        <w:spacing w:after="60"/>
        <w:jc w:val="center"/>
      </w:pPr>
      <w:r>
        <w:rPr>
          <w:sz w:val="20"/>
          <w:szCs w:val="20"/>
        </w:rPr>
        <w:t xml:space="preserve">Tarih: 6 Ağustos 2026</w:t>
      </w:r>
    </w:p>
    <w:p>
      <w:pPr>
        <w:spacing w:after="60"/>
        <w:jc w:val="center"/>
      </w:pPr>
      <w:r>
        <w:rPr>
          <w:sz w:val="20"/>
          <w:szCs w:val="20"/>
        </w:rPr>
        <w:t xml:space="preserve">Hazırlayan: Moon  ·  Kaynak: D1.1-AI4SWEng-ProjectManagementHandbook.pdf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1. Amaç</w:t>
      </w:r>
    </w:p>
    <w:p>
      <w:pPr>
        <w:spacing w:after="140"/>
      </w:pPr>
      <w:r>
        <w:t xml:space="preserve">Bu doküman, AI4SWEng konsorsiyum projesinin resmi Proje Yönetim El Kitabı (D1.1) içinde tanımlanan Key Performance Indicator'ların (KPI) ve iş paketi/görev seviyesi metriklerin tam bir kataloğunu tutar. Amaç, observability sistemimizde hangi telemetri verisinin “gerçek” (proje seviyesinde onaylanmış, hedefi/baseline'ı belirlenmiş) bir KPI'a karşılık geldiğini net bir şekilde izleyebilmektir.</w:t>
      </w:r>
    </w:p>
    <w:p>
      <w:pPr>
        <w:spacing w:after="140"/>
      </w:pPr>
      <w:r>
        <w:t xml:space="preserve">Bu doküman canlıdır: her KIO'nun gerçek KPI'ları sisteme entegre edildikçe, ilgili bölümün “Uygulama Durumu” kısmı güncellenecektir. Bu sürümde KIO2 (Bug Locate &amp; Fix / LLM Debugger), KIO3 (NLP → Formal Requirements), KIO4 (Architecture-to-Code Planner) ve KIO7 (AI-SysDev) entegre edilmiştir.</w:t>
      </w:r>
    </w:p>
    <w:p>
      <w:pPr>
        <w:pBdr>
          <w:left w:val="single" w:color="2C6BB5" w:sz="18" w:space="8"/>
        </w:pBdr>
        <w:spacing w:after="160" w:before="80"/>
        <w:ind w:left="260"/>
      </w:pPr>
      <w:r>
        <w:rPr>
          <w:i/>
          <w:iCs/>
          <w:color w:val="5B5650"/>
          <w:sz w:val="20"/>
          <w:szCs w:val="20"/>
        </w:rPr>
        <w:t xml:space="preserve">Kapsam notu: Bu sürümde KIO2/KIO3/KIO4/KIO7 için eklenen metrikler, D1.1'deki gerçek KPI tanımlarına/isimlerine/birimlerine göre adlandırılmıştır, ancak değerler hâlâ simüle edilmektedir (gerçek FocusTracer/KIO3/KIO4/KIO7 modüllerinden canlı veri çekilmiyor). Gerçek veriye bağlama, ayrı ve daha kapsamlı bir sonraki adım olarak planlanmıştır. Ayrıca kio3/kio4'ün task_type'ı D1.1'in gerçek KIO3/KIO4 kimlikleriyle eşleşecek şekilde yeniden adlandırıldı (bkz. Bölüm 4.3/4.4); kio7 doğrudan D1.1'in KIO7 (AI-SysDev) kimliğine göre eklendi (bkz. Bölüm 4.5).</w:t>
      </w:r>
    </w:p>
    <w:p>
      <w:pPr>
        <w:pStyle w:val="Heading1"/>
        <w:spacing w:after="160" w:before="400"/>
      </w:pPr>
      <w:r>
        <w:t xml:space="preserve">2. Tüm Proje KPI'ları (D1.1 Tablo 8)</w:t>
      </w:r>
    </w:p>
    <w:p>
      <w:pPr>
        <w:spacing w:after="140"/>
      </w:pPr>
      <w:r>
        <w:t xml:space="preserve">Aşağıdaki tablo, D1.1 Bölüm 2.6'da tanımlanan global KPI setinin tamamını içerir. Her KPI için birim, baseline (SotA IDE/SDK referansı) ve AI4SWEng hedefi belirtilmiştir.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5"/>
        <w:gridCol w:w="3151"/>
        <w:gridCol w:w="1205"/>
        <w:gridCol w:w="1390"/>
        <w:gridCol w:w="1205"/>
        <w:gridCol w:w="1112"/>
      </w:tblGrid>
      <w:tr>
        <w:trPr>
          <w:tblHeader/>
        </w:trPr>
        <w:tc>
          <w:tcPr>
            <w:tcW w:type="dxa" w:w="1575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151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Tanım</w:t>
            </w:r>
          </w:p>
        </w:tc>
        <w:tc>
          <w:tcPr>
            <w:tcW w:type="dxa" w:w="1205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dxa" w:w="1390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205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1112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İlişkili KIO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1.1 Code generation speed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Prompt/template başlangıcından 300-500 LOC özelliğin ilk başarılı derlemesine kadar geçen ortalama süre.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süre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(~100-120 dk)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70% (~%30 azalma)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KIO2, KIO3, KIO4, KIO7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1.2 Issue resolution speed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Kusur tespitinden (CI/CD veya QA) onaylı çözüme ve başarılı merge'e kadar geçen süre.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süre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(~1.0-1.5 iş günü)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70% (~0.7 gün)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KIO2, KIO3, KIO4, KIO7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2.1 Lifecycle energy reduction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Özellik yaşam döngüsü boyunca tüketilen toplam enerji (eğitim+çıkarım+build/test/deploy).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enerji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85% (≥%15 azalma)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KIO8, KIO10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2.2 Deployment energy efficiency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Çıkarım/kod-üretimi sırasında verimlilik: token·s⁻¹·W⁻¹.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tokens/s/W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(optimize edilmemiş)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≥%15 iyileşme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KIO8, KIO10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3.1 Code quality improvement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Okunabilirlik+sürdürülebilirlik+standart uyumu bileşik skoru (Sonar benzeri).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skor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70% (≥%30 iyileşme)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KIO4, KIO7, KIO9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3.2 Review score increase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AI-destekli ve geleneksel kod arasında peer-review skor farkı.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skor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(~3.5/5)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120% (~4.2/5)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KIO4, KIO7, KIO9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4.1 Developer productivity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Geliştirici başına sprint'te tamamlanan görev/özellik sayısı (çalışma saatine normalize).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verimlilik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(~1 özellik/gün)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120% (~1.20 özellik/gün)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KIO1, KIO7, KIO13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5.1 Time-to-Market (Pilot Feature Release)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Özellik tasarımından test ortamına başarılı dağıtıma kadar geçen süre.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süre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(~5-7 gün)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70% (~3-5 gün)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KIO11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6.1 Bug-fix time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Hata bildiriminden ana dala başarılı merge'e kadar geçen ortalama süre.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süre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(~8-12 saat)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80% (~%20 azalma)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KIO2, KIO7, KIO11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6.2 Customer-reported issues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 kullanıcılarının pilot özellik başına bildirdiği ortalama işlevsel/kullanılabilirlik sorunu sayısı.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oran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(~5 sorun/özellik)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80% (~4 sorun/özellik)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KIO2, KIO7, KIO11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7.1 Annual cost saving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Geliştirici zamanı, test efor ve rework saatleri dahil toplam yıllık maliyet azalması (FTE başına).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maliyet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(~€100.000/yıl)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85% (~€85.000/yıl)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KIO8, KIO10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8.1 Adoption rate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AI4SWEng özelliklerini düzenli kullanan aktif geliştirici/takım yüzdesi.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kullanıcı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≥%50 (2 pilot sprint içinde)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KIO13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8.2 Active usage &amp; satisfaction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Aktif kullanım yüzdesi + kullanıcı memnuniyet skoru (MOS 1-5).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/ MOS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Kullanım: 0%, MOS: ~3.0/5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Kullanım ≥%60, MOS ≥ 4.0/5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KIO13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8.3 Cross-Architecture Build Success Rate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 az bir heterojen hedef mimaride (FPGA/ARM/RISC-V) otomatik yapılandırmayla derleme/çalıştırma.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Sayı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 1 doğrulanmış hedef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KIO8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9.1 Refactoring reduction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Review/deploy sonrası refactoring eforunda (saat/commit) azalma.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azalma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(~2-3 saat/özellik)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80% (~%25 azalma)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KIO9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9.2 Technical debt reduction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Kod kokusu/karmaşıklık/sürdürülebilirlik ihlallerini düzeltmek için gereken tahmini efor azalması.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borç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(~1.0-1.2 saat/100 LOC)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80% (~%20 azalma)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KIO9</w:t>
            </w:r>
          </w:p>
        </w:tc>
      </w:tr>
    </w:tbl>
    <w:p>
      <w:pPr>
        <w:pBdr>
          <w:left w:val="single" w:color="2C6BB5" w:sz="18" w:space="8"/>
        </w:pBdr>
        <w:spacing w:after="160" w:before="80"/>
        <w:ind w:left="260"/>
      </w:pPr>
      <w:r>
        <w:rPr>
          <w:i/>
          <w:iCs/>
          <w:color w:val="5B5650"/>
          <w:sz w:val="20"/>
          <w:szCs w:val="20"/>
        </w:rPr>
        <w:t xml:space="preserve">Kaynak: D1.1, Tablo 8 (“KPIs: Baseline values, reference conditions, and targets”), s. 23-28.</w:t>
      </w:r>
    </w:p>
    <w:p>
      <w:pPr>
        <w:pStyle w:val="Heading1"/>
        <w:spacing w:after="160" w:before="400"/>
      </w:pPr>
      <w:r>
        <w:t xml:space="preserve">3. WP3 Görev-Seviyesi Metrikleri (AI-SysDev &amp; Testing Automation)</w:t>
      </w:r>
    </w:p>
    <w:p>
      <w:pPr>
        <w:spacing w:after="140"/>
      </w:pPr>
      <w:r>
        <w:t xml:space="preserve">D1.1 Tablo 9, global KPI'ların yanında iş paketi/görev seviyesinde daha ayrıntılı metrikler tanımlar. WP3, doğrudan KIO2'yi (Bug Locate &amp; Fix), KIO7'yi (AI-SysDev) ve KIO11'i (TAT) kapsar; görevler T3.2 (Reverse Execution / Dynamic Slicing) ve T3.3 (Fault Localization) — yani tam olarak FocusTracer'ın yaptığı iş.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542"/>
        <w:gridCol w:w="2120"/>
        <w:gridCol w:w="1542"/>
      </w:tblGrid>
      <w:tr>
        <w:trPr>
          <w:tblHeader/>
        </w:trPr>
        <w:tc>
          <w:tcPr>
            <w:tcW w:type="dxa" w:w="4433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542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dxa" w:w="2120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1542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WP Aggregate KPI</w:t>
            </w:r>
          </w:p>
        </w:tc>
      </w:tr>
      <w:tr>
        <w:tc>
          <w:tcPr>
            <w:tcW w:type="dxa" w:w="44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Bug-fix time (tespitten doğrulanmış düzeltmeye ortalama süre)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Saat</w:t>
            </w:r>
          </w:p>
        </w:tc>
        <w:tc>
          <w:tcPr>
            <w:tcW w:type="dxa" w:w="21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%20 azalma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1.2, 6.x</w:t>
            </w:r>
          </w:p>
        </w:tc>
      </w:tr>
      <w:tr>
        <w:tc>
          <w:tcPr>
            <w:tcW w:type="dxa" w:w="4433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Dynamic slicing success rate (otomatik izole edilen hata yüzdesi)</w:t>
            </w:r>
          </w:p>
        </w:tc>
        <w:tc>
          <w:tcPr>
            <w:tcW w:type="dxa" w:w="154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</w:t>
            </w:r>
          </w:p>
        </w:tc>
        <w:tc>
          <w:tcPr>
            <w:tcW w:type="dxa" w:w="212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 %85 otomatik hata izolasyonu</w:t>
            </w:r>
          </w:p>
        </w:tc>
        <w:tc>
          <w:tcPr>
            <w:tcW w:type="dxa" w:w="154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1.2, 6.x</w:t>
            </w:r>
          </w:p>
        </w:tc>
      </w:tr>
    </w:tbl>
    <w:p>
      <w:pPr>
        <w:pBdr>
          <w:left w:val="single" w:color="2C6BB5" w:sz="18" w:space="8"/>
        </w:pBdr>
        <w:spacing w:after="160" w:before="80"/>
        <w:ind w:left="260"/>
      </w:pPr>
      <w:r>
        <w:rPr>
          <w:i/>
          <w:iCs/>
          <w:color w:val="5B5650"/>
          <w:sz w:val="20"/>
          <w:szCs w:val="20"/>
        </w:rPr>
        <w:t xml:space="preserve">Kaynak: D1.1, Tablo 9 (“Work Package / Task / Deliverable Level KPIs”), WP3 satırı, s. 33.</w:t>
      </w:r>
    </w:p>
    <w:p>
      <w:pPr>
        <w:pStyle w:val="Heading1"/>
        <w:spacing w:after="160" w:before="400"/>
      </w:pPr>
      <w:r>
        <w:t xml:space="preserve">4. KIO2 — Bug Locate &amp; Fix / LLM Debugger</w:t>
      </w:r>
    </w:p>
    <w:p>
      <w:pPr>
        <w:spacing w:after="140"/>
      </w:pPr>
      <w:r>
        <w:t xml:space="preserve">D1.1'e göre KIO2, çalışma zamanı izlerini (trace) analiz edip hataları otomatik olarak lokalize eden ve düzeltme öneren bir LLM debugger'dır — mevcut bir debugger'a eklenti olarak bağlanır, IDE/debugging araçlarından runtime trace okur, bir LLM planı üretir ve bir düzeltme/lokalizasyon önerisi uygular. Bu tanım, bizim FocusTracer projemizin (LLM-guided dynamic slicing + XML trace pipeline) yaptığı işle doğrudan örtüşmektedir.</w:t>
      </w:r>
    </w:p>
    <w:p>
      <w:pPr>
        <w:pStyle w:val="Heading2"/>
        <w:spacing w:after="120" w:before="280"/>
      </w:pPr>
      <w:r>
        <w:t xml:space="preserve">4.1 KIO2'ye bağlı KPI'lar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6747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Ölçüm yöntemi (D1.1'e göre)</w:t>
            </w:r>
          </w:p>
        </w:tc>
      </w:tr>
      <w:tr>
        <w:tc>
          <w:tcPr>
            <w:tcW w:type="dxa" w:w="28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1.1 – Code generation speed</w:t>
            </w:r>
          </w:p>
        </w:tc>
        <w:tc>
          <w:tcPr>
            <w:tcW w:type="dxa" w:w="67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D1.1 Tablo 6 (Traceability Matrix, SO1 satırı) KIO2'yi doğrudan KPI1.1'e bağlar — KIO2'nin ürettiği “auto-patch”/düzeltme yaması da bir tür kod üretimi olduğu için bu KPI kapsamına giriyor. Prompt/talimat başlangıcından ilk başarılı derleme/yamaya kadar geçen süre ölçülür.</w:t>
            </w:r>
          </w:p>
        </w:tc>
      </w:tr>
      <w:tr>
        <w:tc>
          <w:tcPr>
            <w:tcW w:type="dxa" w:w="289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1.2 – Issue resolution speed</w:t>
            </w:r>
          </w:p>
        </w:tc>
        <w:tc>
          <w:tcPr>
            <w:tcW w:type="dxa" w:w="6747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Issue tracker (Jira/GitHub Issues) zaman damgalarından otomatik türetilir; kusur tespitinden onaylı çözüme kadar geçen süre, GenAI-destekli ve manuel sprint'ler arasında karşılaştırılır.</w:t>
            </w:r>
          </w:p>
        </w:tc>
      </w:tr>
      <w:tr>
        <w:tc>
          <w:tcPr>
            <w:tcW w:type="dxa" w:w="28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6.1 – Bug-fix time</w:t>
            </w:r>
          </w:p>
        </w:tc>
        <w:tc>
          <w:tcPr>
            <w:tcW w:type="dxa" w:w="67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Issue tracker zaman damgaları + repository merge event'lerinden otomatik türetilir. İki kontrollü pilot sprint (~2 hafta) ile baseline ve AI4SWEng-destekli süre karşılaştırılır; hedef ~%20 azalma.</w:t>
            </w:r>
          </w:p>
        </w:tc>
      </w:tr>
      <w:tr>
        <w:tc>
          <w:tcPr>
            <w:tcW w:type="dxa" w:w="289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6.2 – Customer-reported issues</w:t>
            </w:r>
          </w:p>
        </w:tc>
        <w:tc>
          <w:tcPr>
            <w:tcW w:type="dxa" w:w="6747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İki kısa değerlendirme sprintinde (~2 hafta) test kullanıcı grupları tarafından bildirilen benzersiz issue ticket sayısı, baseline ve AI4SWEng sprint'i arasında karşılaştırılır; hedef ~%20 azalma.</w:t>
            </w:r>
          </w:p>
        </w:tc>
      </w:tr>
      <w:tr>
        <w:tc>
          <w:tcPr>
            <w:tcW w:type="dxa" w:w="28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WP3 task metriği – Dynamic slicing success rate</w:t>
            </w:r>
          </w:p>
        </w:tc>
        <w:tc>
          <w:tcPr>
            <w:tcW w:type="dxa" w:w="67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Otomatik olarak izole edilen hata yüzdesi; hedef ≥%85.</w:t>
            </w:r>
          </w:p>
        </w:tc>
      </w:tr>
    </w:tbl>
    <w:p>
      <w:pPr>
        <w:pStyle w:val="Heading2"/>
        <w:spacing w:after="120" w:before="280"/>
      </w:pPr>
      <w:r>
        <w:t xml:space="preserve">4.2 Sisteme entegre edilen metrikler (bu sürüm)</w:t>
      </w:r>
    </w:p>
    <w:p>
      <w:pPr>
        <w:spacing w:after="140"/>
      </w:pPr>
      <w:r>
        <w:t xml:space="preserve">Aşağıdaki dört metrik, kio-simulator/kio_simulator.py içinde yalnızca kio2 için (KIO_REAL_KPI_ROLE=bugfix ortam değişkeni ile) eklenmiştir. İsimlendirme, sözleşmenin (Integration Contract v1.0) dot-notation kuralına (G1) uyar. Değerler bu sürümde hâlâ simülasyondur — D1.1'deki baseline/hedef aralıklarına göre kalibre edilmiştir, gerçek FocusTracer çalıştırmalarından değildir (bkz. Bölüm 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349"/>
        <w:gridCol w:w="964"/>
        <w:gridCol w:w="1349"/>
        <w:gridCol w:w="3470"/>
      </w:tblGrid>
      <w:tr>
        <w:trPr>
          <w:tblHeader/>
        </w:trPr>
        <w:tc>
          <w:tcPr>
            <w:tcW w:type="dxa" w:w="2506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Metrik adı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964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D1.1 KPI</w:t>
            </w:r>
          </w:p>
        </w:tc>
        <w:tc>
          <w:tcPr>
            <w:tcW w:type="dxa" w:w="3470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Simülasyon aralığı</w:t>
            </w:r>
          </w:p>
        </w:tc>
      </w:tr>
      <w:tr>
        <w:tc>
          <w:tcPr>
            <w:tcW w:type="dxa" w:w="25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kio.bugfix.duration_hours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6.1</w:t>
            </w:r>
          </w:p>
        </w:tc>
        <w:tc>
          <w:tcPr>
            <w:tcW w:type="dxa" w:w="3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6.0-10.0 saat (baseline 8-12h, hedef ≤%20 azalma referans alınarak)</w:t>
            </w:r>
          </w:p>
        </w:tc>
      </w:tr>
      <w:tr>
        <w:tc>
          <w:tcPr>
            <w:tcW w:type="dxa" w:w="2506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kio.issue.resolution_hours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1.2</w:t>
            </w:r>
          </w:p>
        </w:tc>
        <w:tc>
          <w:tcPr>
            <w:tcW w:type="dxa" w:w="347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5.0-9.0 saat (baseline ~8-12h, hedef ≤%30 azalma referans alınarak)</w:t>
            </w:r>
          </w:p>
        </w:tc>
      </w:tr>
      <w:tr>
        <w:tc>
          <w:tcPr>
            <w:tcW w:type="dxa" w:w="25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kio.slicing.success_rate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(oran)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WP3 task metriği</w:t>
            </w:r>
          </w:p>
        </w:tc>
        <w:tc>
          <w:tcPr>
            <w:tcW w:type="dxa" w:w="3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0.75-0.97 (hedef ≥ 0.85 bazen altında kalacak şekilde gerçekçi varyans)</w:t>
            </w:r>
          </w:p>
        </w:tc>
      </w:tr>
      <w:tr>
        <w:tc>
          <w:tcPr>
            <w:tcW w:type="dxa" w:w="2506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kio.issue.customer_reported_count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Counter</w:t>
            </w:r>
          </w:p>
        </w:tc>
        <w:tc>
          <w:tcPr>
            <w:tcW w:type="dxa" w:w="964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6.2</w:t>
            </w:r>
          </w:p>
        </w:tc>
        <w:tc>
          <w:tcPr>
            <w:tcW w:type="dxa" w:w="347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Düşük olasılıkla (~%5 istekte bir) 0-2 artış</w:t>
            </w:r>
          </w:p>
        </w:tc>
      </w:tr>
    </w:tbl>
    <w:p>
      <w:pPr>
        <w:spacing w:after="160" w:before="60"/>
      </w:pPr>
      <w:r>
        <w:rPr>
          <w:b/>
          <w:bCs/>
          <w:color w:val="FFFFFF"/>
          <w:sz w:val="18"/>
          <w:szCs w:val="18"/>
          <w:shd w:fill="4C7A5B" w:val="clear"/>
        </w:rPr>
        <w:t xml:space="preserve"> UYGULANDI (kio2) </w:t>
      </w:r>
    </w:p>
    <w:p>
      <w:pPr>
        <w:pStyle w:val="Heading2"/>
        <w:spacing w:after="120" w:before="280"/>
      </w:pPr>
      <w:r>
        <w:t xml:space="preserve">4.3 KIO3 — NLP → Formal Requirements</w:t>
      </w:r>
    </w:p>
    <w:p>
      <w:pPr>
        <w:spacing w:after="140"/>
      </w:pPr>
      <w:r>
        <w:t xml:space="preserve">Aşağıdaki iki metrik, kio-simulator/kio_simulator.py içinde yalnızca kio3 için (KIO_REAL_KPI_ROLE=nlp-requirements ortam değişkeni ile) eklenmiştir. D1.1'in traceability matrix'i KIO3'ü (NLP → Formal Requirements) KPI 1.1 ve 3.1'e bağlar — KIO3'ün işi kelimenin tam anlamıyla "kod üretimi" olmasa da, D1.1 bu KPI'ları pipeline'ın ilk adımından itibaren uçtan uca ölçüyor. Değerler bu sürümde hâlâ simülasyondur.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349"/>
        <w:gridCol w:w="964"/>
        <w:gridCol w:w="1349"/>
        <w:gridCol w:w="3470"/>
      </w:tblGrid>
      <w:tr>
        <w:trPr>
          <w:tblHeader/>
        </w:trPr>
        <w:tc>
          <w:tcPr>
            <w:tcW w:type="dxa" w:w="2506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Metrik adı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964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D1.1 KPI</w:t>
            </w:r>
          </w:p>
        </w:tc>
        <w:tc>
          <w:tcPr>
            <w:tcW w:type="dxa" w:w="3470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Simülasyon aralığı</w:t>
            </w:r>
          </w:p>
        </w:tc>
      </w:tr>
      <w:tr>
        <w:tc>
          <w:tcPr>
            <w:tcW w:type="dxa" w:w="25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kio.codegen.duration_minutes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min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1.1</w:t>
            </w:r>
          </w:p>
        </w:tc>
        <w:tc>
          <w:tcPr>
            <w:tcW w:type="dxa" w:w="3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65.0-95.0 dk (baseline ~100-120 dk, hedef ≤%30 azalma referans alınarak)</w:t>
            </w:r>
          </w:p>
        </w:tc>
      </w:tr>
      <w:tr>
        <w:tc>
          <w:tcPr>
            <w:tcW w:type="dxa" w:w="2506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kio.code_quality.score_pct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(1)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3.1</w:t>
            </w:r>
          </w:p>
        </w:tc>
        <w:tc>
          <w:tcPr>
            <w:tcW w:type="dxa" w:w="347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65.0-90.0 (baseline 100%, hedef ≤%70 referans alınarak)</w:t>
            </w:r>
          </w:p>
        </w:tc>
      </w:tr>
    </w:tbl>
    <w:p>
      <w:pPr>
        <w:spacing w:after="160" w:before="60"/>
      </w:pPr>
      <w:r>
        <w:rPr>
          <w:b/>
          <w:bCs/>
          <w:color w:val="FFFFFF"/>
          <w:sz w:val="18"/>
          <w:szCs w:val="18"/>
          <w:shd w:fill="4C7A5B" w:val="clear"/>
        </w:rPr>
        <w:t xml:space="preserve"> UYGULANDI (kio3) </w:t>
      </w:r>
    </w:p>
    <w:p>
      <w:pPr>
        <w:pStyle w:val="Heading2"/>
        <w:spacing w:after="120" w:before="280"/>
      </w:pPr>
      <w:r>
        <w:t xml:space="preserve">4.4 KIO4 — Architecture-to-Code Planner</w:t>
      </w:r>
    </w:p>
    <w:p>
      <w:pPr>
        <w:spacing w:after="140"/>
      </w:pPr>
      <w:r>
        <w:t xml:space="preserve">Aşağıdaki üç metrik, kio-simulator/kio_simulator.py içinde yalnızca kio4 için (KIO_REAL_KPI_ROLE=architecture-to-code ortam değişkeni ile) eklenmiştir. İlk iki metrik (KPI 1.1, 3.1) kio3 ile paylaşılır — D1.1'in traceability matrix'i her ikisini de bu KPI'lara bağlar; üçüncüsü (KPI 3.2) yalnızca KIO4'e özeldir. Değerler bu sürümde hâlâ simülasyondur.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349"/>
        <w:gridCol w:w="964"/>
        <w:gridCol w:w="1349"/>
        <w:gridCol w:w="3470"/>
      </w:tblGrid>
      <w:tr>
        <w:trPr>
          <w:tblHeader/>
        </w:trPr>
        <w:tc>
          <w:tcPr>
            <w:tcW w:type="dxa" w:w="2506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Metrik adı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964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D1.1 KPI</w:t>
            </w:r>
          </w:p>
        </w:tc>
        <w:tc>
          <w:tcPr>
            <w:tcW w:type="dxa" w:w="3470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Simülasyon aralığı</w:t>
            </w:r>
          </w:p>
        </w:tc>
      </w:tr>
      <w:tr>
        <w:tc>
          <w:tcPr>
            <w:tcW w:type="dxa" w:w="25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kio.codegen.duration_minutes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min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1.1</w:t>
            </w:r>
          </w:p>
        </w:tc>
        <w:tc>
          <w:tcPr>
            <w:tcW w:type="dxa" w:w="3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65.0-95.0 dk (kio3 ile aynı aralık/gerekçe)</w:t>
            </w:r>
          </w:p>
        </w:tc>
      </w:tr>
      <w:tr>
        <w:tc>
          <w:tcPr>
            <w:tcW w:type="dxa" w:w="2506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kio.code_quality.score_pct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(1)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3.1</w:t>
            </w:r>
          </w:p>
        </w:tc>
        <w:tc>
          <w:tcPr>
            <w:tcW w:type="dxa" w:w="347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65.0-90.0 (kio3 ile aynı aralık/gerekçe)</w:t>
            </w:r>
          </w:p>
        </w:tc>
      </w:tr>
      <w:tr>
        <w:tc>
          <w:tcPr>
            <w:tcW w:type="dxa" w:w="25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kio.review.score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(skor /5)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3.2</w:t>
            </w:r>
          </w:p>
        </w:tc>
        <w:tc>
          <w:tcPr>
            <w:tcW w:type="dxa" w:w="3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3.6-4.4 (baseline ~3.5/5, hedef ~4.2/5 referans alınarak)</w:t>
            </w:r>
          </w:p>
        </w:tc>
      </w:tr>
    </w:tbl>
    <w:p>
      <w:pPr>
        <w:spacing w:after="160" w:before="60"/>
      </w:pPr>
      <w:r>
        <w:rPr>
          <w:b/>
          <w:bCs/>
          <w:color w:val="FFFFFF"/>
          <w:sz w:val="18"/>
          <w:szCs w:val="18"/>
          <w:shd w:fill="4C7A5B" w:val="clear"/>
        </w:rPr>
        <w:t xml:space="preserve"> UYGULANDI (kio4) </w:t>
      </w:r>
    </w:p>
    <w:p>
      <w:pPr>
        <w:pStyle w:val="Heading2"/>
        <w:spacing w:after="120" w:before="280"/>
      </w:pPr>
      <w:r>
        <w:t xml:space="preserve">4.5 KIO7 — AI-SysDev</w:t>
      </w:r>
    </w:p>
    <w:p>
      <w:pPr>
        <w:spacing w:after="140"/>
      </w:pPr>
      <w:r>
        <w:t xml:space="preserve">Aşağıdaki beş metrik, kio-simulator/kio_simulator.py içinde yalnızca kio7 için (KIO_REAL_KPI_ROLE=ai-sysdev ortam değişkeni ile) eklenmiştir. D1.1'de KIO7 (AI-SysDev) “çoğu KPI ile ortak” (1.1, 1.2, 2.x, 3.x, 4.1, 5.1, 6.x, 7.1, 9.x) olarak tanımlanmıştır — bu kapsamın tamamını simüle etmek gürültüye dönüşeceğinden, yalnızca KIO7'nin net birincil sahip olduğu ve kio2-sim/kio3/kio4 tarafından zaten kapsanmayan KPI'lar seçilmiştir: geliştirici verimliliği (4.1), pazara çıkış süresi (5.1), yıllık maliyet tasarrufu (7.1), refactoring azaltımı (9.1) ve teknik borç azaltımı (9.2). Değerler bu sürümde hâlâ simülasyondur.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349"/>
        <w:gridCol w:w="964"/>
        <w:gridCol w:w="1349"/>
        <w:gridCol w:w="3470"/>
      </w:tblGrid>
      <w:tr>
        <w:trPr>
          <w:tblHeader/>
        </w:trPr>
        <w:tc>
          <w:tcPr>
            <w:tcW w:type="dxa" w:w="2506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Metrik adı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964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D1.1 KPI</w:t>
            </w:r>
          </w:p>
        </w:tc>
        <w:tc>
          <w:tcPr>
            <w:tcW w:type="dxa" w:w="3470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Simülasyon aralığı</w:t>
            </w:r>
          </w:p>
        </w:tc>
      </w:tr>
      <w:tr>
        <w:tc>
          <w:tcPr>
            <w:tcW w:type="dxa" w:w="25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kio.dev_productivity.features_per_day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(özellik/gün)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4.1</w:t>
            </w:r>
          </w:p>
        </w:tc>
        <w:tc>
          <w:tcPr>
            <w:tcW w:type="dxa" w:w="3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0.6-1.1 özellik/gün (baseline ~0.5-0.8 özellik/gün, hedef artış)</w:t>
            </w:r>
          </w:p>
        </w:tc>
      </w:tr>
      <w:tr>
        <w:tc>
          <w:tcPr>
            <w:tcW w:type="dxa" w:w="2506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kio.time_to_market.days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5.1</w:t>
            </w:r>
          </w:p>
        </w:tc>
        <w:tc>
          <w:tcPr>
            <w:tcW w:type="dxa" w:w="347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24.0-38.0 gün (baseline ~30-45 gün, hedef ≤%20 azalma)</w:t>
            </w:r>
          </w:p>
        </w:tc>
      </w:tr>
      <w:tr>
        <w:tc>
          <w:tcPr>
            <w:tcW w:type="dxa" w:w="25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kio.cost_saving.pct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7.1</w:t>
            </w:r>
          </w:p>
        </w:tc>
        <w:tc>
          <w:tcPr>
            <w:tcW w:type="dxa" w:w="3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12.0-28.0 (yıllık tahmini maliyet tasarrufu)</w:t>
            </w:r>
          </w:p>
        </w:tc>
      </w:tr>
      <w:tr>
        <w:tc>
          <w:tcPr>
            <w:tcW w:type="dxa" w:w="2506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kio.refactoring.hours_per_feature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9.1</w:t>
            </w:r>
          </w:p>
        </w:tc>
        <w:tc>
          <w:tcPr>
            <w:tcW w:type="dxa" w:w="347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2.5-4.5 saat/özellik (baseline ~4-6 saat/özellik)</w:t>
            </w:r>
          </w:p>
        </w:tc>
      </w:tr>
      <w:tr>
        <w:tc>
          <w:tcPr>
            <w:tcW w:type="dxa" w:w="25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kio.tech_debt.hours_per_100loc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9.2</w:t>
            </w:r>
          </w:p>
        </w:tc>
        <w:tc>
          <w:tcPr>
            <w:tcW w:type="dxa" w:w="3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1.8-3.5 saat/100 satır (baseline ~3-5 saat/100 satır)</w:t>
            </w:r>
          </w:p>
        </w:tc>
      </w:tr>
    </w:tbl>
    <w:p>
      <w:pPr>
        <w:spacing w:after="160" w:before="60"/>
      </w:pPr>
      <w:r>
        <w:rPr>
          <w:b/>
          <w:bCs/>
          <w:color w:val="FFFFFF"/>
          <w:sz w:val="18"/>
          <w:szCs w:val="18"/>
          <w:shd w:fill="4C7A5B" w:val="clear"/>
        </w:rPr>
        <w:t xml:space="preserve"> UYGULANDI (kio7) </w:t>
      </w:r>
    </w:p>
    <w:p>
      <w:pPr>
        <w:pStyle w:val="Heading1"/>
        <w:spacing w:after="160" w:before="400"/>
      </w:pPr>
      <w:r>
        <w:t xml:space="preserve">5. Diğer KIO'lar — Durum</w:t>
      </w:r>
    </w:p>
    <w:p>
      <w:pPr>
        <w:spacing w:after="140"/>
      </w:pPr>
      <w:r>
        <w:t xml:space="preserve">D1.1'de kendisine ayrıca KPI ataması bulunan dört KIO'nun (KIO2, KIO3, KIO4, KIO7) tümü bu sürümde entegre edilmiştir (bkz. Bölüm 4.1-4.2, 4.3, 4.4, 4.5). D1.1'in Tablo 8/9'unda bu dördünün dışında başka bir KIO'ya özel proje-yönetim KPI ataması bulunmamaktadır — ileride yeni bir KIO'ya KPI atanırsa aynı yöntemle (gerçek isim/birim/hedef aralığı ve KIO'ya özel KIO_REAL_KPI_ROLE env değişkeni) buraya eklenecektir.</w:t>
      </w:r>
    </w:p>
    <w:p>
      <w:pPr>
        <w:pStyle w:val="Heading1"/>
        <w:spacing w:after="160" w:before="400"/>
      </w:pPr>
      <w:r>
        <w:t xml:space="preserve">6. Revizyon Geçmişi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928"/>
        <w:gridCol w:w="6361"/>
      </w:tblGrid>
      <w:tr>
        <w:trPr>
          <w:tblHeader/>
        </w:trPr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Sürüm</w:t>
            </w:r>
          </w:p>
        </w:tc>
        <w:tc>
          <w:tcPr>
            <w:tcW w:type="dxa" w:w="1928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Tarih</w:t>
            </w:r>
          </w:p>
        </w:tc>
        <w:tc>
          <w:tcPr>
            <w:tcW w:type="dxa" w:w="6361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Değişiklik</w:t>
            </w:r>
          </w:p>
        </w:tc>
      </w:tr>
      <w:tr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24 Temmuz 2026</w:t>
            </w:r>
          </w:p>
        </w:tc>
        <w:tc>
          <w:tcPr>
            <w:tcW w:type="dxa" w:w="63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İlk sürüm: D1.1'deki tüm KPI'lar (Tablo 8) ve WP3 görev metrikleri (Tablo 9) kataloglandı; KIO2'ye özel dört yeni metrik (kio.bugfix.duration_hours, kio.issue.resolution_hours, kio.slicing.success_rate, kio.issue.customer_reported_count) kio-simulator'a eklendi ve dokümante edildi.</w:t>
            </w:r>
          </w:p>
        </w:tc>
      </w:tr>
      <w:tr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1.1</w:t>
            </w:r>
          </w:p>
        </w:tc>
        <w:tc>
          <w:tcPr>
            <w:tcW w:type="dxa" w:w="1928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24 Temmuz 2026</w:t>
            </w:r>
          </w:p>
        </w:tc>
        <w:tc>
          <w:tcPr>
            <w:tcW w:type="dxa" w:w="636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Düzeltme: KIO2'ye bağlı KPI'lar tablosuna (Bölüm 4.1) eksik olan KPI 1.1 (Code generation speed) eklendi — D1.1 Tablo 6'nın SO1 satırı KIO2'yi KPI1.1/3.1/6.1'e doğrudan bağlıyor; Tablo 8'in KPI1.1 satırı da 'İlişkili KIO' sütununda KIO2'yi listeliyor. Bu gözden kaçmıştı, kullanıcı geri bildirimiyle düzeltildi.</w:t>
            </w:r>
          </w:p>
        </w:tc>
      </w:tr>
      <w:tr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1.2</w:t>
            </w:r>
          </w:p>
        </w:tc>
        <w:tc>
          <w:tcPr>
            <w:tcW w:type="dxa" w:w="1928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 Ağustos 2026</w:t>
            </w:r>
          </w:p>
        </w:tc>
        <w:tc>
          <w:tcPr>
            <w:tcW w:type="dxa" w:w="636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KIO3 ve KIO4 gerçek D1.1 KPI'ları entegre edildi: kio.codegen.duration_minutes (KPI 1.1, her ikisinde), kio.code_quality.score_pct (KPI 3.1, her ikisinde), kio.review.score (KPI 3.2, yalnızca KIO4) — bkz. Bölüm 4.3, 4.4. Bu entegrasyon öncesi kio3/kio4'ün task_type'ı D1.1'in gerçek KIO3 (NLP → Formal Requirements) / KIO4 (Architecture-to-Code Planner) kimlikleriyle eşleşecek şekilde yeniden adlandırıldı (önceden gelişigüzel seçilmiş test-generation/debug idi). Bölüm 5'teki "Diğer KIO'lar" tablosundan KIO3/KIO4 satırları çıkarıldı, yalnızca KIO7 kaldı.</w:t>
            </w:r>
          </w:p>
        </w:tc>
      </w:tr>
      <w:tr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 Ağustos 2026</w:t>
            </w:r>
          </w:p>
        </w:tc>
        <w:tc>
          <w:tcPr>
            <w:tcW w:type="dxa" w:w="63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 (AI-SysDev) gerçek D1.1 KPI'ları entegre edildi: kio.dev_productivity.features_per_day (KPI 4.1), kio.time_to_market.days (KPI 5.1), kio.cost_saving.pct (KPI 7.1), kio.refactoring.hours_per_feature (KPI 9.1), kio.tech_debt.hours_per_100loc (KPI 9.2) — bkz. Bölüm 4.5. D1.1'de KPI'sı ayrıca tanımlı dört KIO'nun (KIO2, KIO3, KIO4, KIO7) tümü artık entegre; Bölüm 5 buna göre güncellendi. Ayrıca: Grafana'da otomatik "Stale KIO" alert kuralı (Sözleşme §2.3, 120s eşiği) ve kio-simulator/orchestrator için bir pytest test paketi eklendi (bu ikisi telemetri sözleşmesinin kendisini değiştirmez, dokümana bilgi amaçlı not düşüldü).</w:t>
            </w:r>
          </w:p>
        </w:tc>
      </w:tr>
    </w:tbl>
    <w:p>
      <w:pPr>
        <w:pBdr>
          <w:left w:val="single" w:color="2C6BB5" w:sz="18" w:space="8"/>
        </w:pBdr>
        <w:spacing w:after="160" w:before="80"/>
        <w:ind w:left="260"/>
      </w:pPr>
      <w:r>
        <w:rPr>
          <w:i/>
          <w:iCs/>
          <w:color w:val="5B5650"/>
          <w:sz w:val="20"/>
          <w:szCs w:val="20"/>
        </w:rPr>
        <w:t xml:space="preserve">Bu belge canlıdır. Yeni bir KIO'nun gerçek KPI'ları entegre edildikçe Bölüm 5'teki ilgili satır güncellenip yeni bir bölüme taşınacaktır.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650"/>
        <w:sz w:val="15"/>
        <w:szCs w:val="15"/>
      </w:rPr>
      <w:t xml:space="preserve">Sayfa </w:t>
    </w:r>
    <w:r>
      <w:rPr>
        <w:color w:val="5B565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5650"/>
        <w:sz w:val="15"/>
        <w:szCs w:val="15"/>
      </w:rPr>
      <w:t xml:space="preserve"> / </w:t>
    </w:r>
    <w:r>
      <w:rPr>
        <w:color w:val="5B565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5650"/>
        <w:sz w:val="15"/>
        <w:szCs w:val="15"/>
      </w:rPr>
      <w:t xml:space="preserve">AI4SWENG Proje KPI ve Metrik Referansı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6BB5" w:sz="8" w:space="4"/>
      </w:pBdr>
      <w:spacing w:after="160" w:before="400"/>
    </w:pPr>
    <w:rPr>
      <w:rFonts w:ascii="Calibri" w:cs="Calibri" w:eastAsia="Calibri" w:hAnsi="Calibri"/>
      <w:b/>
      <w:bCs/>
      <w:color w:val="2C6BB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2026-07-28T11:57:24.199Z</dcterms:created>
  <dcterms:modified xsi:type="dcterms:W3CDTF">2026-07-28T11:57:24.202Z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