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2C57F9">
      <w:pPr>
        <w:spacing w:before="1600"/>
        <w:jc w:val="center"/>
      </w:pPr>
      <w:r>
        <w:rPr>
          <w:rFonts w:ascii="Calibri" w:hAnsi="Calibri" w:eastAsia="Calibri" w:cs="Calibri"/>
          <w:b/>
          <w:bCs/>
          <w:color w:val="1F3864"/>
          <w:sz w:val="52"/>
          <w:szCs w:val="52"/>
        </w:rPr>
        <w:t>AI4SWENG Observability Platform</w:t>
      </w:r>
    </w:p>
    <w:p w14:paraId="3A06CBA9">
      <w:pPr>
        <w:spacing w:before="200" w:after="100"/>
        <w:jc w:val="center"/>
      </w:pPr>
      <w:r>
        <w:rPr>
          <w:rFonts w:ascii="Calibri" w:hAnsi="Calibri" w:eastAsia="Calibri" w:cs="Calibri"/>
          <w:color w:val="2E74B5"/>
          <w:sz w:val="32"/>
          <w:szCs w:val="32"/>
        </w:rPr>
        <w:t>Technical Report &amp; Design Decisions</w:t>
      </w:r>
    </w:p>
    <w:p w14:paraId="56D196B4">
      <w:pPr>
        <w:spacing w:before="400"/>
        <w:jc w:val="center"/>
      </w:pPr>
      <w:r>
        <w:rPr>
          <w:rFonts w:ascii="Calibri" w:hAnsi="Calibri" w:eastAsia="Calibri" w:cs="Calibri"/>
          <w:i/>
          <w:iCs/>
          <w:sz w:val="22"/>
          <w:szCs w:val="22"/>
        </w:rPr>
        <w:t>English edition — v1.</w:t>
      </w:r>
      <w:r>
        <w:rPr>
          <w:rFonts w:hint="default" w:cs="Calibri"/>
          <w:i/>
          <w:iCs/>
          <w:sz w:val="22"/>
          <w:szCs w:val="22"/>
          <w:lang w:val="tr-TR"/>
        </w:rPr>
        <w:t>5</w:t>
      </w:r>
      <w:r>
        <w:rPr>
          <w:rFonts w:ascii="Calibri" w:hAnsi="Calibri" w:eastAsia="Calibri" w:cs="Calibri"/>
          <w:i/>
          <w:iCs/>
          <w:sz w:val="22"/>
          <w:szCs w:val="22"/>
        </w:rPr>
        <w:t xml:space="preserve"> · August 2026</w:t>
      </w:r>
    </w:p>
    <w:p w14:paraId="0017BDDA">
      <w:pPr>
        <w:spacing w:before="40"/>
        <w:jc w:val="center"/>
      </w:pPr>
      <w:r>
        <w:rPr>
          <w:rFonts w:ascii="Calibri" w:hAnsi="Calibri" w:eastAsia="Calibri" w:cs="Calibri"/>
          <w:i/>
          <w:iCs/>
          <w:color w:val="666666"/>
          <w:sz w:val="20"/>
          <w:szCs w:val="20"/>
        </w:rPr>
        <w:t>Based on Teknik Rapor v1.5 (Turkish), consolidated and updated through the current build</w:t>
      </w:r>
    </w:p>
    <w:p w14:paraId="5880D3D4">
      <w:pPr>
        <w:spacing w:before="700"/>
        <w:jc w:val="center"/>
      </w:pPr>
      <w:r>
        <w:rPr>
          <w:rFonts w:ascii="Calibri" w:hAnsi="Calibri" w:eastAsia="Calibri" w:cs="Calibri"/>
          <w:b/>
          <w:bCs/>
          <w:sz w:val="20"/>
          <w:szCs w:val="20"/>
        </w:rPr>
        <w:t>Audience: AI4SWENG Team — architecture review &amp; hands-on validation</w:t>
      </w:r>
    </w:p>
    <w:p w14:paraId="1926AE83">
      <w:r>
        <w:br w:type="page"/>
      </w:r>
    </w:p>
    <w:p w14:paraId="278581EB">
      <w:pPr>
        <w:pStyle w:val="2"/>
        <w:spacing w:before="360" w:after="160"/>
      </w:pPr>
      <w:r>
        <w:t>1. Purpose &amp; Scope</w:t>
      </w:r>
    </w:p>
    <w:p w14:paraId="4D975D0B">
      <w:pPr>
        <w:spacing w:after="160" w:line="276" w:lineRule="auto"/>
        <w:jc w:val="both"/>
      </w:pPr>
      <w:r>
        <w:rPr>
          <w:rFonts w:ascii="Calibri" w:hAnsi="Calibri" w:eastAsia="Calibri" w:cs="Calibri"/>
          <w:sz w:val="22"/>
          <w:szCs w:val="22"/>
        </w:rPr>
        <w:t xml:space="preserve">This report documents the AI4SWENG Observability Platform as implemented: a central telemetry stack that every KIO microservice pushes metrics, logs, and traces into, plus a lightweight orchestration layer (Workflow API, NATS JetStream, session lineage) that triggers work on those KIOs. </w:t>
      </w:r>
    </w:p>
    <w:p w14:paraId="02BA250D">
      <w:pPr>
        <w:spacing w:after="160" w:line="276" w:lineRule="auto"/>
        <w:jc w:val="both"/>
        <w:rPr>
          <w:highlight w:val="yellow"/>
        </w:rPr>
      </w:pPr>
      <w:r>
        <w:rPr>
          <w:rFonts w:ascii="Calibri" w:hAnsi="Calibri" w:eastAsia="Calibri" w:cs="Calibri"/>
          <w:sz w:val="22"/>
          <w:szCs w:val="22"/>
        </w:rPr>
        <w:t>Two source documents define the intended architecture and are referenced throughout: the “AI4SWENG Observability Integration Contract v1.0” (the normative onboarding contract every KIO must satisfy) and the “AI4SWENG Observability Integration Guide v2” (a more detailed, diagram-heavy proposal covering the same ground plus the orchestration flow). Where this implementation follows them exactly, that is stated once and not repeated. Where it deviates, the deviation is called out explicitly with its rationale — see</w:t>
      </w:r>
      <w:r>
        <w:rPr>
          <w:rFonts w:ascii="Calibri" w:hAnsi="Calibri" w:eastAsia="Calibri" w:cs="Calibri"/>
          <w:sz w:val="22"/>
          <w:szCs w:val="22"/>
          <w:highlight w:val="yellow"/>
        </w:rPr>
        <w:t xml:space="preserve"> Section 10, which is the section most worth reading closely.</w:t>
      </w:r>
    </w:p>
    <w:p w14:paraId="74814C17">
      <w:pPr>
        <w:spacing w:after="160" w:line="276" w:lineRule="auto"/>
        <w:jc w:val="both"/>
      </w:pPr>
      <w:r>
        <w:rPr>
          <w:rFonts w:ascii="Calibri" w:hAnsi="Calibri" w:eastAsia="Calibri" w:cs="Calibri"/>
          <w:sz w:val="22"/>
          <w:szCs w:val="22"/>
        </w:rPr>
        <w:t>Everything described here runs from a single docker-compose.yml, locally or on a remote machine, and requires no code changes to onboard a new KIO — only environment variables.</w:t>
      </w:r>
    </w:p>
    <w:p w14:paraId="4D8D0B02">
      <w:pPr>
        <w:pStyle w:val="2"/>
        <w:spacing w:before="360" w:after="160"/>
      </w:pPr>
      <w:r>
        <w:t>2. Architecture Overview</w:t>
      </w:r>
    </w:p>
    <w:p w14:paraId="1A83AE79">
      <w:pPr>
        <w:spacing w:after="160" w:line="276" w:lineRule="auto"/>
        <w:jc w:val="both"/>
      </w:pPr>
      <w:r>
        <w:rPr>
          <w:rFonts w:ascii="Calibri" w:hAnsi="Calibri" w:eastAsia="Calibri" w:cs="Calibri"/>
          <w:sz w:val="22"/>
          <w:szCs w:val="22"/>
        </w:rPr>
        <w:t>The system has six layers: (1) KIO modules (producers), (2) the OpenTelemetry Collector (the single ingestion gateway every KIO pushes to), (3) VictoriaMetrics (numeric time-series store), (4) VictoriaLogs (unstructured/string telemetry store), (5) Tempo (distributed trace store), and (6) Grafana (the single visualization surface over all three databases). Langfuse runs alongside as a second, independent telemetry stream dedicated to LLM prompt/completion/cost data, and an orchestration layer (NATS JetStream + a Workflow API + a Session Manager backed by Postgres) sits in front of the KIOs to dispatch work and record lineage. All of it comes up from one docker-compose.yml on a single machine.</w:t>
      </w:r>
    </w:p>
    <w:p w14:paraId="471FE90D">
      <w:pPr>
        <w:pStyle w:val="3"/>
        <w:spacing w:before="260" w:after="120"/>
      </w:pPr>
      <w:r>
        <w:t>2.1 Data Flow, As Implemented</w:t>
      </w:r>
    </w:p>
    <w:p w14:paraId="23B533AA">
      <w:pPr>
        <w:spacing w:after="160" w:line="276" w:lineRule="auto"/>
        <w:jc w:val="both"/>
      </w:pPr>
      <w:r>
        <w:rPr>
          <w:rFonts w:ascii="Calibri" w:hAnsi="Calibri" w:eastAsia="Calibri" w:cs="Calibri"/>
          <w:sz w:val="22"/>
          <w:szCs w:val="22"/>
        </w:rPr>
        <w:t>Telemetry always flows from a KIO toward the center (push). A KIO never runs its own collector, never exposes a scrape/pull endpoint, and never talks to a central database directly — this is the contract's most basic constraint and it holds throughout. Metrics and traces travel over OTLP/gRPC to the collector; logs travel over OTLP as well (not via a passive stdout scrape — see Section 10.5 for why). The collector fans out to three storage backends, and Grafana queries all three live, on every dashboard load; nothing is cached or duplicated inside Grafana itself.</w:t>
      </w:r>
    </w:p>
    <w:p w14:paraId="6F449A50">
      <w:pPr>
        <w:pStyle w:val="2"/>
        <w:spacing w:before="360" w:after="160"/>
      </w:pPr>
      <w:r>
        <w:t>3. Components &amp; Technologies</w:t>
      </w:r>
    </w:p>
    <w:p w14:paraId="37A4CA04">
      <w:pPr>
        <w:spacing w:after="160" w:line="276" w:lineRule="auto"/>
        <w:jc w:val="both"/>
      </w:pPr>
      <w:r>
        <w:rPr>
          <w:rFonts w:ascii="Calibri" w:hAnsi="Calibri" w:eastAsia="Calibri" w:cs="Calibri"/>
          <w:sz w:val="22"/>
          <w:szCs w:val="22"/>
        </w:rPr>
        <w:t>Note on naming: there is no Prometheus server anywhere in this stack. “prometheusremotewrite” (the collector's exporter) and the Grafana datasource type “prometheus” are the names of a wire format and query API that VictoriaMetrics itself chose to support for ecosystem compatibility — using those names means talking to VictoriaMetrics, not running a separate Prometheus product.</w:t>
      </w:r>
    </w:p>
    <w:tbl>
      <w:tblPr>
        <w:tblStyle w:val="9"/>
        <w:tblW w:w="10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4700"/>
        <w:gridCol w:w="3000"/>
      </w:tblGrid>
      <w:tr w14:paraId="4EA19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3864"/>
            <w:tcMar>
              <w:top w:w="80" w:type="dxa"/>
              <w:left w:w="100" w:type="dxa"/>
              <w:bottom w:w="80" w:type="dxa"/>
              <w:right w:w="100" w:type="dxa"/>
            </w:tcMar>
          </w:tcPr>
          <w:p w14:paraId="175E6701">
            <w:r>
              <w:rPr>
                <w:rFonts w:ascii="Calibri" w:hAnsi="Calibri" w:eastAsia="Calibri" w:cs="Calibri"/>
                <w:b/>
                <w:bCs/>
                <w:color w:val="FFFFFF"/>
                <w:sz w:val="20"/>
                <w:szCs w:val="20"/>
              </w:rPr>
              <w:t>Component</w:t>
            </w:r>
          </w:p>
        </w:tc>
        <w:tc>
          <w:tcPr>
            <w:tcW w:w="4700" w:type="dxa"/>
            <w:shd w:val="clear" w:color="auto" w:fill="1F3864"/>
            <w:tcMar>
              <w:top w:w="80" w:type="dxa"/>
              <w:left w:w="100" w:type="dxa"/>
              <w:bottom w:w="80" w:type="dxa"/>
              <w:right w:w="100" w:type="dxa"/>
            </w:tcMar>
          </w:tcPr>
          <w:p w14:paraId="0B45A314">
            <w:r>
              <w:rPr>
                <w:rFonts w:ascii="Calibri" w:hAnsi="Calibri" w:eastAsia="Calibri" w:cs="Calibri"/>
                <w:b/>
                <w:bCs/>
                <w:color w:val="FFFFFF"/>
                <w:sz w:val="20"/>
                <w:szCs w:val="20"/>
              </w:rPr>
              <w:t>Role</w:t>
            </w:r>
          </w:p>
        </w:tc>
        <w:tc>
          <w:tcPr>
            <w:tcW w:w="3000" w:type="dxa"/>
            <w:shd w:val="clear" w:color="auto" w:fill="1F3864"/>
            <w:tcMar>
              <w:top w:w="80" w:type="dxa"/>
              <w:left w:w="100" w:type="dxa"/>
              <w:bottom w:w="80" w:type="dxa"/>
              <w:right w:w="100" w:type="dxa"/>
            </w:tcMar>
          </w:tcPr>
          <w:p w14:paraId="3CD20B35">
            <w:r>
              <w:rPr>
                <w:rFonts w:ascii="Calibri" w:hAnsi="Calibri" w:eastAsia="Calibri" w:cs="Calibri"/>
                <w:b/>
                <w:bCs/>
                <w:color w:val="FFFFFF"/>
                <w:sz w:val="20"/>
                <w:szCs w:val="20"/>
              </w:rPr>
              <w:t>Image / Version</w:t>
            </w:r>
          </w:p>
        </w:tc>
      </w:tr>
      <w:tr w14:paraId="689D4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7A91D9E">
            <w:r>
              <w:rPr>
                <w:rFonts w:ascii="Calibri" w:hAnsi="Calibri" w:eastAsia="Calibri" w:cs="Calibri"/>
                <w:b w:val="0"/>
                <w:bCs w:val="0"/>
                <w:color w:val="000000"/>
                <w:sz w:val="20"/>
                <w:szCs w:val="20"/>
              </w:rPr>
              <w:t>OTel Collector</w:t>
            </w:r>
          </w:p>
        </w:tc>
        <w:tc>
          <w:tcPr>
            <w:tcW w:w="4700" w:type="dxa"/>
            <w:tcMar>
              <w:top w:w="80" w:type="dxa"/>
              <w:left w:w="100" w:type="dxa"/>
              <w:bottom w:w="80" w:type="dxa"/>
              <w:right w:w="100" w:type="dxa"/>
            </w:tcMar>
          </w:tcPr>
          <w:p w14:paraId="09E20AA8">
            <w:r>
              <w:rPr>
                <w:rFonts w:ascii="Calibri" w:hAnsi="Calibri" w:eastAsia="Calibri" w:cs="Calibri"/>
                <w:b w:val="0"/>
                <w:bCs w:val="0"/>
                <w:color w:val="000000"/>
                <w:sz w:val="20"/>
                <w:szCs w:val="20"/>
              </w:rPr>
              <w:t>Single OTLP ingestion gateway for every KIO; fans out to the three stores below</w:t>
            </w:r>
          </w:p>
        </w:tc>
        <w:tc>
          <w:tcPr>
            <w:tcW w:w="3000" w:type="dxa"/>
            <w:tcMar>
              <w:top w:w="80" w:type="dxa"/>
              <w:left w:w="100" w:type="dxa"/>
              <w:bottom w:w="80" w:type="dxa"/>
              <w:right w:w="100" w:type="dxa"/>
            </w:tcMar>
          </w:tcPr>
          <w:p w14:paraId="11F7C006">
            <w:r>
              <w:rPr>
                <w:rFonts w:ascii="Calibri" w:hAnsi="Calibri" w:eastAsia="Calibri" w:cs="Calibri"/>
                <w:b w:val="0"/>
                <w:bCs w:val="0"/>
                <w:color w:val="000000"/>
                <w:sz w:val="20"/>
                <w:szCs w:val="20"/>
              </w:rPr>
              <w:t>otel/opentelemetry-collector-contrib:0.109.0</w:t>
            </w:r>
          </w:p>
        </w:tc>
      </w:tr>
      <w:tr w14:paraId="066ABF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3EF72C44">
            <w:r>
              <w:rPr>
                <w:rFonts w:ascii="Calibri" w:hAnsi="Calibri" w:eastAsia="Calibri" w:cs="Calibri"/>
                <w:b w:val="0"/>
                <w:bCs w:val="0"/>
                <w:color w:val="000000"/>
                <w:sz w:val="20"/>
                <w:szCs w:val="20"/>
              </w:rPr>
              <w:t>VictoriaMetrics</w:t>
            </w:r>
          </w:p>
        </w:tc>
        <w:tc>
          <w:tcPr>
            <w:tcW w:w="4700" w:type="dxa"/>
            <w:shd w:val="clear" w:color="auto" w:fill="F2F2F2"/>
            <w:tcMar>
              <w:top w:w="80" w:type="dxa"/>
              <w:left w:w="100" w:type="dxa"/>
              <w:bottom w:w="80" w:type="dxa"/>
              <w:right w:w="100" w:type="dxa"/>
            </w:tcMar>
          </w:tcPr>
          <w:p w14:paraId="66F7F5B6">
            <w:r>
              <w:rPr>
                <w:rFonts w:ascii="Calibri" w:hAnsi="Calibri" w:eastAsia="Calibri" w:cs="Calibri"/>
                <w:b w:val="0"/>
                <w:bCs w:val="0"/>
                <w:color w:val="000000"/>
                <w:sz w:val="20"/>
                <w:szCs w:val="20"/>
              </w:rPr>
              <w:t>Numeric time-series store, Prometheus remote_write-compatible ingest, PromQL</w:t>
            </w:r>
          </w:p>
        </w:tc>
        <w:tc>
          <w:tcPr>
            <w:tcW w:w="3000" w:type="dxa"/>
            <w:shd w:val="clear" w:color="auto" w:fill="F2F2F2"/>
            <w:tcMar>
              <w:top w:w="80" w:type="dxa"/>
              <w:left w:w="100" w:type="dxa"/>
              <w:bottom w:w="80" w:type="dxa"/>
              <w:right w:w="100" w:type="dxa"/>
            </w:tcMar>
          </w:tcPr>
          <w:p w14:paraId="5828EEA8">
            <w:r>
              <w:rPr>
                <w:rFonts w:ascii="Calibri" w:hAnsi="Calibri" w:eastAsia="Calibri" w:cs="Calibri"/>
                <w:b w:val="0"/>
                <w:bCs w:val="0"/>
                <w:color w:val="000000"/>
                <w:sz w:val="20"/>
                <w:szCs w:val="20"/>
              </w:rPr>
              <w:t>victoriametrics:v1.102.1</w:t>
            </w:r>
          </w:p>
        </w:tc>
      </w:tr>
      <w:tr w14:paraId="7092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EDDC845">
            <w:r>
              <w:rPr>
                <w:rFonts w:ascii="Calibri" w:hAnsi="Calibri" w:eastAsia="Calibri" w:cs="Calibri"/>
                <w:b w:val="0"/>
                <w:bCs w:val="0"/>
                <w:color w:val="000000"/>
                <w:sz w:val="20"/>
                <w:szCs w:val="20"/>
              </w:rPr>
              <w:t>VictoriaLogs</w:t>
            </w:r>
          </w:p>
        </w:tc>
        <w:tc>
          <w:tcPr>
            <w:tcW w:w="4700" w:type="dxa"/>
            <w:tcMar>
              <w:top w:w="80" w:type="dxa"/>
              <w:left w:w="100" w:type="dxa"/>
              <w:bottom w:w="80" w:type="dxa"/>
              <w:right w:w="100" w:type="dxa"/>
            </w:tcMar>
          </w:tcPr>
          <w:p w14:paraId="110C535F">
            <w:r>
              <w:rPr>
                <w:rFonts w:ascii="Calibri" w:hAnsi="Calibri" w:eastAsia="Calibri" w:cs="Calibri"/>
                <w:b w:val="0"/>
                <w:bCs w:val="0"/>
                <w:color w:val="000000"/>
                <w:sz w:val="20"/>
                <w:szCs w:val="20"/>
              </w:rPr>
              <w:t>Store for unstructured/string telemetry (OTLP logs), LogsQL</w:t>
            </w:r>
          </w:p>
        </w:tc>
        <w:tc>
          <w:tcPr>
            <w:tcW w:w="3000" w:type="dxa"/>
            <w:tcMar>
              <w:top w:w="80" w:type="dxa"/>
              <w:left w:w="100" w:type="dxa"/>
              <w:bottom w:w="80" w:type="dxa"/>
              <w:right w:w="100" w:type="dxa"/>
            </w:tcMar>
          </w:tcPr>
          <w:p w14:paraId="2A1EE32F">
            <w:r>
              <w:rPr>
                <w:rFonts w:ascii="Calibri" w:hAnsi="Calibri" w:eastAsia="Calibri" w:cs="Calibri"/>
                <w:b w:val="0"/>
                <w:bCs w:val="0"/>
                <w:color w:val="000000"/>
                <w:sz w:val="20"/>
                <w:szCs w:val="20"/>
              </w:rPr>
              <w:t>victoria-logs:v1.52.0</w:t>
            </w:r>
          </w:p>
        </w:tc>
      </w:tr>
      <w:tr w14:paraId="02444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0EA13A27">
            <w:r>
              <w:rPr>
                <w:rFonts w:ascii="Calibri" w:hAnsi="Calibri" w:eastAsia="Calibri" w:cs="Calibri"/>
                <w:b w:val="0"/>
                <w:bCs w:val="0"/>
                <w:color w:val="000000"/>
                <w:sz w:val="20"/>
                <w:szCs w:val="20"/>
              </w:rPr>
              <w:t>Tempo</w:t>
            </w:r>
          </w:p>
        </w:tc>
        <w:tc>
          <w:tcPr>
            <w:tcW w:w="4700" w:type="dxa"/>
            <w:shd w:val="clear" w:color="auto" w:fill="F2F2F2"/>
            <w:tcMar>
              <w:top w:w="80" w:type="dxa"/>
              <w:left w:w="100" w:type="dxa"/>
              <w:bottom w:w="80" w:type="dxa"/>
              <w:right w:w="100" w:type="dxa"/>
            </w:tcMar>
          </w:tcPr>
          <w:p w14:paraId="1F1B694F">
            <w:r>
              <w:rPr>
                <w:rFonts w:ascii="Calibri" w:hAnsi="Calibri" w:eastAsia="Calibri" w:cs="Calibri"/>
                <w:b w:val="0"/>
                <w:bCs w:val="0"/>
                <w:color w:val="000000"/>
                <w:sz w:val="20"/>
                <w:szCs w:val="20"/>
              </w:rPr>
              <w:t>Distributed trace store, monolithic mode / local disk (dev-scale)</w:t>
            </w:r>
          </w:p>
        </w:tc>
        <w:tc>
          <w:tcPr>
            <w:tcW w:w="3000" w:type="dxa"/>
            <w:shd w:val="clear" w:color="auto" w:fill="F2F2F2"/>
            <w:tcMar>
              <w:top w:w="80" w:type="dxa"/>
              <w:left w:w="100" w:type="dxa"/>
              <w:bottom w:w="80" w:type="dxa"/>
              <w:right w:w="100" w:type="dxa"/>
            </w:tcMar>
          </w:tcPr>
          <w:p w14:paraId="26130064">
            <w:r>
              <w:rPr>
                <w:rFonts w:ascii="Calibri" w:hAnsi="Calibri" w:eastAsia="Calibri" w:cs="Calibri"/>
                <w:b w:val="0"/>
                <w:bCs w:val="0"/>
                <w:color w:val="000000"/>
                <w:sz w:val="20"/>
                <w:szCs w:val="20"/>
              </w:rPr>
              <w:t>grafana/tempo:2.10.5</w:t>
            </w:r>
          </w:p>
        </w:tc>
      </w:tr>
      <w:tr w14:paraId="0D44F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2BA3E8F2">
            <w:r>
              <w:rPr>
                <w:rFonts w:ascii="Calibri" w:hAnsi="Calibri" w:eastAsia="Calibri" w:cs="Calibri"/>
                <w:b w:val="0"/>
                <w:bCs w:val="0"/>
                <w:color w:val="000000"/>
                <w:sz w:val="20"/>
                <w:szCs w:val="20"/>
              </w:rPr>
              <w:t>Grafana</w:t>
            </w:r>
          </w:p>
        </w:tc>
        <w:tc>
          <w:tcPr>
            <w:tcW w:w="4700" w:type="dxa"/>
            <w:tcMar>
              <w:top w:w="80" w:type="dxa"/>
              <w:left w:w="100" w:type="dxa"/>
              <w:bottom w:w="80" w:type="dxa"/>
              <w:right w:w="100" w:type="dxa"/>
            </w:tcMar>
          </w:tcPr>
          <w:p w14:paraId="19DF11B8">
            <w:r>
              <w:rPr>
                <w:rFonts w:ascii="Calibri" w:hAnsi="Calibri" w:eastAsia="Calibri" w:cs="Calibri"/>
                <w:b w:val="0"/>
                <w:bCs w:val="0"/>
                <w:color w:val="000000"/>
                <w:sz w:val="20"/>
                <w:szCs w:val="20"/>
              </w:rPr>
              <w:t>Single visualization surface over all three stores above</w:t>
            </w:r>
          </w:p>
        </w:tc>
        <w:tc>
          <w:tcPr>
            <w:tcW w:w="3000" w:type="dxa"/>
            <w:tcMar>
              <w:top w:w="80" w:type="dxa"/>
              <w:left w:w="100" w:type="dxa"/>
              <w:bottom w:w="80" w:type="dxa"/>
              <w:right w:w="100" w:type="dxa"/>
            </w:tcMar>
          </w:tcPr>
          <w:p w14:paraId="68F8E565">
            <w:r>
              <w:rPr>
                <w:rFonts w:ascii="Calibri" w:hAnsi="Calibri" w:eastAsia="Calibri" w:cs="Calibri"/>
                <w:b w:val="0"/>
                <w:bCs w:val="0"/>
                <w:color w:val="000000"/>
                <w:sz w:val="20"/>
                <w:szCs w:val="20"/>
              </w:rPr>
              <w:t>grafana:11.2.0</w:t>
            </w:r>
          </w:p>
        </w:tc>
      </w:tr>
      <w:tr w14:paraId="726C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43E33F10">
            <w:r>
              <w:rPr>
                <w:rFonts w:ascii="Calibri" w:hAnsi="Calibri" w:eastAsia="Calibri" w:cs="Calibri"/>
                <w:b w:val="0"/>
                <w:bCs w:val="0"/>
                <w:color w:val="000000"/>
                <w:sz w:val="20"/>
                <w:szCs w:val="20"/>
              </w:rPr>
              <w:t>Langfuse</w:t>
            </w:r>
          </w:p>
        </w:tc>
        <w:tc>
          <w:tcPr>
            <w:tcW w:w="4700" w:type="dxa"/>
            <w:shd w:val="clear" w:color="auto" w:fill="F2F2F2"/>
            <w:tcMar>
              <w:top w:w="80" w:type="dxa"/>
              <w:left w:w="100" w:type="dxa"/>
              <w:bottom w:w="80" w:type="dxa"/>
              <w:right w:w="100" w:type="dxa"/>
            </w:tcMar>
          </w:tcPr>
          <w:p w14:paraId="506CE351">
            <w:r>
              <w:rPr>
                <w:rFonts w:ascii="Calibri" w:hAnsi="Calibri" w:eastAsia="Calibri" w:cs="Calibri"/>
                <w:b w:val="0"/>
                <w:bCs w:val="0"/>
                <w:color w:val="000000"/>
                <w:sz w:val="20"/>
                <w:szCs w:val="20"/>
              </w:rPr>
              <w:t>Second, independent stream: LLM prompt/completion/cost tracing</w:t>
            </w:r>
          </w:p>
        </w:tc>
        <w:tc>
          <w:tcPr>
            <w:tcW w:w="3000" w:type="dxa"/>
            <w:shd w:val="clear" w:color="auto" w:fill="F2F2F2"/>
            <w:tcMar>
              <w:top w:w="80" w:type="dxa"/>
              <w:left w:w="100" w:type="dxa"/>
              <w:bottom w:w="80" w:type="dxa"/>
              <w:right w:w="100" w:type="dxa"/>
            </w:tcMar>
          </w:tcPr>
          <w:p w14:paraId="62C18BD1">
            <w:r>
              <w:rPr>
                <w:rFonts w:ascii="Calibri" w:hAnsi="Calibri" w:eastAsia="Calibri" w:cs="Calibri"/>
                <w:b w:val="0"/>
                <w:bCs w:val="0"/>
                <w:color w:val="000000"/>
                <w:sz w:val="20"/>
                <w:szCs w:val="20"/>
              </w:rPr>
              <w:t>self-hosted: web + worker + Postgres + ClickHouse + Redis + MinIO</w:t>
            </w:r>
          </w:p>
        </w:tc>
      </w:tr>
      <w:tr w14:paraId="6A3DC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80" w:type="dxa"/>
              <w:left w:w="100" w:type="dxa"/>
              <w:bottom w:w="80" w:type="dxa"/>
              <w:right w:w="100" w:type="dxa"/>
            </w:tcMar>
          </w:tcPr>
          <w:p w14:paraId="7344E96E">
            <w:r>
              <w:rPr>
                <w:rFonts w:ascii="Calibri" w:hAnsi="Calibri" w:eastAsia="Calibri" w:cs="Calibri"/>
                <w:b w:val="0"/>
                <w:bCs w:val="0"/>
                <w:color w:val="000000"/>
                <w:sz w:val="20"/>
                <w:szCs w:val="20"/>
              </w:rPr>
              <w:t>NATS JetStream</w:t>
            </w:r>
          </w:p>
        </w:tc>
        <w:tc>
          <w:tcPr>
            <w:tcW w:w="4700" w:type="dxa"/>
            <w:tcMar>
              <w:top w:w="80" w:type="dxa"/>
              <w:left w:w="100" w:type="dxa"/>
              <w:bottom w:w="80" w:type="dxa"/>
              <w:right w:w="100" w:type="dxa"/>
            </w:tcMar>
          </w:tcPr>
          <w:p w14:paraId="4BD02A19">
            <w:r>
              <w:rPr>
                <w:rFonts w:ascii="Calibri" w:hAnsi="Calibri" w:eastAsia="Calibri" w:cs="Calibri"/>
                <w:b w:val="0"/>
                <w:bCs w:val="0"/>
                <w:color w:val="000000"/>
                <w:sz w:val="20"/>
                <w:szCs w:val="20"/>
              </w:rPr>
              <w:t>Task-dispatch transport for the orchestration layer</w:t>
            </w:r>
          </w:p>
        </w:tc>
        <w:tc>
          <w:tcPr>
            <w:tcW w:w="3000" w:type="dxa"/>
            <w:tcMar>
              <w:top w:w="80" w:type="dxa"/>
              <w:left w:w="100" w:type="dxa"/>
              <w:bottom w:w="80" w:type="dxa"/>
              <w:right w:w="100" w:type="dxa"/>
            </w:tcMar>
          </w:tcPr>
          <w:p w14:paraId="537820B8">
            <w:r>
              <w:rPr>
                <w:rFonts w:ascii="Calibri" w:hAnsi="Calibri" w:eastAsia="Calibri" w:cs="Calibri"/>
                <w:b w:val="0"/>
                <w:bCs w:val="0"/>
                <w:color w:val="000000"/>
                <w:sz w:val="20"/>
                <w:szCs w:val="20"/>
              </w:rPr>
              <w:t>nats:2.10-alpine</w:t>
            </w:r>
          </w:p>
        </w:tc>
      </w:tr>
      <w:tr w14:paraId="7C9E95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2F2"/>
            <w:tcMar>
              <w:top w:w="80" w:type="dxa"/>
              <w:left w:w="100" w:type="dxa"/>
              <w:bottom w:w="80" w:type="dxa"/>
              <w:right w:w="100" w:type="dxa"/>
            </w:tcMar>
          </w:tcPr>
          <w:p w14:paraId="1EAE5DB9">
            <w:r>
              <w:rPr>
                <w:rFonts w:ascii="Calibri" w:hAnsi="Calibri" w:eastAsia="Calibri" w:cs="Calibri"/>
                <w:b w:val="0"/>
                <w:bCs w:val="0"/>
                <w:color w:val="000000"/>
                <w:sz w:val="20"/>
                <w:szCs w:val="20"/>
              </w:rPr>
              <w:t>Orchestrator Postgres</w:t>
            </w:r>
          </w:p>
        </w:tc>
        <w:tc>
          <w:tcPr>
            <w:tcW w:w="4700" w:type="dxa"/>
            <w:shd w:val="clear" w:color="auto" w:fill="F2F2F2"/>
            <w:tcMar>
              <w:top w:w="80" w:type="dxa"/>
              <w:left w:w="100" w:type="dxa"/>
              <w:bottom w:w="80" w:type="dxa"/>
              <w:right w:w="100" w:type="dxa"/>
            </w:tcMar>
          </w:tcPr>
          <w:p w14:paraId="28A88CBD">
            <w:r>
              <w:rPr>
                <w:rFonts w:ascii="Calibri" w:hAnsi="Calibri" w:eastAsia="Calibri" w:cs="Calibri"/>
                <w:b w:val="0"/>
                <w:bCs w:val="0"/>
                <w:color w:val="000000"/>
                <w:sz w:val="20"/>
                <w:szCs w:val="20"/>
              </w:rPr>
              <w:t>Session state + lineage history for the orchestration layer</w:t>
            </w:r>
          </w:p>
        </w:tc>
        <w:tc>
          <w:tcPr>
            <w:tcW w:w="3000" w:type="dxa"/>
            <w:shd w:val="clear" w:color="auto" w:fill="F2F2F2"/>
            <w:tcMar>
              <w:top w:w="80" w:type="dxa"/>
              <w:left w:w="100" w:type="dxa"/>
              <w:bottom w:w="80" w:type="dxa"/>
              <w:right w:w="100" w:type="dxa"/>
            </w:tcMar>
          </w:tcPr>
          <w:p w14:paraId="1EA5CE60">
            <w:r>
              <w:rPr>
                <w:rFonts w:ascii="Calibri" w:hAnsi="Calibri" w:eastAsia="Calibri" w:cs="Calibri"/>
                <w:b w:val="0"/>
                <w:bCs w:val="0"/>
                <w:color w:val="000000"/>
                <w:sz w:val="20"/>
                <w:szCs w:val="20"/>
              </w:rPr>
              <w:t>postgres:16-alpine</w:t>
            </w:r>
          </w:p>
        </w:tc>
      </w:tr>
    </w:tbl>
    <w:p w14:paraId="67FECC50">
      <w:pPr>
        <w:spacing w:after="160" w:line="276" w:lineRule="auto"/>
      </w:pPr>
    </w:p>
    <w:p w14:paraId="6BDEC6C4">
      <w:pPr>
        <w:spacing w:after="160" w:line="276" w:lineRule="auto"/>
      </w:pPr>
      <w:r>
        <w:rPr>
          <w:rFonts w:ascii="Calibri" w:hAnsi="Calibri" w:eastAsia="Calibri" w:cs="Calibri"/>
          <w:sz w:val="22"/>
          <w:szCs w:val="22"/>
        </w:rPr>
        <w:t>VictoriaMetrics and VictoriaLogs are chosen over Prometheus + Loki deliberately — see Sections 10.1 and 10.4.</w:t>
      </w:r>
    </w:p>
    <w:p w14:paraId="30488E5B">
      <w:pPr>
        <w:pStyle w:val="2"/>
        <w:spacing w:before="360" w:after="160"/>
      </w:pPr>
      <w:r>
        <w:t>4. End-to-End Data Flow — Details</w:t>
      </w:r>
    </w:p>
    <w:p w14:paraId="6ADCC4E9">
      <w:pPr>
        <w:pStyle w:val="3"/>
        <w:spacing w:before="260" w:after="120"/>
        <w:jc w:val="both"/>
      </w:pPr>
      <w:r>
        <w:t>4.1 KIO → Collector</w:t>
      </w:r>
    </w:p>
    <w:p w14:paraId="022F49FE">
      <w:pPr>
        <w:spacing w:after="160" w:line="276" w:lineRule="auto"/>
        <w:jc w:val="both"/>
      </w:pPr>
      <w:r>
        <w:rPr>
          <w:rFonts w:ascii="Calibri" w:hAnsi="Calibri" w:eastAsia="Calibri" w:cs="Calibri"/>
          <w:sz w:val="22"/>
          <w:szCs w:val="22"/>
        </w:rPr>
        <w:t>Each KIO runs an OpenTelemetry MeterProvider (metrics), LoggerProvider (logs), and TracerProvider (traces), exporting over OTLP/gRPC to the collector every 15 seconds (PeriodicExportingMetricReader, aligned with the v2 guideline's recommended interval — see Section 10.5). Every metric and log record carries correlation attributes via the OTel Resource object: service.name, service.version, kio.id, deployment.environment, llm, task_type. The collector's resource_to_telemetry_conversion setting promotes these automatically into metric labels.</w:t>
      </w:r>
    </w:p>
    <w:p w14:paraId="6E04FA92">
      <w:pPr>
        <w:spacing w:after="160" w:line="276" w:lineRule="auto"/>
        <w:jc w:val="both"/>
      </w:pPr>
      <w:r>
        <w:rPr>
          <w:rFonts w:ascii="Calibri" w:hAnsi="Calibri" w:eastAsia="Calibri" w:cs="Calibri"/>
          <w:sz w:val="22"/>
          <w:szCs w:val="22"/>
        </w:rPr>
        <w:t xml:space="preserve">As of August 2026 the collector's </w:t>
      </w:r>
      <w:r>
        <w:rPr>
          <w:rFonts w:ascii="Calibri" w:hAnsi="Calibri" w:eastAsia="Calibri" w:cs="Calibri"/>
          <w:sz w:val="22"/>
          <w:szCs w:val="22"/>
          <w:highlight w:val="yellow"/>
        </w:rPr>
        <w:t>OTLP receiver (both gRPC:4317 and HTTP:4318) requires a Bearer token</w:t>
      </w:r>
      <w:r>
        <w:rPr>
          <w:rFonts w:ascii="Calibri" w:hAnsi="Calibri" w:eastAsia="Calibri" w:cs="Calibri"/>
          <w:sz w:val="22"/>
          <w:szCs w:val="22"/>
        </w:rPr>
        <w:t xml:space="preserve"> — the bearertokenauth extension rejects any call without a matching Authorization header. TLS itself is still not enabled; see Section 9.3 and Section 10.5 for the current status and rationale.</w:t>
      </w:r>
    </w:p>
    <w:p w14:paraId="2466EA6D">
      <w:pPr>
        <w:pStyle w:val="3"/>
        <w:spacing w:before="260" w:after="120"/>
        <w:jc w:val="both"/>
      </w:pPr>
      <w:r>
        <w:t>4.2 Routing Inside the Collector</w:t>
      </w:r>
    </w:p>
    <w:p w14:paraId="7DF570AE">
      <w:pPr>
        <w:spacing w:after="160" w:line="276" w:lineRule="auto"/>
        <w:jc w:val="both"/>
        <w:rPr>
          <w:rFonts w:ascii="Calibri" w:hAnsi="Calibri" w:eastAsia="Calibri" w:cs="Calibri"/>
          <w:sz w:val="22"/>
          <w:szCs w:val="22"/>
        </w:rPr>
      </w:pPr>
      <w:r>
        <w:rPr>
          <w:rFonts w:ascii="Calibri" w:hAnsi="Calibri" w:eastAsia="Calibri" w:cs="Calibri"/>
          <w:sz w:val="22"/>
          <w:szCs w:val="22"/>
        </w:rPr>
        <w:t xml:space="preserve">otel-collector/config.yaml defines three pipelines, all sharing the same OTLP receiver but exporting to different backends: </w:t>
      </w:r>
    </w:p>
    <w:p w14:paraId="063C956A">
      <w:pPr>
        <w:spacing w:after="160" w:line="276" w:lineRule="auto"/>
        <w:jc w:val="both"/>
        <w:rPr>
          <w:rFonts w:ascii="Calibri" w:hAnsi="Calibri" w:eastAsia="Calibri" w:cs="Calibri"/>
          <w:sz w:val="22"/>
          <w:szCs w:val="22"/>
        </w:rPr>
      </w:pPr>
      <w:r>
        <w:rPr>
          <w:rFonts w:hint="default" w:cs="Calibri"/>
          <w:sz w:val="22"/>
          <w:szCs w:val="22"/>
          <w:lang w:val="tr-TR"/>
        </w:rPr>
        <w:t xml:space="preserve">- </w:t>
      </w:r>
      <w:r>
        <w:rPr>
          <w:rFonts w:ascii="Calibri" w:hAnsi="Calibri" w:eastAsia="Calibri" w:cs="Calibri"/>
          <w:sz w:val="22"/>
          <w:szCs w:val="22"/>
        </w:rPr>
        <w:t xml:space="preserve">metrics → prometheusremotewrite → VictoriaMetrics, </w:t>
      </w:r>
    </w:p>
    <w:p w14:paraId="4D89ADCD">
      <w:pPr>
        <w:spacing w:after="160" w:line="276" w:lineRule="auto"/>
        <w:jc w:val="both"/>
        <w:rPr>
          <w:rFonts w:ascii="Calibri" w:hAnsi="Calibri" w:eastAsia="Calibri" w:cs="Calibri"/>
          <w:sz w:val="22"/>
          <w:szCs w:val="22"/>
        </w:rPr>
      </w:pPr>
      <w:r>
        <w:rPr>
          <w:rFonts w:hint="default" w:cs="Calibri"/>
          <w:sz w:val="22"/>
          <w:szCs w:val="22"/>
          <w:lang w:val="tr-TR"/>
        </w:rPr>
        <w:t xml:space="preserve">- </w:t>
      </w:r>
      <w:r>
        <w:rPr>
          <w:rFonts w:ascii="Calibri" w:hAnsi="Calibri" w:eastAsia="Calibri" w:cs="Calibri"/>
          <w:sz w:val="22"/>
          <w:szCs w:val="22"/>
        </w:rPr>
        <w:t xml:space="preserve">logs → otlphttp → VictoriaLogs, </w:t>
      </w:r>
    </w:p>
    <w:p w14:paraId="1059A859">
      <w:pPr>
        <w:spacing w:after="160" w:line="276" w:lineRule="auto"/>
        <w:jc w:val="both"/>
      </w:pPr>
      <w:r>
        <w:rPr>
          <w:rFonts w:hint="default" w:cs="Calibri"/>
          <w:sz w:val="22"/>
          <w:szCs w:val="22"/>
          <w:lang w:val="tr-TR"/>
        </w:rPr>
        <w:t xml:space="preserve">- </w:t>
      </w:r>
      <w:r>
        <w:rPr>
          <w:rFonts w:ascii="Calibri" w:hAnsi="Calibri" w:eastAsia="Calibri" w:cs="Calibri"/>
          <w:sz w:val="22"/>
          <w:szCs w:val="22"/>
        </w:rPr>
        <w:t>traces → otlp → Tempo. add_metric_suffixes is disabled so metric names stay the dot-notation-derived underscore form the contract expects (kio.request.count → kio_request_count), with no extraneous _total suffix.</w:t>
      </w:r>
    </w:p>
    <w:p w14:paraId="5189B70A">
      <w:pPr>
        <w:pStyle w:val="3"/>
        <w:spacing w:before="260" w:after="120"/>
        <w:jc w:val="both"/>
      </w:pPr>
      <w:r>
        <w:t>4.3 Storage Layer</w:t>
      </w:r>
    </w:p>
    <w:p w14:paraId="0AFCDFD9">
      <w:pPr>
        <w:spacing w:after="160" w:line="276" w:lineRule="auto"/>
        <w:jc w:val="both"/>
      </w:pPr>
      <w:r>
        <w:rPr>
          <w:rFonts w:ascii="Calibri" w:hAnsi="Calibri" w:eastAsia="Calibri" w:cs="Calibri"/>
          <w:sz w:val="22"/>
          <w:szCs w:val="22"/>
        </w:rPr>
        <w:t>VictoriaMetrics only accepts numeric time series and cannot hold a free-text value. Any free text — an LLM output summary, an analysis note, an error description — goes to VictoriaLogs instead, over OTLP logs, and is queried with LogsQL (e.g. kio.id:kio2-sim). This split is one of the more consequential design decisions in the system — see Section 10.4.</w:t>
      </w:r>
    </w:p>
    <w:p w14:paraId="456DCEA2">
      <w:pPr>
        <w:pStyle w:val="3"/>
        <w:spacing w:before="260" w:after="120"/>
        <w:jc w:val="both"/>
      </w:pPr>
      <w:r>
        <w:t>4.4 Grafana → Databases</w:t>
      </w:r>
    </w:p>
    <w:p w14:paraId="611C82A2">
      <w:pPr>
        <w:spacing w:after="160" w:line="276" w:lineRule="auto"/>
        <w:jc w:val="both"/>
      </w:pPr>
      <w:r>
        <w:rPr>
          <w:rFonts w:ascii="Calibri" w:hAnsi="Calibri" w:eastAsia="Calibri" w:cs="Calibri"/>
          <w:sz w:val="22"/>
          <w:szCs w:val="22"/>
        </w:rPr>
        <w:t>Grafana stores no telemetry itself; every panel issues a live query against VictoriaMetrics (PromQL), VictoriaLogs (LogsQL), or Tempo (TraceQL) each time it renders. Both datasources are auto-provisioned from grafana/provisioning/datasources/datasources.yml.</w:t>
      </w:r>
    </w:p>
    <w:p w14:paraId="2EDAD843">
      <w:pPr>
        <w:pStyle w:val="2"/>
        <w:spacing w:before="360" w:after="160"/>
      </w:pPr>
      <w:r>
        <w:t>5. KIO Simulators</w:t>
      </w:r>
    </w:p>
    <w:p w14:paraId="5CBE294D">
      <w:pPr>
        <w:spacing w:after="160" w:line="276" w:lineRule="auto"/>
        <w:jc w:val="both"/>
      </w:pPr>
      <w:r>
        <w:rPr>
          <w:rFonts w:ascii="Calibri" w:hAnsi="Calibri" w:eastAsia="Calibri" w:cs="Calibri"/>
          <w:sz w:val="22"/>
          <w:szCs w:val="22"/>
        </w:rPr>
        <w:t>Six KIO simulators run today, all built from the same source (kio-simulator/kio_simulator.py + Dockerfile) — the only difference between them is environment variables in docker-compose.yml. Adding a new KIO identity requires no code change, only a new service block.</w:t>
      </w:r>
    </w:p>
    <w:tbl>
      <w:tblPr>
        <w:tblStyle w:val="9"/>
        <w:tblW w:w="111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2000"/>
        <w:gridCol w:w="2600"/>
        <w:gridCol w:w="2400"/>
        <w:gridCol w:w="2600"/>
      </w:tblGrid>
      <w:tr w14:paraId="06D59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3864"/>
            <w:tcMar>
              <w:top w:w="80" w:type="dxa"/>
              <w:left w:w="100" w:type="dxa"/>
              <w:bottom w:w="80" w:type="dxa"/>
              <w:right w:w="100" w:type="dxa"/>
            </w:tcMar>
          </w:tcPr>
          <w:p w14:paraId="7892D727">
            <w:r>
              <w:rPr>
                <w:rFonts w:ascii="Calibri" w:hAnsi="Calibri" w:eastAsia="Calibri" w:cs="Calibri"/>
                <w:b/>
                <w:bCs/>
                <w:color w:val="FFFFFF"/>
                <w:sz w:val="20"/>
                <w:szCs w:val="20"/>
              </w:rPr>
              <w:t>KIO</w:t>
            </w:r>
          </w:p>
        </w:tc>
        <w:tc>
          <w:tcPr>
            <w:tcW w:w="2000" w:type="dxa"/>
            <w:shd w:val="clear" w:color="auto" w:fill="1F3864"/>
            <w:tcMar>
              <w:top w:w="80" w:type="dxa"/>
              <w:left w:w="100" w:type="dxa"/>
              <w:bottom w:w="80" w:type="dxa"/>
              <w:right w:w="100" w:type="dxa"/>
            </w:tcMar>
          </w:tcPr>
          <w:p w14:paraId="6257F2B9">
            <w:r>
              <w:rPr>
                <w:rFonts w:ascii="Calibri" w:hAnsi="Calibri" w:eastAsia="Calibri" w:cs="Calibri"/>
                <w:b/>
                <w:bCs/>
                <w:color w:val="FFFFFF"/>
                <w:sz w:val="20"/>
                <w:szCs w:val="20"/>
              </w:rPr>
              <w:t>Nominal LLM</w:t>
            </w:r>
          </w:p>
        </w:tc>
        <w:tc>
          <w:tcPr>
            <w:tcW w:w="2600" w:type="dxa"/>
            <w:shd w:val="clear" w:color="auto" w:fill="1F3864"/>
            <w:tcMar>
              <w:top w:w="80" w:type="dxa"/>
              <w:left w:w="100" w:type="dxa"/>
              <w:bottom w:w="80" w:type="dxa"/>
              <w:right w:w="100" w:type="dxa"/>
            </w:tcMar>
          </w:tcPr>
          <w:p w14:paraId="6FD66668">
            <w:r>
              <w:rPr>
                <w:rFonts w:ascii="Calibri" w:hAnsi="Calibri" w:eastAsia="Calibri" w:cs="Calibri"/>
                <w:b/>
                <w:bCs/>
                <w:color w:val="FFFFFF"/>
                <w:sz w:val="20"/>
                <w:szCs w:val="20"/>
              </w:rPr>
              <w:t>task_type</w:t>
            </w:r>
          </w:p>
        </w:tc>
        <w:tc>
          <w:tcPr>
            <w:tcW w:w="2400" w:type="dxa"/>
            <w:shd w:val="clear" w:color="auto" w:fill="1F3864"/>
            <w:tcMar>
              <w:top w:w="80" w:type="dxa"/>
              <w:left w:w="100" w:type="dxa"/>
              <w:bottom w:w="80" w:type="dxa"/>
              <w:right w:w="100" w:type="dxa"/>
            </w:tcMar>
          </w:tcPr>
          <w:p w14:paraId="04F0907E">
            <w:r>
              <w:rPr>
                <w:rFonts w:ascii="Calibri" w:hAnsi="Calibri" w:eastAsia="Calibri" w:cs="Calibri"/>
                <w:b/>
                <w:bCs/>
                <w:color w:val="FFFFFF"/>
                <w:sz w:val="20"/>
                <w:szCs w:val="20"/>
              </w:rPr>
              <w:t>D1.1 role (KIO_REAL_KPI_ROLE)</w:t>
            </w:r>
          </w:p>
        </w:tc>
        <w:tc>
          <w:tcPr>
            <w:tcW w:w="2600" w:type="dxa"/>
            <w:shd w:val="clear" w:color="auto" w:fill="1F3864"/>
            <w:tcMar>
              <w:top w:w="80" w:type="dxa"/>
              <w:left w:w="100" w:type="dxa"/>
              <w:bottom w:w="80" w:type="dxa"/>
              <w:right w:w="100" w:type="dxa"/>
            </w:tcMar>
          </w:tcPr>
          <w:p w14:paraId="3730B631">
            <w:r>
              <w:rPr>
                <w:rFonts w:ascii="Calibri" w:hAnsi="Calibri" w:eastAsia="Calibri" w:cs="Calibri"/>
                <w:b/>
                <w:bCs/>
                <w:color w:val="FFFFFF"/>
                <w:sz w:val="20"/>
                <w:szCs w:val="20"/>
              </w:rPr>
              <w:t>D1.1 KPIs emitted</w:t>
            </w:r>
          </w:p>
        </w:tc>
      </w:tr>
      <w:tr w14:paraId="46D4C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2A40C1EE">
            <w:r>
              <w:rPr>
                <w:rFonts w:ascii="Calibri" w:hAnsi="Calibri" w:eastAsia="Calibri" w:cs="Calibri"/>
                <w:b w:val="0"/>
                <w:bCs w:val="0"/>
                <w:color w:val="000000"/>
                <w:sz w:val="20"/>
                <w:szCs w:val="20"/>
              </w:rPr>
              <w:t>kio2-sim</w:t>
            </w:r>
          </w:p>
        </w:tc>
        <w:tc>
          <w:tcPr>
            <w:tcW w:w="2000" w:type="dxa"/>
            <w:tcMar>
              <w:top w:w="80" w:type="dxa"/>
              <w:left w:w="100" w:type="dxa"/>
              <w:bottom w:w="80" w:type="dxa"/>
              <w:right w:w="100" w:type="dxa"/>
            </w:tcMar>
          </w:tcPr>
          <w:p w14:paraId="4431B4C4">
            <w:r>
              <w:rPr>
                <w:rFonts w:ascii="Calibri" w:hAnsi="Calibri" w:eastAsia="Calibri" w:cs="Calibri"/>
                <w:b w:val="0"/>
                <w:bCs w:val="0"/>
                <w:color w:val="000000"/>
                <w:sz w:val="20"/>
                <w:szCs w:val="20"/>
              </w:rPr>
              <w:t>qwen2.5:3b</w:t>
            </w:r>
          </w:p>
        </w:tc>
        <w:tc>
          <w:tcPr>
            <w:tcW w:w="2600" w:type="dxa"/>
            <w:tcMar>
              <w:top w:w="80" w:type="dxa"/>
              <w:left w:w="100" w:type="dxa"/>
              <w:bottom w:w="80" w:type="dxa"/>
              <w:right w:w="100" w:type="dxa"/>
            </w:tcMar>
          </w:tcPr>
          <w:p w14:paraId="1839B13B">
            <w:r>
              <w:rPr>
                <w:rFonts w:ascii="Calibri" w:hAnsi="Calibri" w:eastAsia="Calibri" w:cs="Calibri"/>
                <w:b w:val="0"/>
                <w:bCs w:val="0"/>
                <w:color w:val="000000"/>
                <w:sz w:val="20"/>
                <w:szCs w:val="20"/>
              </w:rPr>
              <w:t>code-analysis</w:t>
            </w:r>
          </w:p>
        </w:tc>
        <w:tc>
          <w:tcPr>
            <w:tcW w:w="2400" w:type="dxa"/>
            <w:tcMar>
              <w:top w:w="80" w:type="dxa"/>
              <w:left w:w="100" w:type="dxa"/>
              <w:bottom w:w="80" w:type="dxa"/>
              <w:right w:w="100" w:type="dxa"/>
            </w:tcMar>
          </w:tcPr>
          <w:p w14:paraId="77735082">
            <w:r>
              <w:rPr>
                <w:rFonts w:ascii="Calibri" w:hAnsi="Calibri" w:eastAsia="Calibri" w:cs="Calibri"/>
                <w:b w:val="0"/>
                <w:bCs w:val="0"/>
                <w:color w:val="000000"/>
                <w:sz w:val="20"/>
                <w:szCs w:val="20"/>
              </w:rPr>
              <w:t>bugfix</w:t>
            </w:r>
          </w:p>
        </w:tc>
        <w:tc>
          <w:tcPr>
            <w:tcW w:w="2600" w:type="dxa"/>
            <w:tcMar>
              <w:top w:w="80" w:type="dxa"/>
              <w:left w:w="100" w:type="dxa"/>
              <w:bottom w:w="80" w:type="dxa"/>
              <w:right w:w="100" w:type="dxa"/>
            </w:tcMar>
          </w:tcPr>
          <w:p w14:paraId="54AB2C37">
            <w:r>
              <w:rPr>
                <w:rFonts w:ascii="Calibri" w:hAnsi="Calibri" w:eastAsia="Calibri" w:cs="Calibri"/>
                <w:b w:val="0"/>
                <w:bCs w:val="0"/>
                <w:color w:val="000000"/>
                <w:sz w:val="20"/>
                <w:szCs w:val="20"/>
              </w:rPr>
              <w:t>6.1, 1.2, 6.2 + WP3 slicing success</w:t>
            </w:r>
          </w:p>
        </w:tc>
      </w:tr>
      <w:tr w14:paraId="1EFD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tcPr>
          <w:p w14:paraId="6ECCCD27">
            <w:r>
              <w:rPr>
                <w:rFonts w:ascii="Calibri" w:hAnsi="Calibri" w:eastAsia="Calibri" w:cs="Calibri"/>
                <w:b w:val="0"/>
                <w:bCs w:val="0"/>
                <w:color w:val="000000"/>
                <w:sz w:val="20"/>
                <w:szCs w:val="20"/>
              </w:rPr>
              <w:t>kio3</w:t>
            </w:r>
          </w:p>
        </w:tc>
        <w:tc>
          <w:tcPr>
            <w:tcW w:w="2000" w:type="dxa"/>
            <w:shd w:val="clear" w:color="auto" w:fill="F2F2F2"/>
            <w:tcMar>
              <w:top w:w="80" w:type="dxa"/>
              <w:left w:w="100" w:type="dxa"/>
              <w:bottom w:w="80" w:type="dxa"/>
              <w:right w:w="100" w:type="dxa"/>
            </w:tcMar>
          </w:tcPr>
          <w:p w14:paraId="17DF582E">
            <w:r>
              <w:rPr>
                <w:rFonts w:ascii="Calibri" w:hAnsi="Calibri" w:eastAsia="Calibri" w:cs="Calibri"/>
                <w:b w:val="0"/>
                <w:bCs w:val="0"/>
                <w:color w:val="000000"/>
                <w:sz w:val="20"/>
                <w:szCs w:val="20"/>
              </w:rPr>
              <w:t>llama3.1:8b</w:t>
            </w:r>
          </w:p>
        </w:tc>
        <w:tc>
          <w:tcPr>
            <w:tcW w:w="2600" w:type="dxa"/>
            <w:shd w:val="clear" w:color="auto" w:fill="F2F2F2"/>
            <w:tcMar>
              <w:top w:w="80" w:type="dxa"/>
              <w:left w:w="100" w:type="dxa"/>
              <w:bottom w:w="80" w:type="dxa"/>
              <w:right w:w="100" w:type="dxa"/>
            </w:tcMar>
          </w:tcPr>
          <w:p w14:paraId="46EFD903">
            <w:r>
              <w:rPr>
                <w:rFonts w:ascii="Calibri" w:hAnsi="Calibri" w:eastAsia="Calibri" w:cs="Calibri"/>
                <w:b w:val="0"/>
                <w:bCs w:val="0"/>
                <w:color w:val="000000"/>
                <w:sz w:val="20"/>
                <w:szCs w:val="20"/>
              </w:rPr>
              <w:t>nlp-requirements</w:t>
            </w:r>
          </w:p>
        </w:tc>
        <w:tc>
          <w:tcPr>
            <w:tcW w:w="2400" w:type="dxa"/>
            <w:shd w:val="clear" w:color="auto" w:fill="F2F2F2"/>
            <w:tcMar>
              <w:top w:w="80" w:type="dxa"/>
              <w:left w:w="100" w:type="dxa"/>
              <w:bottom w:w="80" w:type="dxa"/>
              <w:right w:w="100" w:type="dxa"/>
            </w:tcMar>
          </w:tcPr>
          <w:p w14:paraId="696B0F6E">
            <w:r>
              <w:rPr>
                <w:rFonts w:ascii="Calibri" w:hAnsi="Calibri" w:eastAsia="Calibri" w:cs="Calibri"/>
                <w:b w:val="0"/>
                <w:bCs w:val="0"/>
                <w:color w:val="000000"/>
                <w:sz w:val="20"/>
                <w:szCs w:val="20"/>
              </w:rPr>
              <w:t>nlp-requirements</w:t>
            </w:r>
          </w:p>
        </w:tc>
        <w:tc>
          <w:tcPr>
            <w:tcW w:w="2600" w:type="dxa"/>
            <w:shd w:val="clear" w:color="auto" w:fill="F2F2F2"/>
            <w:tcMar>
              <w:top w:w="80" w:type="dxa"/>
              <w:left w:w="100" w:type="dxa"/>
              <w:bottom w:w="80" w:type="dxa"/>
              <w:right w:w="100" w:type="dxa"/>
            </w:tcMar>
          </w:tcPr>
          <w:p w14:paraId="6B19242B">
            <w:r>
              <w:rPr>
                <w:rFonts w:ascii="Calibri" w:hAnsi="Calibri" w:eastAsia="Calibri" w:cs="Calibri"/>
                <w:b w:val="0"/>
                <w:bCs w:val="0"/>
                <w:color w:val="000000"/>
                <w:sz w:val="20"/>
                <w:szCs w:val="20"/>
              </w:rPr>
              <w:t>1.1, 3.1</w:t>
            </w:r>
          </w:p>
        </w:tc>
      </w:tr>
      <w:tr w14:paraId="0C15B4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368178B1">
            <w:r>
              <w:rPr>
                <w:rFonts w:ascii="Calibri" w:hAnsi="Calibri" w:eastAsia="Calibri" w:cs="Calibri"/>
                <w:b w:val="0"/>
                <w:bCs w:val="0"/>
                <w:color w:val="000000"/>
                <w:sz w:val="20"/>
                <w:szCs w:val="20"/>
              </w:rPr>
              <w:t>kio4</w:t>
            </w:r>
          </w:p>
        </w:tc>
        <w:tc>
          <w:tcPr>
            <w:tcW w:w="2000" w:type="dxa"/>
            <w:tcMar>
              <w:top w:w="80" w:type="dxa"/>
              <w:left w:w="100" w:type="dxa"/>
              <w:bottom w:w="80" w:type="dxa"/>
              <w:right w:w="100" w:type="dxa"/>
            </w:tcMar>
          </w:tcPr>
          <w:p w14:paraId="52D704C0">
            <w:r>
              <w:rPr>
                <w:rFonts w:ascii="Calibri" w:hAnsi="Calibri" w:eastAsia="Calibri" w:cs="Calibri"/>
                <w:b w:val="0"/>
                <w:bCs w:val="0"/>
                <w:color w:val="000000"/>
                <w:sz w:val="20"/>
                <w:szCs w:val="20"/>
              </w:rPr>
              <w:t>gpt-4o-mini</w:t>
            </w:r>
          </w:p>
        </w:tc>
        <w:tc>
          <w:tcPr>
            <w:tcW w:w="2600" w:type="dxa"/>
            <w:tcMar>
              <w:top w:w="80" w:type="dxa"/>
              <w:left w:w="100" w:type="dxa"/>
              <w:bottom w:w="80" w:type="dxa"/>
              <w:right w:w="100" w:type="dxa"/>
            </w:tcMar>
          </w:tcPr>
          <w:p w14:paraId="4F8A9E96">
            <w:r>
              <w:rPr>
                <w:rFonts w:ascii="Calibri" w:hAnsi="Calibri" w:eastAsia="Calibri" w:cs="Calibri"/>
                <w:b w:val="0"/>
                <w:bCs w:val="0"/>
                <w:color w:val="000000"/>
                <w:sz w:val="20"/>
                <w:szCs w:val="20"/>
              </w:rPr>
              <w:t>architecture-to-code</w:t>
            </w:r>
          </w:p>
        </w:tc>
        <w:tc>
          <w:tcPr>
            <w:tcW w:w="2400" w:type="dxa"/>
            <w:tcMar>
              <w:top w:w="80" w:type="dxa"/>
              <w:left w:w="100" w:type="dxa"/>
              <w:bottom w:w="80" w:type="dxa"/>
              <w:right w:w="100" w:type="dxa"/>
            </w:tcMar>
          </w:tcPr>
          <w:p w14:paraId="35320E07">
            <w:r>
              <w:rPr>
                <w:rFonts w:ascii="Calibri" w:hAnsi="Calibri" w:eastAsia="Calibri" w:cs="Calibri"/>
                <w:b w:val="0"/>
                <w:bCs w:val="0"/>
                <w:color w:val="000000"/>
                <w:sz w:val="20"/>
                <w:szCs w:val="20"/>
              </w:rPr>
              <w:t>architecture-to-code</w:t>
            </w:r>
          </w:p>
        </w:tc>
        <w:tc>
          <w:tcPr>
            <w:tcW w:w="2600" w:type="dxa"/>
            <w:tcMar>
              <w:top w:w="80" w:type="dxa"/>
              <w:left w:w="100" w:type="dxa"/>
              <w:bottom w:w="80" w:type="dxa"/>
              <w:right w:w="100" w:type="dxa"/>
            </w:tcMar>
          </w:tcPr>
          <w:p w14:paraId="53508A0B">
            <w:r>
              <w:rPr>
                <w:rFonts w:ascii="Calibri" w:hAnsi="Calibri" w:eastAsia="Calibri" w:cs="Calibri"/>
                <w:b w:val="0"/>
                <w:bCs w:val="0"/>
                <w:color w:val="000000"/>
                <w:sz w:val="20"/>
                <w:szCs w:val="20"/>
              </w:rPr>
              <w:t>1.1, 3.1, 3.2</w:t>
            </w:r>
          </w:p>
        </w:tc>
      </w:tr>
      <w:tr w14:paraId="1925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tcPr>
          <w:p w14:paraId="69D4227C">
            <w:r>
              <w:rPr>
                <w:rFonts w:ascii="Calibri" w:hAnsi="Calibri" w:eastAsia="Calibri" w:cs="Calibri"/>
                <w:b w:val="0"/>
                <w:bCs w:val="0"/>
                <w:color w:val="000000"/>
                <w:sz w:val="20"/>
                <w:szCs w:val="20"/>
              </w:rPr>
              <w:t>kio7</w:t>
            </w:r>
          </w:p>
        </w:tc>
        <w:tc>
          <w:tcPr>
            <w:tcW w:w="2000" w:type="dxa"/>
            <w:shd w:val="clear" w:color="auto" w:fill="F2F2F2"/>
            <w:tcMar>
              <w:top w:w="80" w:type="dxa"/>
              <w:left w:w="100" w:type="dxa"/>
              <w:bottom w:w="80" w:type="dxa"/>
              <w:right w:w="100" w:type="dxa"/>
            </w:tcMar>
          </w:tcPr>
          <w:p w14:paraId="6A762A89">
            <w:r>
              <w:rPr>
                <w:rFonts w:ascii="Calibri" w:hAnsi="Calibri" w:eastAsia="Calibri" w:cs="Calibri"/>
                <w:b w:val="0"/>
                <w:bCs w:val="0"/>
                <w:color w:val="000000"/>
                <w:sz w:val="20"/>
                <w:szCs w:val="20"/>
              </w:rPr>
              <w:t>claude-sonnet</w:t>
            </w:r>
          </w:p>
        </w:tc>
        <w:tc>
          <w:tcPr>
            <w:tcW w:w="2600" w:type="dxa"/>
            <w:shd w:val="clear" w:color="auto" w:fill="F2F2F2"/>
            <w:tcMar>
              <w:top w:w="80" w:type="dxa"/>
              <w:left w:w="100" w:type="dxa"/>
              <w:bottom w:w="80" w:type="dxa"/>
              <w:right w:w="100" w:type="dxa"/>
            </w:tcMar>
          </w:tcPr>
          <w:p w14:paraId="55E77B06">
            <w:r>
              <w:rPr>
                <w:rFonts w:ascii="Calibri" w:hAnsi="Calibri" w:eastAsia="Calibri" w:cs="Calibri"/>
                <w:b w:val="0"/>
                <w:bCs w:val="0"/>
                <w:color w:val="000000"/>
                <w:sz w:val="20"/>
                <w:szCs w:val="20"/>
              </w:rPr>
              <w:t>ai-sysdev</w:t>
            </w:r>
          </w:p>
        </w:tc>
        <w:tc>
          <w:tcPr>
            <w:tcW w:w="2400" w:type="dxa"/>
            <w:shd w:val="clear" w:color="auto" w:fill="F2F2F2"/>
            <w:tcMar>
              <w:top w:w="80" w:type="dxa"/>
              <w:left w:w="100" w:type="dxa"/>
              <w:bottom w:w="80" w:type="dxa"/>
              <w:right w:w="100" w:type="dxa"/>
            </w:tcMar>
          </w:tcPr>
          <w:p w14:paraId="5CEF4533">
            <w:r>
              <w:rPr>
                <w:rFonts w:ascii="Calibri" w:hAnsi="Calibri" w:eastAsia="Calibri" w:cs="Calibri"/>
                <w:b w:val="0"/>
                <w:bCs w:val="0"/>
                <w:color w:val="000000"/>
                <w:sz w:val="20"/>
                <w:szCs w:val="20"/>
              </w:rPr>
              <w:t>ai-sysdev</w:t>
            </w:r>
          </w:p>
        </w:tc>
        <w:tc>
          <w:tcPr>
            <w:tcW w:w="2600" w:type="dxa"/>
            <w:shd w:val="clear" w:color="auto" w:fill="F2F2F2"/>
            <w:tcMar>
              <w:top w:w="80" w:type="dxa"/>
              <w:left w:w="100" w:type="dxa"/>
              <w:bottom w:w="80" w:type="dxa"/>
              <w:right w:w="100" w:type="dxa"/>
            </w:tcMar>
          </w:tcPr>
          <w:p w14:paraId="05A01AEF">
            <w:r>
              <w:rPr>
                <w:rFonts w:ascii="Calibri" w:hAnsi="Calibri" w:eastAsia="Calibri" w:cs="Calibri"/>
                <w:b w:val="0"/>
                <w:bCs w:val="0"/>
                <w:color w:val="000000"/>
                <w:sz w:val="20"/>
                <w:szCs w:val="20"/>
              </w:rPr>
              <w:t>4.1, 5.1, 7.1, 9.1, 9.2</w:t>
            </w:r>
          </w:p>
        </w:tc>
      </w:tr>
      <w:tr w14:paraId="44C20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tcMar>
              <w:top w:w="80" w:type="dxa"/>
              <w:left w:w="100" w:type="dxa"/>
              <w:bottom w:w="80" w:type="dxa"/>
              <w:right w:w="100" w:type="dxa"/>
            </w:tcMar>
          </w:tcPr>
          <w:p w14:paraId="1DCC56AA">
            <w:r>
              <w:rPr>
                <w:rFonts w:ascii="Calibri" w:hAnsi="Calibri" w:eastAsia="Calibri" w:cs="Calibri"/>
                <w:b w:val="0"/>
                <w:bCs w:val="0"/>
                <w:color w:val="000000"/>
                <w:sz w:val="20"/>
                <w:szCs w:val="20"/>
              </w:rPr>
              <w:t>kio8</w:t>
            </w:r>
          </w:p>
        </w:tc>
        <w:tc>
          <w:tcPr>
            <w:tcW w:w="2000" w:type="dxa"/>
            <w:tcMar>
              <w:top w:w="80" w:type="dxa"/>
              <w:left w:w="100" w:type="dxa"/>
              <w:bottom w:w="80" w:type="dxa"/>
              <w:right w:w="100" w:type="dxa"/>
            </w:tcMar>
          </w:tcPr>
          <w:p w14:paraId="103DB54A">
            <w:r>
              <w:rPr>
                <w:rFonts w:ascii="Calibri" w:hAnsi="Calibri" w:eastAsia="Calibri" w:cs="Calibri"/>
                <w:b w:val="0"/>
                <w:bCs w:val="0"/>
                <w:color w:val="000000"/>
                <w:sz w:val="20"/>
                <w:szCs w:val="20"/>
              </w:rPr>
              <w:t>gemini-1.5-pro</w:t>
            </w:r>
          </w:p>
        </w:tc>
        <w:tc>
          <w:tcPr>
            <w:tcW w:w="2600" w:type="dxa"/>
            <w:tcMar>
              <w:top w:w="80" w:type="dxa"/>
              <w:left w:w="100" w:type="dxa"/>
              <w:bottom w:w="80" w:type="dxa"/>
              <w:right w:w="100" w:type="dxa"/>
            </w:tcMar>
          </w:tcPr>
          <w:p w14:paraId="248A3439">
            <w:r>
              <w:rPr>
                <w:rFonts w:ascii="Calibri" w:hAnsi="Calibri" w:eastAsia="Calibri" w:cs="Calibri"/>
                <w:b w:val="0"/>
                <w:bCs w:val="0"/>
                <w:color w:val="000000"/>
                <w:sz w:val="20"/>
                <w:szCs w:val="20"/>
              </w:rPr>
              <w:t>green-deploy</w:t>
            </w:r>
          </w:p>
        </w:tc>
        <w:tc>
          <w:tcPr>
            <w:tcW w:w="2400" w:type="dxa"/>
            <w:tcMar>
              <w:top w:w="80" w:type="dxa"/>
              <w:left w:w="100" w:type="dxa"/>
              <w:bottom w:w="80" w:type="dxa"/>
              <w:right w:w="100" w:type="dxa"/>
            </w:tcMar>
          </w:tcPr>
          <w:p w14:paraId="460DD62B">
            <w:r>
              <w:rPr>
                <w:rFonts w:ascii="Calibri" w:hAnsi="Calibri" w:eastAsia="Calibri" w:cs="Calibri"/>
                <w:b w:val="0"/>
                <w:bCs w:val="0"/>
                <w:color w:val="000000"/>
                <w:sz w:val="20"/>
                <w:szCs w:val="20"/>
              </w:rPr>
              <w:t>green-deploy</w:t>
            </w:r>
          </w:p>
        </w:tc>
        <w:tc>
          <w:tcPr>
            <w:tcW w:w="2600" w:type="dxa"/>
            <w:tcMar>
              <w:top w:w="80" w:type="dxa"/>
              <w:left w:w="100" w:type="dxa"/>
              <w:bottom w:w="80" w:type="dxa"/>
              <w:right w:w="100" w:type="dxa"/>
            </w:tcMar>
          </w:tcPr>
          <w:p w14:paraId="0335B28D">
            <w:r>
              <w:rPr>
                <w:rFonts w:ascii="Calibri" w:hAnsi="Calibri" w:eastAsia="Calibri" w:cs="Calibri"/>
                <w:b w:val="0"/>
                <w:bCs w:val="0"/>
                <w:color w:val="000000"/>
                <w:sz w:val="20"/>
                <w:szCs w:val="20"/>
              </w:rPr>
              <w:t>2.1, 2.2, 8.3</w:t>
            </w:r>
          </w:p>
        </w:tc>
      </w:tr>
      <w:tr w14:paraId="67EC2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2F2"/>
            <w:tcMar>
              <w:top w:w="80" w:type="dxa"/>
              <w:left w:w="100" w:type="dxa"/>
              <w:bottom w:w="80" w:type="dxa"/>
              <w:right w:w="100" w:type="dxa"/>
            </w:tcMar>
          </w:tcPr>
          <w:p w14:paraId="10FCD0E9">
            <w:r>
              <w:rPr>
                <w:rFonts w:ascii="Calibri" w:hAnsi="Calibri" w:eastAsia="Calibri" w:cs="Calibri"/>
                <w:b w:val="0"/>
                <w:bCs w:val="0"/>
                <w:color w:val="000000"/>
                <w:sz w:val="20"/>
                <w:szCs w:val="20"/>
              </w:rPr>
              <w:t>kio13</w:t>
            </w:r>
          </w:p>
        </w:tc>
        <w:tc>
          <w:tcPr>
            <w:tcW w:w="2000" w:type="dxa"/>
            <w:shd w:val="clear" w:color="auto" w:fill="F2F2F2"/>
            <w:tcMar>
              <w:top w:w="80" w:type="dxa"/>
              <w:left w:w="100" w:type="dxa"/>
              <w:bottom w:w="80" w:type="dxa"/>
              <w:right w:w="100" w:type="dxa"/>
            </w:tcMar>
          </w:tcPr>
          <w:p w14:paraId="37E825E4">
            <w:r>
              <w:rPr>
                <w:rFonts w:ascii="Calibri" w:hAnsi="Calibri" w:eastAsia="Calibri" w:cs="Calibri"/>
                <w:b w:val="0"/>
                <w:bCs w:val="0"/>
                <w:color w:val="000000"/>
                <w:sz w:val="20"/>
                <w:szCs w:val="20"/>
              </w:rPr>
              <w:t>gpt-4o-mini</w:t>
            </w:r>
          </w:p>
        </w:tc>
        <w:tc>
          <w:tcPr>
            <w:tcW w:w="2600" w:type="dxa"/>
            <w:shd w:val="clear" w:color="auto" w:fill="F2F2F2"/>
            <w:tcMar>
              <w:top w:w="80" w:type="dxa"/>
              <w:left w:w="100" w:type="dxa"/>
              <w:bottom w:w="80" w:type="dxa"/>
              <w:right w:w="100" w:type="dxa"/>
            </w:tcMar>
          </w:tcPr>
          <w:p w14:paraId="76B083B4">
            <w:r>
              <w:rPr>
                <w:rFonts w:ascii="Calibri" w:hAnsi="Calibri" w:eastAsia="Calibri" w:cs="Calibri"/>
                <w:b w:val="0"/>
                <w:bCs w:val="0"/>
                <w:color w:val="000000"/>
                <w:sz w:val="20"/>
                <w:szCs w:val="20"/>
              </w:rPr>
              <w:t>adoption</w:t>
            </w:r>
          </w:p>
        </w:tc>
        <w:tc>
          <w:tcPr>
            <w:tcW w:w="2400" w:type="dxa"/>
            <w:shd w:val="clear" w:color="auto" w:fill="F2F2F2"/>
            <w:tcMar>
              <w:top w:w="80" w:type="dxa"/>
              <w:left w:w="100" w:type="dxa"/>
              <w:bottom w:w="80" w:type="dxa"/>
              <w:right w:w="100" w:type="dxa"/>
            </w:tcMar>
          </w:tcPr>
          <w:p w14:paraId="079CDC9D">
            <w:r>
              <w:rPr>
                <w:rFonts w:ascii="Calibri" w:hAnsi="Calibri" w:eastAsia="Calibri" w:cs="Calibri"/>
                <w:b w:val="0"/>
                <w:bCs w:val="0"/>
                <w:color w:val="000000"/>
                <w:sz w:val="20"/>
                <w:szCs w:val="20"/>
              </w:rPr>
              <w:t>adoption</w:t>
            </w:r>
          </w:p>
        </w:tc>
        <w:tc>
          <w:tcPr>
            <w:tcW w:w="2600" w:type="dxa"/>
            <w:shd w:val="clear" w:color="auto" w:fill="F2F2F2"/>
            <w:tcMar>
              <w:top w:w="80" w:type="dxa"/>
              <w:left w:w="100" w:type="dxa"/>
              <w:bottom w:w="80" w:type="dxa"/>
              <w:right w:w="100" w:type="dxa"/>
            </w:tcMar>
          </w:tcPr>
          <w:p w14:paraId="72070A27">
            <w:r>
              <w:rPr>
                <w:rFonts w:ascii="Calibri" w:hAnsi="Calibri" w:eastAsia="Calibri" w:cs="Calibri"/>
                <w:b w:val="0"/>
                <w:bCs w:val="0"/>
                <w:color w:val="000000"/>
                <w:sz w:val="20"/>
                <w:szCs w:val="20"/>
              </w:rPr>
              <w:t>8.1, 8.2</w:t>
            </w:r>
          </w:p>
        </w:tc>
      </w:tr>
    </w:tbl>
    <w:p w14:paraId="0E7160DF">
      <w:pPr>
        <w:spacing w:after="160" w:line="276" w:lineRule="auto"/>
      </w:pPr>
    </w:p>
    <w:p w14:paraId="2487BC0B">
      <w:pPr>
        <w:spacing w:after="160" w:line="276" w:lineRule="auto"/>
        <w:jc w:val="both"/>
      </w:pPr>
      <w:r>
        <w:rPr>
          <w:rFonts w:ascii="Calibri" w:hAnsi="Calibri" w:eastAsia="Calibri" w:cs="Calibri"/>
          <w:sz w:val="22"/>
          <w:szCs w:val="22"/>
        </w:rPr>
        <w:t>kio2-sim additionally reports real repository line/directory/file counts of a scanned path, and can optionally call a real local Ollama server for its LLM step (KIO2_REAL_LLM_ENABLED=true), in which case tokens/sec, GPU energy, and error rate become real measurements instead of simulated ones — every metric carries a source=real|simulated label either way so Grafana can distinguish them. The kio2 identity itself is reserved for the real FocusTracer module; kio2-sim is the standing comparison baseline (see kio2-integration/README.md).</w:t>
      </w:r>
    </w:p>
    <w:p w14:paraId="494DEE2D">
      <w:pPr>
        <w:pStyle w:val="3"/>
        <w:spacing w:before="260" w:after="120"/>
      </w:pPr>
      <w:r>
        <w:t>5.1 Simulation Parameters</w:t>
      </w:r>
    </w:p>
    <w:p w14:paraId="362E8FF1">
      <w:pPr>
        <w:spacing w:after="160" w:line="276" w:lineRule="auto"/>
        <w:jc w:val="both"/>
      </w:pPr>
      <w:r>
        <w:rPr>
          <w:rFonts w:ascii="Calibri" w:hAnsi="Calibri" w:eastAsia="Calibri" w:cs="Calibri"/>
          <w:sz w:val="22"/>
          <w:szCs w:val="22"/>
        </w:rPr>
        <w:t>Each simulated request cycle (default 2–5s per KIO, ±50% jitter): 150–2000 input/output tokens, 0.2–2.5s latency, ~7% constant error rate, 0.60–0.99 accuracy. Energy is computed from a per-model joules/token coefficient (qwen2.5:3b: 0.8, llama3.1:8b: 2.1, gpt-4o-mini: 3.5, claude-sonnet: 6.0), so different models show genuinely different energy profiles rather than one constant value; cost is computed the same way from a USD/1K-token coefficient.</w:t>
      </w:r>
    </w:p>
    <w:p w14:paraId="0E4BB79D">
      <w:pPr>
        <w:pStyle w:val="3"/>
        <w:spacing w:before="260" w:after="120"/>
      </w:pPr>
      <w:r>
        <w:t>5.2 Heartbeat</w:t>
      </w:r>
    </w:p>
    <w:p w14:paraId="7108AD76">
      <w:pPr>
        <w:spacing w:after="160" w:line="276" w:lineRule="auto"/>
        <w:jc w:val="both"/>
      </w:pPr>
      <w:r>
        <w:rPr>
          <w:rFonts w:ascii="Calibri" w:hAnsi="Calibri" w:eastAsia="Calibri" w:cs="Calibri"/>
          <w:sz w:val="22"/>
          <w:szCs w:val="22"/>
        </w:rPr>
        <w:t>Every KIO increments a kio_heartbeat counter every 60 seconds on a dedicated background thread. A KIO silent for more than 120 seconds is now automatically flagged “stale” by a real Grafana-managed alert rule (grafana/provisioning/alerting/rules.yml) and shown visually on the Overview dashboard — this is not a manual check.</w:t>
      </w:r>
    </w:p>
    <w:p w14:paraId="0C5D8D0D">
      <w:pPr>
        <w:pStyle w:val="3"/>
        <w:spacing w:before="260" w:after="120"/>
      </w:pPr>
      <w:r>
        <w:t>5.3 Trace Generation</w:t>
      </w:r>
    </w:p>
    <w:p w14:paraId="3C4F7E33">
      <w:pPr>
        <w:spacing w:after="160" w:line="276" w:lineRule="auto"/>
        <w:jc w:val="both"/>
      </w:pPr>
      <w:r>
        <w:rPr>
          <w:rFonts w:ascii="Calibri" w:hAnsi="Calibri" w:eastAsia="Calibri" w:cs="Calibri"/>
          <w:sz w:val="22"/>
          <w:szCs w:val="22"/>
        </w:rPr>
        <w:t>Each simulated request produces a root span (kio.request) with nested children: prepare_prompt → llm_call → postprocess (code-analysis KIOs prepend a repo_scan span). Span durations are proportional slices of the request's real simulated latency, not fixed mock values, and failed requests are marked ERROR on the root and llm_call spans.</w:t>
      </w:r>
    </w:p>
    <w:p w14:paraId="6704CB99">
      <w:pPr>
        <w:pStyle w:val="2"/>
        <w:spacing w:before="360" w:after="160"/>
      </w:pPr>
      <w:r>
        <w:t>6. Metric Catalog</w:t>
      </w:r>
    </w:p>
    <w:p w14:paraId="37FAF272">
      <w:pPr>
        <w:pStyle w:val="3"/>
        <w:spacing w:before="260" w:after="120"/>
      </w:pPr>
      <w:r>
        <w:t>6.1 Mandatory Metric Set (Contract §2.1)</w:t>
      </w:r>
    </w:p>
    <w:p w14:paraId="4E47C47A">
      <w:pPr>
        <w:spacing w:after="160" w:line="276" w:lineRule="auto"/>
      </w:pPr>
      <w:r>
        <w:rPr>
          <w:rFonts w:ascii="Calibri" w:hAnsi="Calibri" w:eastAsia="Calibri" w:cs="Calibri"/>
          <w:sz w:val="22"/>
          <w:szCs w:val="22"/>
        </w:rPr>
        <w:t>All seven are implemented by every KIO, every one carrying kio.id.</w:t>
      </w:r>
    </w:p>
    <w:tbl>
      <w:tblPr>
        <w:tblStyle w:val="9"/>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1800"/>
        <w:gridCol w:w="1200"/>
        <w:gridCol w:w="3200"/>
      </w:tblGrid>
      <w:tr w14:paraId="78B7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200" w:type="dxa"/>
            <w:shd w:val="clear" w:color="auto" w:fill="1F3864"/>
            <w:tcMar>
              <w:top w:w="80" w:type="dxa"/>
              <w:left w:w="100" w:type="dxa"/>
              <w:bottom w:w="80" w:type="dxa"/>
              <w:right w:w="100" w:type="dxa"/>
            </w:tcMar>
          </w:tcPr>
          <w:p w14:paraId="0FAEB51B">
            <w:r>
              <w:rPr>
                <w:rFonts w:ascii="Calibri" w:hAnsi="Calibri" w:eastAsia="Calibri" w:cs="Calibri"/>
                <w:b/>
                <w:bCs/>
                <w:color w:val="FFFFFF"/>
                <w:sz w:val="20"/>
                <w:szCs w:val="20"/>
              </w:rPr>
              <w:t>Metric</w:t>
            </w:r>
          </w:p>
        </w:tc>
        <w:tc>
          <w:tcPr>
            <w:tcW w:w="1800" w:type="dxa"/>
            <w:shd w:val="clear" w:color="auto" w:fill="1F3864"/>
            <w:tcMar>
              <w:top w:w="80" w:type="dxa"/>
              <w:left w:w="100" w:type="dxa"/>
              <w:bottom w:w="80" w:type="dxa"/>
              <w:right w:w="100" w:type="dxa"/>
            </w:tcMar>
          </w:tcPr>
          <w:p w14:paraId="5059BC91">
            <w:r>
              <w:rPr>
                <w:rFonts w:ascii="Calibri" w:hAnsi="Calibri" w:eastAsia="Calibri" w:cs="Calibri"/>
                <w:b/>
                <w:bCs/>
                <w:color w:val="FFFFFF"/>
                <w:sz w:val="20"/>
                <w:szCs w:val="20"/>
              </w:rPr>
              <w:t>Type</w:t>
            </w:r>
          </w:p>
        </w:tc>
        <w:tc>
          <w:tcPr>
            <w:tcW w:w="1200" w:type="dxa"/>
            <w:shd w:val="clear" w:color="auto" w:fill="1F3864"/>
            <w:tcMar>
              <w:top w:w="80" w:type="dxa"/>
              <w:left w:w="100" w:type="dxa"/>
              <w:bottom w:w="80" w:type="dxa"/>
              <w:right w:w="100" w:type="dxa"/>
            </w:tcMar>
          </w:tcPr>
          <w:p w14:paraId="7BAF980C">
            <w:r>
              <w:rPr>
                <w:rFonts w:ascii="Calibri" w:hAnsi="Calibri" w:eastAsia="Calibri" w:cs="Calibri"/>
                <w:b/>
                <w:bCs/>
                <w:color w:val="FFFFFF"/>
                <w:sz w:val="20"/>
                <w:szCs w:val="20"/>
              </w:rPr>
              <w:t>Unit</w:t>
            </w:r>
          </w:p>
        </w:tc>
        <w:tc>
          <w:tcPr>
            <w:tcW w:w="3200" w:type="dxa"/>
            <w:shd w:val="clear" w:color="auto" w:fill="1F3864"/>
            <w:tcMar>
              <w:top w:w="80" w:type="dxa"/>
              <w:left w:w="100" w:type="dxa"/>
              <w:bottom w:w="80" w:type="dxa"/>
              <w:right w:w="100" w:type="dxa"/>
            </w:tcMar>
          </w:tcPr>
          <w:p w14:paraId="189DA68D">
            <w:r>
              <w:rPr>
                <w:rFonts w:ascii="Calibri" w:hAnsi="Calibri" w:eastAsia="Calibri" w:cs="Calibri"/>
                <w:b/>
                <w:bCs/>
                <w:color w:val="FFFFFF"/>
                <w:sz w:val="20"/>
                <w:szCs w:val="20"/>
              </w:rPr>
              <w:t>Labels</w:t>
            </w:r>
          </w:p>
        </w:tc>
      </w:tr>
      <w:tr w14:paraId="2E6309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51337CE">
            <w:r>
              <w:rPr>
                <w:rFonts w:ascii="Calibri" w:hAnsi="Calibri" w:eastAsia="Calibri" w:cs="Calibri"/>
                <w:b w:val="0"/>
                <w:bCs w:val="0"/>
                <w:color w:val="000000"/>
                <w:sz w:val="20"/>
                <w:szCs w:val="20"/>
              </w:rPr>
              <w:t>kio.request.count</w:t>
            </w:r>
          </w:p>
        </w:tc>
        <w:tc>
          <w:tcPr>
            <w:tcW w:w="1800" w:type="dxa"/>
            <w:tcMar>
              <w:top w:w="80" w:type="dxa"/>
              <w:left w:w="100" w:type="dxa"/>
              <w:bottom w:w="80" w:type="dxa"/>
              <w:right w:w="100" w:type="dxa"/>
            </w:tcMar>
          </w:tcPr>
          <w:p w14:paraId="2D416AE9">
            <w:r>
              <w:rPr>
                <w:rFonts w:ascii="Calibri" w:hAnsi="Calibri" w:eastAsia="Calibri" w:cs="Calibri"/>
                <w:b w:val="0"/>
                <w:bCs w:val="0"/>
                <w:color w:val="000000"/>
                <w:sz w:val="20"/>
                <w:szCs w:val="20"/>
              </w:rPr>
              <w:t>Counter</w:t>
            </w:r>
          </w:p>
        </w:tc>
        <w:tc>
          <w:tcPr>
            <w:tcW w:w="1200" w:type="dxa"/>
            <w:tcMar>
              <w:top w:w="80" w:type="dxa"/>
              <w:left w:w="100" w:type="dxa"/>
              <w:bottom w:w="80" w:type="dxa"/>
              <w:right w:w="100" w:type="dxa"/>
            </w:tcMar>
          </w:tcPr>
          <w:p w14:paraId="50BD992A">
            <w:r>
              <w:rPr>
                <w:rFonts w:ascii="Calibri" w:hAnsi="Calibri" w:eastAsia="Calibri" w:cs="Calibri"/>
                <w:b w:val="0"/>
                <w:bCs w:val="0"/>
                <w:color w:val="000000"/>
                <w:sz w:val="20"/>
                <w:szCs w:val="20"/>
              </w:rPr>
              <w:t>1</w:t>
            </w:r>
          </w:p>
        </w:tc>
        <w:tc>
          <w:tcPr>
            <w:tcW w:w="3200" w:type="dxa"/>
            <w:tcMar>
              <w:top w:w="80" w:type="dxa"/>
              <w:left w:w="100" w:type="dxa"/>
              <w:bottom w:w="80" w:type="dxa"/>
              <w:right w:w="100" w:type="dxa"/>
            </w:tcMar>
          </w:tcPr>
          <w:p w14:paraId="2016D87C">
            <w:r>
              <w:rPr>
                <w:rFonts w:ascii="Calibri" w:hAnsi="Calibri" w:eastAsia="Calibri" w:cs="Calibri"/>
                <w:b w:val="0"/>
                <w:bCs w:val="0"/>
                <w:color w:val="000000"/>
                <w:sz w:val="20"/>
                <w:szCs w:val="20"/>
              </w:rPr>
              <w:t>kio.id, status</w:t>
            </w:r>
          </w:p>
        </w:tc>
      </w:tr>
      <w:tr w14:paraId="1F196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57178828">
            <w:r>
              <w:rPr>
                <w:rFonts w:ascii="Calibri" w:hAnsi="Calibri" w:eastAsia="Calibri" w:cs="Calibri"/>
                <w:b w:val="0"/>
                <w:bCs w:val="0"/>
                <w:color w:val="000000"/>
                <w:sz w:val="20"/>
                <w:szCs w:val="20"/>
              </w:rPr>
              <w:t>kio.request.duration_ms</w:t>
            </w:r>
          </w:p>
        </w:tc>
        <w:tc>
          <w:tcPr>
            <w:tcW w:w="1800" w:type="dxa"/>
            <w:shd w:val="clear" w:color="auto" w:fill="F2F2F2"/>
            <w:tcMar>
              <w:top w:w="80" w:type="dxa"/>
              <w:left w:w="100" w:type="dxa"/>
              <w:bottom w:w="80" w:type="dxa"/>
              <w:right w:w="100" w:type="dxa"/>
            </w:tcMar>
          </w:tcPr>
          <w:p w14:paraId="2228ED62">
            <w:r>
              <w:rPr>
                <w:rFonts w:ascii="Calibri" w:hAnsi="Calibri" w:eastAsia="Calibri" w:cs="Calibri"/>
                <w:b w:val="0"/>
                <w:bCs w:val="0"/>
                <w:color w:val="000000"/>
                <w:sz w:val="20"/>
                <w:szCs w:val="20"/>
              </w:rPr>
              <w:t>Histogram</w:t>
            </w:r>
          </w:p>
        </w:tc>
        <w:tc>
          <w:tcPr>
            <w:tcW w:w="1200" w:type="dxa"/>
            <w:shd w:val="clear" w:color="auto" w:fill="F2F2F2"/>
            <w:tcMar>
              <w:top w:w="80" w:type="dxa"/>
              <w:left w:w="100" w:type="dxa"/>
              <w:bottom w:w="80" w:type="dxa"/>
              <w:right w:w="100" w:type="dxa"/>
            </w:tcMar>
          </w:tcPr>
          <w:p w14:paraId="78AD02C7">
            <w:r>
              <w:rPr>
                <w:rFonts w:ascii="Calibri" w:hAnsi="Calibri" w:eastAsia="Calibri" w:cs="Calibri"/>
                <w:b w:val="0"/>
                <w:bCs w:val="0"/>
                <w:color w:val="000000"/>
                <w:sz w:val="20"/>
                <w:szCs w:val="20"/>
              </w:rPr>
              <w:t>ms</w:t>
            </w:r>
          </w:p>
        </w:tc>
        <w:tc>
          <w:tcPr>
            <w:tcW w:w="3200" w:type="dxa"/>
            <w:shd w:val="clear" w:color="auto" w:fill="F2F2F2"/>
            <w:tcMar>
              <w:top w:w="80" w:type="dxa"/>
              <w:left w:w="100" w:type="dxa"/>
              <w:bottom w:w="80" w:type="dxa"/>
              <w:right w:w="100" w:type="dxa"/>
            </w:tcMar>
          </w:tcPr>
          <w:p w14:paraId="66B09E36">
            <w:r>
              <w:rPr>
                <w:rFonts w:ascii="Calibri" w:hAnsi="Calibri" w:eastAsia="Calibri" w:cs="Calibri"/>
                <w:b w:val="0"/>
                <w:bCs w:val="0"/>
                <w:color w:val="000000"/>
                <w:sz w:val="20"/>
                <w:szCs w:val="20"/>
              </w:rPr>
              <w:t>kio.id</w:t>
            </w:r>
          </w:p>
        </w:tc>
      </w:tr>
      <w:tr w14:paraId="105C3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339AC065">
            <w:r>
              <w:rPr>
                <w:rFonts w:ascii="Calibri" w:hAnsi="Calibri" w:eastAsia="Calibri" w:cs="Calibri"/>
                <w:b w:val="0"/>
                <w:bCs w:val="0"/>
                <w:color w:val="000000"/>
                <w:sz w:val="20"/>
                <w:szCs w:val="20"/>
              </w:rPr>
              <w:t>kio.request.error_count</w:t>
            </w:r>
          </w:p>
        </w:tc>
        <w:tc>
          <w:tcPr>
            <w:tcW w:w="1800" w:type="dxa"/>
            <w:tcMar>
              <w:top w:w="80" w:type="dxa"/>
              <w:left w:w="100" w:type="dxa"/>
              <w:bottom w:w="80" w:type="dxa"/>
              <w:right w:w="100" w:type="dxa"/>
            </w:tcMar>
          </w:tcPr>
          <w:p w14:paraId="58BD5FF7">
            <w:r>
              <w:rPr>
                <w:rFonts w:ascii="Calibri" w:hAnsi="Calibri" w:eastAsia="Calibri" w:cs="Calibri"/>
                <w:b w:val="0"/>
                <w:bCs w:val="0"/>
                <w:color w:val="000000"/>
                <w:sz w:val="20"/>
                <w:szCs w:val="20"/>
              </w:rPr>
              <w:t>Counter</w:t>
            </w:r>
          </w:p>
        </w:tc>
        <w:tc>
          <w:tcPr>
            <w:tcW w:w="1200" w:type="dxa"/>
            <w:tcMar>
              <w:top w:w="80" w:type="dxa"/>
              <w:left w:w="100" w:type="dxa"/>
              <w:bottom w:w="80" w:type="dxa"/>
              <w:right w:w="100" w:type="dxa"/>
            </w:tcMar>
          </w:tcPr>
          <w:p w14:paraId="4990D2F7">
            <w:r>
              <w:rPr>
                <w:rFonts w:ascii="Calibri" w:hAnsi="Calibri" w:eastAsia="Calibri" w:cs="Calibri"/>
                <w:b w:val="0"/>
                <w:bCs w:val="0"/>
                <w:color w:val="000000"/>
                <w:sz w:val="20"/>
                <w:szCs w:val="20"/>
              </w:rPr>
              <w:t>1</w:t>
            </w:r>
          </w:p>
        </w:tc>
        <w:tc>
          <w:tcPr>
            <w:tcW w:w="3200" w:type="dxa"/>
            <w:tcMar>
              <w:top w:w="80" w:type="dxa"/>
              <w:left w:w="100" w:type="dxa"/>
              <w:bottom w:w="80" w:type="dxa"/>
              <w:right w:w="100" w:type="dxa"/>
            </w:tcMar>
          </w:tcPr>
          <w:p w14:paraId="51E2D1F4">
            <w:r>
              <w:rPr>
                <w:rFonts w:ascii="Calibri" w:hAnsi="Calibri" w:eastAsia="Calibri" w:cs="Calibri"/>
                <w:b w:val="0"/>
                <w:bCs w:val="0"/>
                <w:color w:val="000000"/>
                <w:sz w:val="20"/>
                <w:szCs w:val="20"/>
              </w:rPr>
              <w:t>kio.id, error_type</w:t>
            </w:r>
          </w:p>
        </w:tc>
      </w:tr>
      <w:tr w14:paraId="1D80A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5A29F009">
            <w:r>
              <w:rPr>
                <w:rFonts w:ascii="Calibri" w:hAnsi="Calibri" w:eastAsia="Calibri" w:cs="Calibri"/>
                <w:b w:val="0"/>
                <w:bCs w:val="0"/>
                <w:color w:val="000000"/>
                <w:sz w:val="20"/>
                <w:szCs w:val="20"/>
              </w:rPr>
              <w:t>kio.llm.token_count</w:t>
            </w:r>
          </w:p>
        </w:tc>
        <w:tc>
          <w:tcPr>
            <w:tcW w:w="1800" w:type="dxa"/>
            <w:shd w:val="clear" w:color="auto" w:fill="F2F2F2"/>
            <w:tcMar>
              <w:top w:w="80" w:type="dxa"/>
              <w:left w:w="100" w:type="dxa"/>
              <w:bottom w:w="80" w:type="dxa"/>
              <w:right w:w="100" w:type="dxa"/>
            </w:tcMar>
          </w:tcPr>
          <w:p w14:paraId="08E060D8">
            <w:r>
              <w:rPr>
                <w:rFonts w:ascii="Calibri" w:hAnsi="Calibri" w:eastAsia="Calibri" w:cs="Calibri"/>
                <w:b w:val="0"/>
                <w:bCs w:val="0"/>
                <w:color w:val="000000"/>
                <w:sz w:val="20"/>
                <w:szCs w:val="20"/>
              </w:rPr>
              <w:t>Counter</w:t>
            </w:r>
          </w:p>
        </w:tc>
        <w:tc>
          <w:tcPr>
            <w:tcW w:w="1200" w:type="dxa"/>
            <w:shd w:val="clear" w:color="auto" w:fill="F2F2F2"/>
            <w:tcMar>
              <w:top w:w="80" w:type="dxa"/>
              <w:left w:w="100" w:type="dxa"/>
              <w:bottom w:w="80" w:type="dxa"/>
              <w:right w:w="100" w:type="dxa"/>
            </w:tcMar>
          </w:tcPr>
          <w:p w14:paraId="2EF60226">
            <w:r>
              <w:rPr>
                <w:rFonts w:ascii="Calibri" w:hAnsi="Calibri" w:eastAsia="Calibri" w:cs="Calibri"/>
                <w:b w:val="0"/>
                <w:bCs w:val="0"/>
                <w:color w:val="000000"/>
                <w:sz w:val="20"/>
                <w:szCs w:val="20"/>
              </w:rPr>
              <w:t>tokens</w:t>
            </w:r>
          </w:p>
        </w:tc>
        <w:tc>
          <w:tcPr>
            <w:tcW w:w="3200" w:type="dxa"/>
            <w:shd w:val="clear" w:color="auto" w:fill="F2F2F2"/>
            <w:tcMar>
              <w:top w:w="80" w:type="dxa"/>
              <w:left w:w="100" w:type="dxa"/>
              <w:bottom w:w="80" w:type="dxa"/>
              <w:right w:w="100" w:type="dxa"/>
            </w:tcMar>
          </w:tcPr>
          <w:p w14:paraId="4E52BBF0">
            <w:r>
              <w:rPr>
                <w:rFonts w:ascii="Calibri" w:hAnsi="Calibri" w:eastAsia="Calibri" w:cs="Calibri"/>
                <w:b w:val="0"/>
                <w:bCs w:val="0"/>
                <w:color w:val="000000"/>
                <w:sz w:val="20"/>
                <w:szCs w:val="20"/>
              </w:rPr>
              <w:t>kio.id, direction</w:t>
            </w:r>
          </w:p>
        </w:tc>
      </w:tr>
      <w:tr w14:paraId="354E72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77326AF9">
            <w:r>
              <w:rPr>
                <w:rFonts w:ascii="Calibri" w:hAnsi="Calibri" w:eastAsia="Calibri" w:cs="Calibri"/>
                <w:b w:val="0"/>
                <w:bCs w:val="0"/>
                <w:color w:val="000000"/>
                <w:sz w:val="20"/>
                <w:szCs w:val="20"/>
              </w:rPr>
              <w:t>kio.llm.cost_usd</w:t>
            </w:r>
          </w:p>
        </w:tc>
        <w:tc>
          <w:tcPr>
            <w:tcW w:w="1800" w:type="dxa"/>
            <w:tcMar>
              <w:top w:w="80" w:type="dxa"/>
              <w:left w:w="100" w:type="dxa"/>
              <w:bottom w:w="80" w:type="dxa"/>
              <w:right w:w="100" w:type="dxa"/>
            </w:tcMar>
          </w:tcPr>
          <w:p w14:paraId="3CC8DDFB">
            <w:r>
              <w:rPr>
                <w:rFonts w:ascii="Calibri" w:hAnsi="Calibri" w:eastAsia="Calibri" w:cs="Calibri"/>
                <w:b w:val="0"/>
                <w:bCs w:val="0"/>
                <w:color w:val="000000"/>
                <w:sz w:val="20"/>
                <w:szCs w:val="20"/>
              </w:rPr>
              <w:t>Counter</w:t>
            </w:r>
          </w:p>
        </w:tc>
        <w:tc>
          <w:tcPr>
            <w:tcW w:w="1200" w:type="dxa"/>
            <w:tcMar>
              <w:top w:w="80" w:type="dxa"/>
              <w:left w:w="100" w:type="dxa"/>
              <w:bottom w:w="80" w:type="dxa"/>
              <w:right w:w="100" w:type="dxa"/>
            </w:tcMar>
          </w:tcPr>
          <w:p w14:paraId="399B633E">
            <w:r>
              <w:rPr>
                <w:rFonts w:ascii="Calibri" w:hAnsi="Calibri" w:eastAsia="Calibri" w:cs="Calibri"/>
                <w:b w:val="0"/>
                <w:bCs w:val="0"/>
                <w:color w:val="000000"/>
                <w:sz w:val="20"/>
                <w:szCs w:val="20"/>
              </w:rPr>
              <w:t>USD</w:t>
            </w:r>
          </w:p>
        </w:tc>
        <w:tc>
          <w:tcPr>
            <w:tcW w:w="3200" w:type="dxa"/>
            <w:tcMar>
              <w:top w:w="80" w:type="dxa"/>
              <w:left w:w="100" w:type="dxa"/>
              <w:bottom w:w="80" w:type="dxa"/>
              <w:right w:w="100" w:type="dxa"/>
            </w:tcMar>
          </w:tcPr>
          <w:p w14:paraId="216945B6">
            <w:r>
              <w:rPr>
                <w:rFonts w:ascii="Calibri" w:hAnsi="Calibri" w:eastAsia="Calibri" w:cs="Calibri"/>
                <w:b w:val="0"/>
                <w:bCs w:val="0"/>
                <w:color w:val="000000"/>
                <w:sz w:val="20"/>
                <w:szCs w:val="20"/>
              </w:rPr>
              <w:t>kio.id</w:t>
            </w:r>
          </w:p>
        </w:tc>
      </w:tr>
      <w:tr w14:paraId="2100D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shd w:val="clear" w:color="auto" w:fill="F2F2F2"/>
            <w:tcMar>
              <w:top w:w="80" w:type="dxa"/>
              <w:left w:w="100" w:type="dxa"/>
              <w:bottom w:w="80" w:type="dxa"/>
              <w:right w:w="100" w:type="dxa"/>
            </w:tcMar>
          </w:tcPr>
          <w:p w14:paraId="38126526">
            <w:r>
              <w:rPr>
                <w:rFonts w:ascii="Calibri" w:hAnsi="Calibri" w:eastAsia="Calibri" w:cs="Calibri"/>
                <w:b w:val="0"/>
                <w:bCs w:val="0"/>
                <w:color w:val="000000"/>
                <w:sz w:val="20"/>
                <w:szCs w:val="20"/>
              </w:rPr>
              <w:t>kio.session.active_count</w:t>
            </w:r>
          </w:p>
        </w:tc>
        <w:tc>
          <w:tcPr>
            <w:tcW w:w="1800" w:type="dxa"/>
            <w:shd w:val="clear" w:color="auto" w:fill="F2F2F2"/>
            <w:tcMar>
              <w:top w:w="80" w:type="dxa"/>
              <w:left w:w="100" w:type="dxa"/>
              <w:bottom w:w="80" w:type="dxa"/>
              <w:right w:w="100" w:type="dxa"/>
            </w:tcMar>
          </w:tcPr>
          <w:p w14:paraId="52AC7AFD">
            <w:r>
              <w:rPr>
                <w:rFonts w:ascii="Calibri" w:hAnsi="Calibri" w:eastAsia="Calibri" w:cs="Calibri"/>
                <w:b w:val="0"/>
                <w:bCs w:val="0"/>
                <w:color w:val="000000"/>
                <w:sz w:val="20"/>
                <w:szCs w:val="20"/>
              </w:rPr>
              <w:t>UpDownCounter</w:t>
            </w:r>
          </w:p>
        </w:tc>
        <w:tc>
          <w:tcPr>
            <w:tcW w:w="1200" w:type="dxa"/>
            <w:shd w:val="clear" w:color="auto" w:fill="F2F2F2"/>
            <w:tcMar>
              <w:top w:w="80" w:type="dxa"/>
              <w:left w:w="100" w:type="dxa"/>
              <w:bottom w:w="80" w:type="dxa"/>
              <w:right w:w="100" w:type="dxa"/>
            </w:tcMar>
          </w:tcPr>
          <w:p w14:paraId="2EABCFB5">
            <w:r>
              <w:rPr>
                <w:rFonts w:ascii="Calibri" w:hAnsi="Calibri" w:eastAsia="Calibri" w:cs="Calibri"/>
                <w:b w:val="0"/>
                <w:bCs w:val="0"/>
                <w:color w:val="000000"/>
                <w:sz w:val="20"/>
                <w:szCs w:val="20"/>
              </w:rPr>
              <w:t>1</w:t>
            </w:r>
          </w:p>
        </w:tc>
        <w:tc>
          <w:tcPr>
            <w:tcW w:w="3200" w:type="dxa"/>
            <w:shd w:val="clear" w:color="auto" w:fill="F2F2F2"/>
            <w:tcMar>
              <w:top w:w="80" w:type="dxa"/>
              <w:left w:w="100" w:type="dxa"/>
              <w:bottom w:w="80" w:type="dxa"/>
              <w:right w:w="100" w:type="dxa"/>
            </w:tcMar>
          </w:tcPr>
          <w:p w14:paraId="41C10FC6">
            <w:r>
              <w:rPr>
                <w:rFonts w:ascii="Calibri" w:hAnsi="Calibri" w:eastAsia="Calibri" w:cs="Calibri"/>
                <w:b w:val="0"/>
                <w:bCs w:val="0"/>
                <w:color w:val="000000"/>
                <w:sz w:val="20"/>
                <w:szCs w:val="20"/>
              </w:rPr>
              <w:t>kio.id</w:t>
            </w:r>
          </w:p>
        </w:tc>
      </w:tr>
      <w:tr w14:paraId="78C39E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200" w:type="dxa"/>
            <w:tcMar>
              <w:top w:w="80" w:type="dxa"/>
              <w:left w:w="100" w:type="dxa"/>
              <w:bottom w:w="80" w:type="dxa"/>
              <w:right w:w="100" w:type="dxa"/>
            </w:tcMar>
          </w:tcPr>
          <w:p w14:paraId="6D545028">
            <w:r>
              <w:rPr>
                <w:rFonts w:ascii="Calibri" w:hAnsi="Calibri" w:eastAsia="Calibri" w:cs="Calibri"/>
                <w:b w:val="0"/>
                <w:bCs w:val="0"/>
                <w:color w:val="000000"/>
                <w:sz w:val="20"/>
                <w:szCs w:val="20"/>
              </w:rPr>
              <w:t>kio.heartbeat</w:t>
            </w:r>
          </w:p>
        </w:tc>
        <w:tc>
          <w:tcPr>
            <w:tcW w:w="1800" w:type="dxa"/>
            <w:tcMar>
              <w:top w:w="80" w:type="dxa"/>
              <w:left w:w="100" w:type="dxa"/>
              <w:bottom w:w="80" w:type="dxa"/>
              <w:right w:w="100" w:type="dxa"/>
            </w:tcMar>
          </w:tcPr>
          <w:p w14:paraId="71ABD443">
            <w:r>
              <w:rPr>
                <w:rFonts w:ascii="Calibri" w:hAnsi="Calibri" w:eastAsia="Calibri" w:cs="Calibri"/>
                <w:b w:val="0"/>
                <w:bCs w:val="0"/>
                <w:color w:val="000000"/>
                <w:sz w:val="20"/>
                <w:szCs w:val="20"/>
              </w:rPr>
              <w:t>Counter</w:t>
            </w:r>
          </w:p>
        </w:tc>
        <w:tc>
          <w:tcPr>
            <w:tcW w:w="1200" w:type="dxa"/>
            <w:tcMar>
              <w:top w:w="80" w:type="dxa"/>
              <w:left w:w="100" w:type="dxa"/>
              <w:bottom w:w="80" w:type="dxa"/>
              <w:right w:w="100" w:type="dxa"/>
            </w:tcMar>
          </w:tcPr>
          <w:p w14:paraId="75AAD8BD">
            <w:r>
              <w:rPr>
                <w:rFonts w:ascii="Calibri" w:hAnsi="Calibri" w:eastAsia="Calibri" w:cs="Calibri"/>
                <w:b w:val="0"/>
                <w:bCs w:val="0"/>
                <w:color w:val="000000"/>
                <w:sz w:val="20"/>
                <w:szCs w:val="20"/>
              </w:rPr>
              <w:t>1</w:t>
            </w:r>
          </w:p>
        </w:tc>
        <w:tc>
          <w:tcPr>
            <w:tcW w:w="3200" w:type="dxa"/>
            <w:tcMar>
              <w:top w:w="80" w:type="dxa"/>
              <w:left w:w="100" w:type="dxa"/>
              <w:bottom w:w="80" w:type="dxa"/>
              <w:right w:w="100" w:type="dxa"/>
            </w:tcMar>
          </w:tcPr>
          <w:p w14:paraId="2B386700">
            <w:r>
              <w:rPr>
                <w:rFonts w:ascii="Calibri" w:hAnsi="Calibri" w:eastAsia="Calibri" w:cs="Calibri"/>
                <w:b w:val="0"/>
                <w:bCs w:val="0"/>
                <w:color w:val="000000"/>
                <w:sz w:val="20"/>
                <w:szCs w:val="20"/>
              </w:rPr>
              <w:t>kio.id</w:t>
            </w:r>
          </w:p>
        </w:tc>
      </w:tr>
    </w:tbl>
    <w:p w14:paraId="62DB0028">
      <w:pPr>
        <w:spacing w:after="160" w:line="276" w:lineRule="auto"/>
      </w:pPr>
    </w:p>
    <w:p w14:paraId="122C9608">
      <w:pPr>
        <w:pStyle w:val="3"/>
        <w:spacing w:before="260" w:after="120"/>
        <w:jc w:val="both"/>
      </w:pPr>
      <w:r>
        <w:t>6.2 Optional / Self-Service Metrics (Rule G7)</w:t>
      </w:r>
    </w:p>
    <w:p w14:paraId="1CF4BC83">
      <w:pPr>
        <w:spacing w:after="160" w:line="276" w:lineRule="auto"/>
        <w:jc w:val="both"/>
      </w:pPr>
      <w:r>
        <w:rPr>
          <w:rFonts w:ascii="Calibri" w:hAnsi="Calibri" w:eastAsia="Calibri" w:cs="Calibri"/>
          <w:sz w:val="22"/>
          <w:szCs w:val="22"/>
        </w:rPr>
        <w:t>The contract's rule G7 lets any KIO define its own domain-specific metrics as long as they follow G1–G5 (dot-notation naming, correlation keys, low cardinality, no secrets/PII). This is how everything below was added — none of it is on the contract's mandatory list.</w:t>
      </w:r>
    </w:p>
    <w:p w14:paraId="4B5499B2">
      <w:pPr>
        <w:pStyle w:val="16"/>
        <w:numPr>
          <w:ilvl w:val="0"/>
          <w:numId w:val="1"/>
        </w:numPr>
        <w:spacing w:after="120" w:line="276" w:lineRule="auto"/>
        <w:jc w:val="both"/>
      </w:pPr>
      <w:r>
        <w:rPr>
          <w:rFonts w:ascii="Calibri" w:hAnsi="Calibri" w:eastAsia="Calibri" w:cs="Calibri"/>
          <w:b/>
          <w:bCs/>
          <w:sz w:val="22"/>
          <w:szCs w:val="22"/>
        </w:rPr>
        <w:t xml:space="preserve">Performance/energy extras: </w:t>
      </w:r>
      <w:r>
        <w:rPr>
          <w:rFonts w:ascii="Calibri" w:hAnsi="Calibri" w:eastAsia="Calibri" w:cs="Calibri"/>
          <w:sz w:val="22"/>
          <w:szCs w:val="22"/>
        </w:rPr>
        <w:t>kio_llm_tokens_per_second, kio_llm_energy_joules, kio_request_accuracy, kio_repo_line_count / _directory_count / _file_count (code-analysis KIO only).</w:t>
      </w:r>
    </w:p>
    <w:p w14:paraId="46A2D523">
      <w:pPr>
        <w:pStyle w:val="16"/>
        <w:numPr>
          <w:ilvl w:val="0"/>
          <w:numId w:val="1"/>
        </w:numPr>
        <w:spacing w:after="120" w:line="276" w:lineRule="auto"/>
        <w:jc w:val="both"/>
      </w:pPr>
      <w:r>
        <w:rPr>
          <w:rFonts w:ascii="Calibri" w:hAnsi="Calibri" w:eastAsia="Calibri" w:cs="Calibri"/>
          <w:b/>
          <w:bCs/>
          <w:sz w:val="22"/>
          <w:szCs w:val="22"/>
        </w:rPr>
        <w:t xml:space="preserve">D1.1 project-management KPIs: </w:t>
      </w:r>
      <w:r>
        <w:rPr>
          <w:rFonts w:ascii="Calibri" w:hAnsi="Calibri" w:eastAsia="Calibri" w:cs="Calibri"/>
          <w:sz w:val="22"/>
          <w:szCs w:val="22"/>
        </w:rPr>
        <w:t>all 16 KPIs from the D1.1 Project Management Handbook's traceability matrix (1.1–9.2) are now emitted, spread across the six KIO roles in the Section 5 table — up from 11 of 16 a few weeks ago, after kio8/kio13 were added specifically to close the last five (2.1, 2.2, 8.1, 8.2, 8.3). Every value here is still simulated, calibrated to D1.1's own baseline/target bands so the dashboard reads as plausible pilot-sprint progress rather than noise; none of it has a real measurement path yet (that requires the actual KIO module — e.g. FocusTracer for the bugfix role — to report it).</w:t>
      </w:r>
    </w:p>
    <w:p w14:paraId="76F9CB16">
      <w:pPr>
        <w:pStyle w:val="2"/>
        <w:spacing w:before="360" w:after="160"/>
        <w:jc w:val="both"/>
      </w:pPr>
      <w:r>
        <w:t>7. Unstructured (String) Telemetry</w:t>
      </w:r>
    </w:p>
    <w:p w14:paraId="7702E7C4">
      <w:pPr>
        <w:spacing w:after="160" w:line="276" w:lineRule="auto"/>
        <w:jc w:val="both"/>
      </w:pPr>
      <w:r>
        <w:rPr>
          <w:rFonts w:ascii="Calibri" w:hAnsi="Calibri" w:eastAsia="Calibri" w:cs="Calibri"/>
          <w:sz w:val="22"/>
          <w:szCs w:val="22"/>
        </w:rPr>
        <w:t>Free-text data — an LLM's raw output summary, an analysis note, an error explanation — is sent over OpenTelemetry's logs signal, in OTLP format, to VictoriaLogs, and queried with LogsQL (e.g. kio.id:kio2-sim).</w:t>
      </w:r>
    </w:p>
    <w:p w14:paraId="64CEA5DB">
      <w:pPr>
        <w:pStyle w:val="2"/>
        <w:spacing w:before="360" w:after="160"/>
        <w:jc w:val="both"/>
      </w:pPr>
      <w:r>
        <w:t>8. Grafana Dashboards</w:t>
      </w:r>
    </w:p>
    <w:p w14:paraId="702C664A">
      <w:pPr>
        <w:pStyle w:val="16"/>
        <w:numPr>
          <w:ilvl w:val="0"/>
          <w:numId w:val="1"/>
        </w:numPr>
        <w:spacing w:after="120" w:line="276" w:lineRule="auto"/>
        <w:jc w:val="both"/>
      </w:pPr>
      <w:r>
        <w:rPr>
          <w:rFonts w:ascii="Calibri" w:hAnsi="Calibri" w:eastAsia="Calibri" w:cs="Calibri"/>
          <w:b/>
          <w:bCs/>
          <w:sz w:val="22"/>
          <w:szCs w:val="22"/>
        </w:rPr>
        <w:t xml:space="preserve">AI4SWENG — Overview (All KIOs): </w:t>
      </w:r>
      <w:r>
        <w:rPr>
          <w:rFonts w:ascii="Calibri" w:hAnsi="Calibri" w:eastAsia="Calibri" w:cs="Calibri"/>
          <w:sz w:val="22"/>
          <w:szCs w:val="22"/>
        </w:rPr>
        <w:t>aggregate stats across every KIO — request/error rates, p95 latency, token throughput, tokens/sec, GPU energy, cost, accuracy, plus the Stale KIO check table.</w:t>
      </w:r>
    </w:p>
    <w:p w14:paraId="20E64A55">
      <w:pPr>
        <w:pStyle w:val="16"/>
        <w:numPr>
          <w:ilvl w:val="0"/>
          <w:numId w:val="1"/>
        </w:numPr>
        <w:spacing w:after="120" w:line="276" w:lineRule="auto"/>
        <w:jc w:val="both"/>
      </w:pPr>
      <w:r>
        <w:rPr>
          <w:rFonts w:ascii="Calibri" w:hAnsi="Calibri" w:eastAsia="Calibri" w:cs="Calibri"/>
          <w:b/>
          <w:bCs/>
          <w:sz w:val="22"/>
          <w:szCs w:val="22"/>
        </w:rPr>
        <w:t xml:space="preserve">AI4SWENG — KIO Detail: </w:t>
      </w:r>
      <w:r>
        <w:rPr>
          <w:rFonts w:ascii="Calibri" w:hAnsi="Calibri" w:eastAsia="Calibri" w:cs="Calibri"/>
          <w:sz w:val="22"/>
          <w:szCs w:val="22"/>
        </w:rPr>
        <w:t>pick a KIO from the dropdown; per-KIO metrics, a waterfall trace view, log stream, and the D1.1 KPI panel groups (one per role, each panel showing N/A on KIOs outside that role — expected behavior, not a bug). Filterable by KIO ID and, as of this month, by Session ID (regex, log stream + trace table).</w:t>
      </w:r>
    </w:p>
    <w:p w14:paraId="09C9C07F">
      <w:pPr>
        <w:pStyle w:val="16"/>
        <w:numPr>
          <w:ilvl w:val="0"/>
          <w:numId w:val="1"/>
        </w:numPr>
        <w:spacing w:after="120" w:line="276" w:lineRule="auto"/>
        <w:jc w:val="both"/>
      </w:pPr>
      <w:r>
        <w:rPr>
          <w:rFonts w:ascii="Calibri" w:hAnsi="Calibri" w:eastAsia="Calibri" w:cs="Calibri"/>
          <w:b/>
          <w:bCs/>
          <w:sz w:val="22"/>
          <w:szCs w:val="22"/>
        </w:rPr>
        <w:t xml:space="preserve">Langfuse UI: </w:t>
      </w:r>
      <w:r>
        <w:rPr>
          <w:rFonts w:ascii="Calibri" w:hAnsi="Calibri" w:eastAsia="Calibri" w:cs="Calibri"/>
          <w:sz w:val="22"/>
          <w:szCs w:val="22"/>
        </w:rPr>
        <w:t>a separate web interface (port 3001) for prompt/completion-level replay and LLM cost analytics — outside Grafana entirely, since Langfuse is its own product with its own UI.</w:t>
      </w:r>
    </w:p>
    <w:p w14:paraId="24E7DAB2">
      <w:pPr>
        <w:pStyle w:val="2"/>
        <w:spacing w:before="360" w:after="160"/>
      </w:pPr>
      <w:r>
        <w:t>9. Contract &amp; Guideline Compliance Status</w:t>
      </w:r>
    </w:p>
    <w:p w14:paraId="1DA98080">
      <w:pPr>
        <w:spacing w:after="160" w:line="276" w:lineRule="auto"/>
        <w:jc w:val="both"/>
      </w:pPr>
      <w:r>
        <w:rPr>
          <w:rFonts w:ascii="Calibri" w:hAnsi="Calibri" w:eastAsia="Calibri" w:cs="Calibri"/>
          <w:sz w:val="22"/>
          <w:szCs w:val="22"/>
        </w:rPr>
        <w:t>This section compares the normative requirements (both source documents) against what is actually running today.</w:t>
      </w:r>
    </w:p>
    <w:tbl>
      <w:tblPr>
        <w:tblStyle w:val="9"/>
        <w:tblW w:w="8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4300"/>
        <w:gridCol w:w="3100"/>
      </w:tblGrid>
      <w:tr w14:paraId="680C8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300" w:type="dxa"/>
            <w:shd w:val="clear" w:color="auto" w:fill="1F3864"/>
            <w:tcMar>
              <w:top w:w="80" w:type="dxa"/>
              <w:left w:w="100" w:type="dxa"/>
              <w:bottom w:w="80" w:type="dxa"/>
              <w:right w:w="100" w:type="dxa"/>
            </w:tcMar>
          </w:tcPr>
          <w:p w14:paraId="09C2032F">
            <w:r>
              <w:rPr>
                <w:rFonts w:ascii="Calibri" w:hAnsi="Calibri" w:eastAsia="Calibri" w:cs="Calibri"/>
                <w:b/>
                <w:bCs/>
                <w:color w:val="FFFFFF"/>
                <w:sz w:val="20"/>
                <w:szCs w:val="20"/>
              </w:rPr>
              <w:t>Ref</w:t>
            </w:r>
          </w:p>
        </w:tc>
        <w:tc>
          <w:tcPr>
            <w:tcW w:w="4300" w:type="dxa"/>
            <w:shd w:val="clear" w:color="auto" w:fill="1F3864"/>
            <w:tcMar>
              <w:top w:w="80" w:type="dxa"/>
              <w:left w:w="100" w:type="dxa"/>
              <w:bottom w:w="80" w:type="dxa"/>
              <w:right w:w="100" w:type="dxa"/>
            </w:tcMar>
          </w:tcPr>
          <w:p w14:paraId="5A377E63">
            <w:r>
              <w:rPr>
                <w:rFonts w:ascii="Calibri" w:hAnsi="Calibri" w:eastAsia="Calibri" w:cs="Calibri"/>
                <w:b/>
                <w:bCs/>
                <w:color w:val="FFFFFF"/>
                <w:sz w:val="20"/>
                <w:szCs w:val="20"/>
              </w:rPr>
              <w:t>Item</w:t>
            </w:r>
          </w:p>
        </w:tc>
        <w:tc>
          <w:tcPr>
            <w:tcW w:w="3100" w:type="dxa"/>
            <w:shd w:val="clear" w:color="auto" w:fill="1F3864"/>
            <w:tcMar>
              <w:top w:w="80" w:type="dxa"/>
              <w:left w:w="100" w:type="dxa"/>
              <w:bottom w:w="80" w:type="dxa"/>
              <w:right w:w="100" w:type="dxa"/>
            </w:tcMar>
          </w:tcPr>
          <w:p w14:paraId="67D05AE0">
            <w:r>
              <w:rPr>
                <w:rFonts w:ascii="Calibri" w:hAnsi="Calibri" w:eastAsia="Calibri" w:cs="Calibri"/>
                <w:b/>
                <w:bCs/>
                <w:color w:val="FFFFFF"/>
                <w:sz w:val="20"/>
                <w:szCs w:val="20"/>
              </w:rPr>
              <w:t>Status</w:t>
            </w:r>
          </w:p>
        </w:tc>
      </w:tr>
      <w:tr w14:paraId="1BF56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21AD52D1">
            <w:r>
              <w:rPr>
                <w:rFonts w:ascii="Calibri" w:hAnsi="Calibri" w:eastAsia="Calibri" w:cs="Calibri"/>
                <w:b/>
                <w:bCs/>
                <w:color w:val="000000"/>
                <w:sz w:val="20"/>
                <w:szCs w:val="20"/>
              </w:rPr>
              <w:t>9.1</w:t>
            </w:r>
          </w:p>
        </w:tc>
        <w:tc>
          <w:tcPr>
            <w:tcW w:w="4300" w:type="dxa"/>
            <w:tcMar>
              <w:top w:w="80" w:type="dxa"/>
              <w:left w:w="100" w:type="dxa"/>
              <w:bottom w:w="80" w:type="dxa"/>
              <w:right w:w="100" w:type="dxa"/>
            </w:tcMar>
          </w:tcPr>
          <w:p w14:paraId="0A6BAF65">
            <w:r>
              <w:rPr>
                <w:rFonts w:ascii="Calibri" w:hAnsi="Calibri" w:eastAsia="Calibri" w:cs="Calibri"/>
                <w:b w:val="0"/>
                <w:bCs w:val="0"/>
                <w:color w:val="000000"/>
                <w:sz w:val="20"/>
                <w:szCs w:val="20"/>
              </w:rPr>
              <w:t>Tempo (trace waterfall view)</w:t>
            </w:r>
          </w:p>
        </w:tc>
        <w:tc>
          <w:tcPr>
            <w:tcW w:w="3100" w:type="dxa"/>
            <w:tcMar>
              <w:top w:w="80" w:type="dxa"/>
              <w:left w:w="100" w:type="dxa"/>
              <w:bottom w:w="80" w:type="dxa"/>
              <w:right w:w="100" w:type="dxa"/>
            </w:tcMar>
          </w:tcPr>
          <w:p w14:paraId="7AF12827">
            <w:r>
              <w:rPr>
                <w:rFonts w:ascii="Calibri" w:hAnsi="Calibri" w:eastAsia="Calibri" w:cs="Calibri"/>
                <w:b/>
                <w:bCs/>
                <w:color w:val="2E7D32"/>
                <w:sz w:val="20"/>
                <w:szCs w:val="20"/>
              </w:rPr>
              <w:t>DONE</w:t>
            </w:r>
          </w:p>
        </w:tc>
      </w:tr>
      <w:tr w14:paraId="6A025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5824270C">
            <w:r>
              <w:rPr>
                <w:rFonts w:ascii="Calibri" w:hAnsi="Calibri" w:eastAsia="Calibri" w:cs="Calibri"/>
                <w:b/>
                <w:bCs/>
                <w:color w:val="000000"/>
                <w:sz w:val="20"/>
                <w:szCs w:val="20"/>
              </w:rPr>
              <w:t>9.2</w:t>
            </w:r>
          </w:p>
        </w:tc>
        <w:tc>
          <w:tcPr>
            <w:tcW w:w="4300" w:type="dxa"/>
            <w:shd w:val="clear" w:color="auto" w:fill="F2F2F2"/>
            <w:tcMar>
              <w:top w:w="80" w:type="dxa"/>
              <w:left w:w="100" w:type="dxa"/>
              <w:bottom w:w="80" w:type="dxa"/>
              <w:right w:w="100" w:type="dxa"/>
            </w:tcMar>
          </w:tcPr>
          <w:p w14:paraId="0908280B">
            <w:r>
              <w:rPr>
                <w:rFonts w:ascii="Calibri" w:hAnsi="Calibri" w:eastAsia="Calibri" w:cs="Calibri"/>
                <w:b w:val="0"/>
                <w:bCs w:val="0"/>
                <w:color w:val="000000"/>
                <w:sz w:val="20"/>
                <w:szCs w:val="20"/>
              </w:rPr>
              <w:t>Langfuse integration (second telemetry stream)</w:t>
            </w:r>
          </w:p>
        </w:tc>
        <w:tc>
          <w:tcPr>
            <w:tcW w:w="3100" w:type="dxa"/>
            <w:shd w:val="clear" w:color="auto" w:fill="F2F2F2"/>
            <w:tcMar>
              <w:top w:w="80" w:type="dxa"/>
              <w:left w:w="100" w:type="dxa"/>
              <w:bottom w:w="80" w:type="dxa"/>
              <w:right w:w="100" w:type="dxa"/>
            </w:tcMar>
          </w:tcPr>
          <w:p w14:paraId="0B0D6AFF">
            <w:r>
              <w:rPr>
                <w:rFonts w:ascii="Calibri" w:hAnsi="Calibri" w:eastAsia="Calibri" w:cs="Calibri"/>
                <w:b/>
                <w:bCs/>
                <w:color w:val="2E7D32"/>
                <w:sz w:val="20"/>
                <w:szCs w:val="20"/>
              </w:rPr>
              <w:t>DONE</w:t>
            </w:r>
          </w:p>
        </w:tc>
      </w:tr>
      <w:tr w14:paraId="336AF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35CA8E8F">
            <w:r>
              <w:rPr>
                <w:rFonts w:ascii="Calibri" w:hAnsi="Calibri" w:eastAsia="Calibri" w:cs="Calibri"/>
                <w:b/>
                <w:bCs/>
                <w:color w:val="000000"/>
                <w:sz w:val="20"/>
                <w:szCs w:val="20"/>
              </w:rPr>
              <w:t>9.3</w:t>
            </w:r>
          </w:p>
        </w:tc>
        <w:tc>
          <w:tcPr>
            <w:tcW w:w="4300" w:type="dxa"/>
            <w:tcMar>
              <w:top w:w="80" w:type="dxa"/>
              <w:left w:w="100" w:type="dxa"/>
              <w:bottom w:w="80" w:type="dxa"/>
              <w:right w:w="100" w:type="dxa"/>
            </w:tcMar>
          </w:tcPr>
          <w:p w14:paraId="674D9FF4">
            <w:r>
              <w:rPr>
                <w:rFonts w:ascii="Calibri" w:hAnsi="Calibri" w:eastAsia="Calibri" w:cs="Calibri"/>
                <w:b w:val="0"/>
                <w:bCs w:val="0"/>
                <w:color w:val="000000"/>
                <w:sz w:val="20"/>
                <w:szCs w:val="20"/>
              </w:rPr>
              <w:t>OTLP authentication / TLS</w:t>
            </w:r>
          </w:p>
        </w:tc>
        <w:tc>
          <w:tcPr>
            <w:tcW w:w="3100" w:type="dxa"/>
            <w:tcMar>
              <w:top w:w="80" w:type="dxa"/>
              <w:left w:w="100" w:type="dxa"/>
              <w:bottom w:w="80" w:type="dxa"/>
              <w:right w:w="100" w:type="dxa"/>
            </w:tcMar>
          </w:tcPr>
          <w:p w14:paraId="095807EB">
            <w:r>
              <w:rPr>
                <w:rFonts w:ascii="Calibri" w:hAnsi="Calibri" w:eastAsia="Calibri" w:cs="Calibri"/>
                <w:b/>
                <w:bCs/>
                <w:color w:val="B26A00"/>
                <w:sz w:val="20"/>
                <w:szCs w:val="20"/>
              </w:rPr>
              <w:t>PARTIAL — Bearer enforced, TLS deferred</w:t>
            </w:r>
          </w:p>
        </w:tc>
      </w:tr>
      <w:tr w14:paraId="7A139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5E349800">
            <w:r>
              <w:rPr>
                <w:rFonts w:ascii="Calibri" w:hAnsi="Calibri" w:eastAsia="Calibri" w:cs="Calibri"/>
                <w:b/>
                <w:bCs/>
                <w:color w:val="000000"/>
                <w:sz w:val="20"/>
                <w:szCs w:val="20"/>
              </w:rPr>
              <w:t>9.4</w:t>
            </w:r>
          </w:p>
        </w:tc>
        <w:tc>
          <w:tcPr>
            <w:tcW w:w="4300" w:type="dxa"/>
            <w:shd w:val="clear" w:color="auto" w:fill="F2F2F2"/>
            <w:tcMar>
              <w:top w:w="80" w:type="dxa"/>
              <w:left w:w="100" w:type="dxa"/>
              <w:bottom w:w="80" w:type="dxa"/>
              <w:right w:w="100" w:type="dxa"/>
            </w:tcMar>
          </w:tcPr>
          <w:p w14:paraId="02B776FD">
            <w:r>
              <w:rPr>
                <w:rFonts w:ascii="Calibri" w:hAnsi="Calibri" w:eastAsia="Calibri" w:cs="Calibri"/>
                <w:b w:val="0"/>
                <w:bCs w:val="0"/>
                <w:color w:val="000000"/>
                <w:sz w:val="20"/>
                <w:szCs w:val="20"/>
              </w:rPr>
              <w:t>Real energy &amp; cost measurement (kio2-sim, optional)</w:t>
            </w:r>
          </w:p>
        </w:tc>
        <w:tc>
          <w:tcPr>
            <w:tcW w:w="3100" w:type="dxa"/>
            <w:shd w:val="clear" w:color="auto" w:fill="F2F2F2"/>
            <w:tcMar>
              <w:top w:w="80" w:type="dxa"/>
              <w:left w:w="100" w:type="dxa"/>
              <w:bottom w:w="80" w:type="dxa"/>
              <w:right w:w="100" w:type="dxa"/>
            </w:tcMar>
          </w:tcPr>
          <w:p w14:paraId="2DA56A9E">
            <w:r>
              <w:rPr>
                <w:rFonts w:ascii="Calibri" w:hAnsi="Calibri" w:eastAsia="Calibri" w:cs="Calibri"/>
                <w:b/>
                <w:bCs/>
                <w:color w:val="2E7D32"/>
                <w:sz w:val="20"/>
                <w:szCs w:val="20"/>
              </w:rPr>
              <w:t>DONE (optional)</w:t>
            </w:r>
          </w:p>
        </w:tc>
      </w:tr>
      <w:tr w14:paraId="0F347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28209F97">
            <w:r>
              <w:rPr>
                <w:rFonts w:ascii="Calibri" w:hAnsi="Calibri" w:eastAsia="Calibri" w:cs="Calibri"/>
                <w:b/>
                <w:bCs/>
                <w:color w:val="000000"/>
                <w:sz w:val="20"/>
                <w:szCs w:val="20"/>
              </w:rPr>
              <w:t>9.5</w:t>
            </w:r>
          </w:p>
        </w:tc>
        <w:tc>
          <w:tcPr>
            <w:tcW w:w="4300" w:type="dxa"/>
            <w:tcMar>
              <w:top w:w="80" w:type="dxa"/>
              <w:left w:w="100" w:type="dxa"/>
              <w:bottom w:w="80" w:type="dxa"/>
              <w:right w:w="100" w:type="dxa"/>
            </w:tcMar>
          </w:tcPr>
          <w:p w14:paraId="4DB52CE6">
            <w:r>
              <w:rPr>
                <w:rFonts w:ascii="Calibri" w:hAnsi="Calibri" w:eastAsia="Calibri" w:cs="Calibri"/>
                <w:b w:val="0"/>
                <w:bCs w:val="0"/>
                <w:color w:val="000000"/>
                <w:sz w:val="20"/>
                <w:szCs w:val="20"/>
              </w:rPr>
              <w:t>“Stale KIO” alert</w:t>
            </w:r>
          </w:p>
        </w:tc>
        <w:tc>
          <w:tcPr>
            <w:tcW w:w="3100" w:type="dxa"/>
            <w:tcMar>
              <w:top w:w="80" w:type="dxa"/>
              <w:left w:w="100" w:type="dxa"/>
              <w:bottom w:w="80" w:type="dxa"/>
              <w:right w:w="100" w:type="dxa"/>
            </w:tcMar>
          </w:tcPr>
          <w:p w14:paraId="6410CE77">
            <w:r>
              <w:rPr>
                <w:rFonts w:ascii="Calibri" w:hAnsi="Calibri" w:eastAsia="Calibri" w:cs="Calibri"/>
                <w:b/>
                <w:bCs/>
                <w:color w:val="2E7D32"/>
                <w:sz w:val="20"/>
                <w:szCs w:val="20"/>
              </w:rPr>
              <w:t>DONE</w:t>
            </w:r>
          </w:p>
        </w:tc>
      </w:tr>
      <w:tr w14:paraId="39457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0FF269F8">
            <w:r>
              <w:rPr>
                <w:rFonts w:ascii="Calibri" w:hAnsi="Calibri" w:eastAsia="Calibri" w:cs="Calibri"/>
                <w:b/>
                <w:bCs/>
                <w:color w:val="000000"/>
                <w:sz w:val="20"/>
                <w:szCs w:val="20"/>
              </w:rPr>
              <w:t>9.6</w:t>
            </w:r>
          </w:p>
        </w:tc>
        <w:tc>
          <w:tcPr>
            <w:tcW w:w="4300" w:type="dxa"/>
            <w:shd w:val="clear" w:color="auto" w:fill="F2F2F2"/>
            <w:tcMar>
              <w:top w:w="80" w:type="dxa"/>
              <w:left w:w="100" w:type="dxa"/>
              <w:bottom w:w="80" w:type="dxa"/>
              <w:right w:w="100" w:type="dxa"/>
            </w:tcMar>
          </w:tcPr>
          <w:p w14:paraId="09980FA8">
            <w:r>
              <w:rPr>
                <w:rFonts w:ascii="Calibri" w:hAnsi="Calibri" w:eastAsia="Calibri" w:cs="Calibri"/>
                <w:b w:val="0"/>
                <w:bCs w:val="0"/>
                <w:color w:val="000000"/>
                <w:sz w:val="20"/>
                <w:szCs w:val="20"/>
              </w:rPr>
              <w:t>Orchestration layer (NATS JetStream)</w:t>
            </w:r>
          </w:p>
        </w:tc>
        <w:tc>
          <w:tcPr>
            <w:tcW w:w="3100" w:type="dxa"/>
            <w:shd w:val="clear" w:color="auto" w:fill="F2F2F2"/>
            <w:tcMar>
              <w:top w:w="80" w:type="dxa"/>
              <w:left w:w="100" w:type="dxa"/>
              <w:bottom w:w="80" w:type="dxa"/>
              <w:right w:w="100" w:type="dxa"/>
            </w:tcMar>
          </w:tcPr>
          <w:p w14:paraId="59C1A719">
            <w:r>
              <w:rPr>
                <w:rFonts w:ascii="Calibri" w:hAnsi="Calibri" w:eastAsia="Calibri" w:cs="Calibri"/>
                <w:b/>
                <w:bCs/>
                <w:color w:val="2E7D32"/>
                <w:sz w:val="20"/>
                <w:szCs w:val="20"/>
              </w:rPr>
              <w:t>DONE — scope limited, needs live verification</w:t>
            </w:r>
          </w:p>
        </w:tc>
      </w:tr>
      <w:tr w14:paraId="5C5847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22D87533">
            <w:r>
              <w:rPr>
                <w:rFonts w:ascii="Calibri" w:hAnsi="Calibri" w:eastAsia="Calibri" w:cs="Calibri"/>
                <w:b/>
                <w:bCs/>
                <w:color w:val="000000"/>
                <w:sz w:val="20"/>
                <w:szCs w:val="20"/>
              </w:rPr>
              <w:t>9.7</w:t>
            </w:r>
          </w:p>
        </w:tc>
        <w:tc>
          <w:tcPr>
            <w:tcW w:w="4300" w:type="dxa"/>
            <w:tcMar>
              <w:top w:w="80" w:type="dxa"/>
              <w:left w:w="100" w:type="dxa"/>
              <w:bottom w:w="80" w:type="dxa"/>
              <w:right w:w="100" w:type="dxa"/>
            </w:tcMar>
          </w:tcPr>
          <w:p w14:paraId="6C2B8A74">
            <w:r>
              <w:rPr>
                <w:rFonts w:ascii="Calibri" w:hAnsi="Calibri" w:eastAsia="Calibri" w:cs="Calibri"/>
                <w:b w:val="0"/>
                <w:bCs w:val="0"/>
                <w:color w:val="000000"/>
                <w:sz w:val="20"/>
                <w:szCs w:val="20"/>
              </w:rPr>
              <w:t>D1.1 real-project KPIs</w:t>
            </w:r>
          </w:p>
        </w:tc>
        <w:tc>
          <w:tcPr>
            <w:tcW w:w="3100" w:type="dxa"/>
            <w:tcMar>
              <w:top w:w="80" w:type="dxa"/>
              <w:left w:w="100" w:type="dxa"/>
              <w:bottom w:w="80" w:type="dxa"/>
              <w:right w:w="100" w:type="dxa"/>
            </w:tcMar>
          </w:tcPr>
          <w:p w14:paraId="03A2EA0E">
            <w:r>
              <w:rPr>
                <w:rFonts w:ascii="Calibri" w:hAnsi="Calibri" w:eastAsia="Calibri" w:cs="Calibri"/>
                <w:b/>
                <w:bCs/>
                <w:color w:val="2E7D32"/>
                <w:sz w:val="20"/>
                <w:szCs w:val="20"/>
              </w:rPr>
              <w:t>DONE — all 16 KPIs, all 6 KIO roles</w:t>
            </w:r>
          </w:p>
        </w:tc>
      </w:tr>
      <w:tr w14:paraId="5A515B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52CE232B">
            <w:r>
              <w:rPr>
                <w:rFonts w:ascii="Calibri" w:hAnsi="Calibri" w:eastAsia="Calibri" w:cs="Calibri"/>
                <w:b/>
                <w:bCs/>
                <w:color w:val="000000"/>
                <w:sz w:val="20"/>
                <w:szCs w:val="20"/>
              </w:rPr>
              <w:t>9.8</w:t>
            </w:r>
          </w:p>
        </w:tc>
        <w:tc>
          <w:tcPr>
            <w:tcW w:w="4300" w:type="dxa"/>
            <w:shd w:val="clear" w:color="auto" w:fill="F2F2F2"/>
            <w:tcMar>
              <w:top w:w="80" w:type="dxa"/>
              <w:left w:w="100" w:type="dxa"/>
              <w:bottom w:w="80" w:type="dxa"/>
              <w:right w:w="100" w:type="dxa"/>
            </w:tcMar>
          </w:tcPr>
          <w:p w14:paraId="40B76C5B">
            <w:r>
              <w:rPr>
                <w:rFonts w:ascii="Calibri" w:hAnsi="Calibri" w:eastAsia="Calibri" w:cs="Calibri"/>
                <w:b w:val="0"/>
                <w:bCs w:val="0"/>
                <w:color w:val="000000"/>
                <w:sz w:val="20"/>
                <w:szCs w:val="20"/>
              </w:rPr>
              <w:t>KIO2 → FocusTracer handoff</w:t>
            </w:r>
          </w:p>
        </w:tc>
        <w:tc>
          <w:tcPr>
            <w:tcW w:w="3100" w:type="dxa"/>
            <w:shd w:val="clear" w:color="auto" w:fill="F2F2F2"/>
            <w:tcMar>
              <w:top w:w="80" w:type="dxa"/>
              <w:left w:w="100" w:type="dxa"/>
              <w:bottom w:w="80" w:type="dxa"/>
              <w:right w:w="100" w:type="dxa"/>
            </w:tcMar>
          </w:tcPr>
          <w:p w14:paraId="02BBECC3">
            <w:r>
              <w:rPr>
                <w:rFonts w:ascii="Calibri" w:hAnsi="Calibri" w:eastAsia="Calibri" w:cs="Calibri"/>
                <w:b/>
                <w:bCs/>
                <w:color w:val="B26A00"/>
                <w:sz w:val="20"/>
                <w:szCs w:val="20"/>
              </w:rPr>
              <w:t xml:space="preserve">GUIDE READY — awaiting </w:t>
            </w:r>
            <w:r>
              <w:rPr>
                <w:rFonts w:hint="default" w:cs="Calibri"/>
                <w:b/>
                <w:bCs/>
                <w:color w:val="B26A00"/>
                <w:sz w:val="20"/>
                <w:szCs w:val="20"/>
                <w:lang w:val="tr-TR"/>
              </w:rPr>
              <w:t xml:space="preserve">kio2 </w:t>
            </w:r>
            <w:r>
              <w:rPr>
                <w:rFonts w:ascii="Calibri" w:hAnsi="Calibri" w:eastAsia="Calibri" w:cs="Calibri"/>
                <w:b/>
                <w:bCs/>
                <w:color w:val="B26A00"/>
                <w:sz w:val="20"/>
                <w:szCs w:val="20"/>
              </w:rPr>
              <w:t xml:space="preserve"> connection</w:t>
            </w:r>
          </w:p>
        </w:tc>
      </w:tr>
      <w:tr w14:paraId="210F9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09211506">
            <w:r>
              <w:rPr>
                <w:rFonts w:ascii="Calibri" w:hAnsi="Calibri" w:eastAsia="Calibri" w:cs="Calibri"/>
                <w:b/>
                <w:bCs/>
                <w:color w:val="000000"/>
                <w:sz w:val="20"/>
                <w:szCs w:val="20"/>
              </w:rPr>
              <w:t>9.9</w:t>
            </w:r>
          </w:p>
        </w:tc>
        <w:tc>
          <w:tcPr>
            <w:tcW w:w="4300" w:type="dxa"/>
            <w:tcMar>
              <w:top w:w="80" w:type="dxa"/>
              <w:left w:w="100" w:type="dxa"/>
              <w:bottom w:w="80" w:type="dxa"/>
              <w:right w:w="100" w:type="dxa"/>
            </w:tcMar>
          </w:tcPr>
          <w:p w14:paraId="2A7E1CBB">
            <w:r>
              <w:rPr>
                <w:rFonts w:ascii="Calibri" w:hAnsi="Calibri" w:eastAsia="Calibri" w:cs="Calibri"/>
                <w:b w:val="0"/>
                <w:bCs w:val="0"/>
                <w:color w:val="000000"/>
                <w:sz w:val="20"/>
                <w:szCs w:val="20"/>
              </w:rPr>
              <w:t>Dashboard adaptation &amp; polish</w:t>
            </w:r>
          </w:p>
        </w:tc>
        <w:tc>
          <w:tcPr>
            <w:tcW w:w="3100" w:type="dxa"/>
            <w:tcMar>
              <w:top w:w="80" w:type="dxa"/>
              <w:left w:w="100" w:type="dxa"/>
              <w:bottom w:w="80" w:type="dxa"/>
              <w:right w:w="100" w:type="dxa"/>
            </w:tcMar>
          </w:tcPr>
          <w:p w14:paraId="64AC31D8">
            <w:r>
              <w:rPr>
                <w:rFonts w:ascii="Calibri" w:hAnsi="Calibri" w:eastAsia="Calibri" w:cs="Calibri"/>
                <w:b/>
                <w:bCs/>
                <w:color w:val="2E7D32"/>
                <w:sz w:val="20"/>
                <w:szCs w:val="20"/>
              </w:rPr>
              <w:t>DONE</w:t>
            </w:r>
          </w:p>
        </w:tc>
      </w:tr>
      <w:tr w14:paraId="3C29F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shd w:val="clear" w:color="auto" w:fill="F2F2F2"/>
            <w:tcMar>
              <w:top w:w="80" w:type="dxa"/>
              <w:left w:w="100" w:type="dxa"/>
              <w:bottom w:w="80" w:type="dxa"/>
              <w:right w:w="100" w:type="dxa"/>
            </w:tcMar>
          </w:tcPr>
          <w:p w14:paraId="20DAFF49">
            <w:r>
              <w:rPr>
                <w:rFonts w:ascii="Calibri" w:hAnsi="Calibri" w:eastAsia="Calibri" w:cs="Calibri"/>
                <w:b/>
                <w:bCs/>
                <w:color w:val="000000"/>
                <w:sz w:val="20"/>
                <w:szCs w:val="20"/>
              </w:rPr>
              <w:t>9.10</w:t>
            </w:r>
          </w:p>
        </w:tc>
        <w:tc>
          <w:tcPr>
            <w:tcW w:w="4300" w:type="dxa"/>
            <w:shd w:val="clear" w:color="auto" w:fill="F2F2F2"/>
            <w:tcMar>
              <w:top w:w="80" w:type="dxa"/>
              <w:left w:w="100" w:type="dxa"/>
              <w:bottom w:w="80" w:type="dxa"/>
              <w:right w:w="100" w:type="dxa"/>
            </w:tcMar>
          </w:tcPr>
          <w:p w14:paraId="249384BC">
            <w:r>
              <w:rPr>
                <w:rFonts w:ascii="Calibri" w:hAnsi="Calibri" w:eastAsia="Calibri" w:cs="Calibri"/>
                <w:b w:val="0"/>
                <w:bCs w:val="0"/>
                <w:color w:val="000000"/>
                <w:sz w:val="20"/>
                <w:szCs w:val="20"/>
              </w:rPr>
              <w:t>Automated test suite (pytest)</w:t>
            </w:r>
          </w:p>
        </w:tc>
        <w:tc>
          <w:tcPr>
            <w:tcW w:w="3100" w:type="dxa"/>
            <w:shd w:val="clear" w:color="auto" w:fill="F2F2F2"/>
            <w:tcMar>
              <w:top w:w="80" w:type="dxa"/>
              <w:left w:w="100" w:type="dxa"/>
              <w:bottom w:w="80" w:type="dxa"/>
              <w:right w:w="100" w:type="dxa"/>
            </w:tcMar>
          </w:tcPr>
          <w:p w14:paraId="25062D26">
            <w:r>
              <w:rPr>
                <w:rFonts w:ascii="Calibri" w:hAnsi="Calibri" w:eastAsia="Calibri" w:cs="Calibri"/>
                <w:b/>
                <w:bCs/>
                <w:color w:val="2E7D32"/>
                <w:sz w:val="20"/>
                <w:szCs w:val="20"/>
              </w:rPr>
              <w:t>DONE — 41 tests, all green</w:t>
            </w:r>
          </w:p>
        </w:tc>
      </w:tr>
      <w:tr w14:paraId="7A3F1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Mar>
              <w:top w:w="80" w:type="dxa"/>
              <w:left w:w="100" w:type="dxa"/>
              <w:bottom w:w="80" w:type="dxa"/>
              <w:right w:w="100" w:type="dxa"/>
            </w:tcMar>
          </w:tcPr>
          <w:p w14:paraId="0C9ACD75">
            <w:r>
              <w:rPr>
                <w:rFonts w:ascii="Calibri" w:hAnsi="Calibri" w:eastAsia="Calibri" w:cs="Calibri"/>
                <w:b/>
                <w:bCs/>
                <w:color w:val="000000"/>
                <w:sz w:val="20"/>
                <w:szCs w:val="20"/>
              </w:rPr>
              <w:t>9.11</w:t>
            </w:r>
          </w:p>
        </w:tc>
        <w:tc>
          <w:tcPr>
            <w:tcW w:w="4300" w:type="dxa"/>
            <w:tcMar>
              <w:top w:w="80" w:type="dxa"/>
              <w:left w:w="100" w:type="dxa"/>
              <w:bottom w:w="80" w:type="dxa"/>
              <w:right w:w="100" w:type="dxa"/>
            </w:tcMar>
          </w:tcPr>
          <w:p w14:paraId="3CC70361">
            <w:r>
              <w:rPr>
                <w:rFonts w:ascii="Calibri" w:hAnsi="Calibri" w:eastAsia="Calibri" w:cs="Calibri"/>
                <w:b w:val="0"/>
                <w:bCs w:val="0"/>
                <w:color w:val="000000"/>
                <w:sz w:val="20"/>
                <w:szCs w:val="20"/>
              </w:rPr>
              <w:t>Grafana access control</w:t>
            </w:r>
          </w:p>
        </w:tc>
        <w:tc>
          <w:tcPr>
            <w:tcW w:w="3100" w:type="dxa"/>
            <w:tcMar>
              <w:top w:w="80" w:type="dxa"/>
              <w:left w:w="100" w:type="dxa"/>
              <w:bottom w:w="80" w:type="dxa"/>
              <w:right w:w="100" w:type="dxa"/>
            </w:tcMar>
          </w:tcPr>
          <w:p w14:paraId="57B78F51">
            <w:r>
              <w:rPr>
                <w:rFonts w:ascii="Calibri" w:hAnsi="Calibri" w:eastAsia="Calibri" w:cs="Calibri"/>
                <w:b/>
                <w:bCs/>
                <w:color w:val="2E7D32"/>
                <w:sz w:val="20"/>
                <w:szCs w:val="20"/>
              </w:rPr>
              <w:t>DONE — anonymous downgraded to Viewer, admin password rotated</w:t>
            </w:r>
          </w:p>
        </w:tc>
      </w:tr>
    </w:tbl>
    <w:p w14:paraId="24AEA174">
      <w:pPr>
        <w:spacing w:after="160" w:line="276" w:lineRule="auto"/>
      </w:pPr>
    </w:p>
    <w:p w14:paraId="52F1CC11">
      <w:pPr>
        <w:pStyle w:val="4"/>
        <w:spacing w:before="200" w:after="100"/>
      </w:pPr>
      <w:r>
        <w:t>On 9.3 — Authentication / TLS, in detail</w:t>
      </w:r>
    </w:p>
    <w:p w14:paraId="07F9341B">
      <w:pPr>
        <w:spacing w:after="160" w:line="276" w:lineRule="auto"/>
        <w:jc w:val="both"/>
      </w:pPr>
      <w:r>
        <w:rPr>
          <w:rFonts w:ascii="Calibri" w:hAnsi="Calibri" w:eastAsia="Calibri" w:cs="Calibri"/>
          <w:sz w:val="22"/>
          <w:szCs w:val="22"/>
        </w:rPr>
        <w:t>The contract requires TLS + Bearer token on the OTLP connection. As of this build, the collector's bearertokenauth extension enforces the Bearer token on both gRPC (4317) and HTTP (4318) — every KIO in docker-compose.yml now sends OTEL_EXPORTER_OTLP_HEADERS with a shared token (OTLP_BEARER_TOKEN, overridable via .env), and no code change was needed for this since the OTel SDK reads that variable on its own. TLS itself is intentionally still not enabled — the connection is authenticated but not encrypted, which is adequate for a trusted LAN/VPN but not for the open internet. Real TLS (certificates on the collector, insecure=False on every client) is left for an actual remote/production deployment; adding self-signed certificates to this docker-compose would add complexity without a real trust boundary to justify it yet.</w:t>
      </w:r>
    </w:p>
    <w:p w14:paraId="3D13D7EB">
      <w:pPr>
        <w:pStyle w:val="4"/>
        <w:spacing w:before="200" w:after="100"/>
      </w:pPr>
      <w:r>
        <w:t>On 9.6 — Orchestration layer, in detail</w:t>
      </w:r>
    </w:p>
    <w:p w14:paraId="0649C110">
      <w:pPr>
        <w:spacing w:after="160" w:line="276" w:lineRule="auto"/>
        <w:jc w:val="both"/>
      </w:pPr>
      <w:r>
        <w:rPr>
          <w:rFonts w:ascii="Calibri" w:hAnsi="Calibri" w:eastAsia="Calibri" w:cs="Calibri"/>
          <w:sz w:val="22"/>
          <w:szCs w:val="22"/>
        </w:rPr>
        <w:t>The full flow the v2 guideline describes — Workflow API → Session Manager → Planner &amp; Prompt Router → NATS JetStream → worker KIO → result → lineage in Postgres — is implemented (orchestrator/). The scope is deliberately limited and stated plainly: the Planner is a static task_type → kio_id routing table, not a real multi-step LangGraph workflow graph (no conditional branching, no multi-KIO pipelines, no retries yet). It was tested at the logic level only — a fake pub/sub double standing in for NATS, SQLite standing in for Postgres, since the sandbox this was built in has no Docker. A verification script now exists to close that gap: scripts/verify_orchestration.py drives the full round trip (POST /workflow/run → NATS → a worker KIO → kio.results.* → the Planner's result listener → Postgres lineage) against a real docker compose up stack and reports exactly which hop fails if it doesn't pass. This has not yet been run against real infrastructure — that is one of the two hands-on tasks requested in Section 13.</w:t>
      </w:r>
    </w:p>
    <w:p w14:paraId="0441E04D">
      <w:pPr>
        <w:pStyle w:val="2"/>
        <w:spacing w:before="360" w:after="160"/>
      </w:pPr>
      <w:r>
        <w:t>10. Design Decisions &amp; Rationale</w:t>
      </w:r>
    </w:p>
    <w:p w14:paraId="66A77E59">
      <w:pPr>
        <w:spacing w:after="160" w:line="276" w:lineRule="auto"/>
        <w:jc w:val="both"/>
      </w:pPr>
      <w:r>
        <w:rPr>
          <w:rFonts w:ascii="Calibri" w:hAnsi="Calibri" w:eastAsia="Calibri" w:cs="Calibri"/>
          <w:sz w:val="22"/>
          <w:szCs w:val="22"/>
        </w:rPr>
        <w:t>This is the section most worth reading closely: every place this implementation departs from the original architecture, stated explicitly with its reasoning, so nothing is a silent surprise.</w:t>
      </w:r>
    </w:p>
    <w:p w14:paraId="66E7E9E3">
      <w:pPr>
        <w:pStyle w:val="3"/>
        <w:spacing w:before="260" w:after="120"/>
      </w:pPr>
      <w:r>
        <w:t>10.1 Clarifying “Prometheus”</w:t>
      </w:r>
    </w:p>
    <w:p w14:paraId="399ED807">
      <w:pPr>
        <w:spacing w:after="160" w:line="276" w:lineRule="auto"/>
        <w:jc w:val="both"/>
      </w:pPr>
      <w:r>
        <w:rPr>
          <w:rFonts w:ascii="Calibri" w:hAnsi="Calibri" w:eastAsia="Calibri" w:cs="Calibri"/>
          <w:sz w:val="22"/>
          <w:szCs w:val="22"/>
        </w:rPr>
        <w:t>No Prometheus server runs anywhere in this stack, matching an explicit early request (“we want Victoria, not Prometheus”). “prometheusremotewrite” and the Grafana datasource type “prometheus” are the name of a protocol/query-API, not a running product — VictoriaMetrics is deliberately wire-compatible with it.</w:t>
      </w:r>
    </w:p>
    <w:p w14:paraId="1353AFBE">
      <w:pPr>
        <w:pStyle w:val="3"/>
        <w:spacing w:before="260" w:after="120"/>
      </w:pPr>
      <w:r>
        <w:t>10.2 Push Architecture (Not Pull/Scrape)</w:t>
      </w:r>
    </w:p>
    <w:p w14:paraId="35040A60">
      <w:pPr>
        <w:spacing w:after="160" w:line="276" w:lineRule="auto"/>
        <w:jc w:val="both"/>
      </w:pPr>
      <w:r>
        <w:rPr>
          <w:rFonts w:ascii="Calibri" w:hAnsi="Calibri" w:eastAsia="Calibri" w:cs="Calibri"/>
          <w:sz w:val="22"/>
          <w:szCs w:val="22"/>
        </w:rPr>
        <w:t>The contract forbids a KIO from exposing a scrape endpoint, so a push model was chosen throughout: KIOs push to the collector over OTLP, the collector pushes to VictoriaMetrics over remote_write. This is both contract-compliant and a natural fit for KIOs running on separate machines (Section 10.3).</w:t>
      </w:r>
    </w:p>
    <w:p w14:paraId="1EA9743D">
      <w:pPr>
        <w:pStyle w:val="3"/>
        <w:spacing w:before="260" w:after="120"/>
      </w:pPr>
      <w:r>
        <w:t>10.3 Modularity &amp; Remote KIO Support — DONE</w:t>
      </w:r>
    </w:p>
    <w:p w14:paraId="0F619531">
      <w:pPr>
        <w:spacing w:after="160" w:line="276" w:lineRule="auto"/>
        <w:jc w:val="both"/>
      </w:pPr>
      <w:r>
        <w:rPr>
          <w:rFonts w:ascii="Calibri" w:hAnsi="Calibri" w:eastAsia="Calibri" w:cs="Calibri"/>
          <w:sz w:val="22"/>
          <w:szCs w:val="22"/>
        </w:rPr>
        <w:t>Every KIO builds from the same image; the only differences are environment variables (KIO_ID, KIO_LLM, KIO_TASK_TYPE, timing parameters). This “lego-piece” design is what makes a remote-kio/ package possible: an independent docker-compose.yml sharing the same build context (no code duplication), a documented .env.example, and a step-by-step README covering connectivity testing, VPN/Tailscale options, and a KIO_ID-collision warning. This has been exercised for real (a KIO running over Tailscale from a separate machine) and is the same pattern any external KIO team — including KIO1's own worker KIOs — would use to connect.</w:t>
      </w:r>
    </w:p>
    <w:p w14:paraId="17B35A8D">
      <w:pPr>
        <w:pStyle w:val="3"/>
        <w:spacing w:before="260" w:after="120"/>
      </w:pPr>
      <w:r>
        <w:t>10.4 Two Separate Databases: VictoriaMetrics + VictoriaLogs</w:t>
      </w:r>
    </w:p>
    <w:p w14:paraId="4178963D">
      <w:pPr>
        <w:spacing w:after="160" w:line="276" w:lineRule="auto"/>
        <w:jc w:val="both"/>
      </w:pPr>
      <w:r>
        <w:rPr>
          <w:rFonts w:ascii="Calibri" w:hAnsi="Calibri" w:eastAsia="Calibri" w:cs="Calibri"/>
          <w:sz w:val="22"/>
          <w:szCs w:val="22"/>
        </w:rPr>
        <w:t>VictoriaMetrics cannot hold free text, and early requirements were explicit that some telemetry would arrive as unstructured strings. Grafana Loki was considered for that role and rejected in favor of VictoriaLogs — same product family as VictoriaMetrics, which keeps operational tooling (backup, retention policy, upgrade cadence) consistent across both stores rather than mixing vendors for no functional gain.</w:t>
      </w:r>
    </w:p>
    <w:p w14:paraId="2A335F01">
      <w:pPr>
        <w:pStyle w:val="3"/>
        <w:spacing w:before="260" w:after="120"/>
      </w:pPr>
      <w:r>
        <w:t>10.5 v2 Integration Guide — Point-by-Point Evaluation</w:t>
      </w:r>
    </w:p>
    <w:p w14:paraId="066067F4">
      <w:pPr>
        <w:spacing w:after="160" w:line="276" w:lineRule="auto"/>
        <w:jc w:val="both"/>
      </w:pPr>
      <w:r>
        <w:rPr>
          <w:rFonts w:ascii="Calibri" w:hAnsi="Calibri" w:eastAsia="Calibri" w:cs="Calibri"/>
          <w:sz w:val="22"/>
          <w:szCs w:val="22"/>
        </w:rPr>
        <w:t>The v2 guide is a detailed proposal, not a finalized contract. Every decision below was made after comparing it directly against this implementation, and is worth the reviewer's explicit sign-off or pushback — see the task list in Section 13.</w:t>
      </w:r>
    </w:p>
    <w:p w14:paraId="603699ED">
      <w:pPr>
        <w:pStyle w:val="4"/>
        <w:spacing w:before="200" w:after="100"/>
        <w:jc w:val="both"/>
      </w:pPr>
      <w:r>
        <w:t>Confirmed already compliant, no change needed</w:t>
      </w:r>
    </w:p>
    <w:p w14:paraId="1D698777">
      <w:pPr>
        <w:pStyle w:val="16"/>
        <w:numPr>
          <w:ilvl w:val="0"/>
          <w:numId w:val="1"/>
        </w:numPr>
        <w:spacing w:after="120" w:line="276" w:lineRule="auto"/>
        <w:jc w:val="both"/>
      </w:pPr>
      <w:r>
        <w:rPr>
          <w:rFonts w:ascii="Calibri" w:hAnsi="Calibri" w:eastAsia="Calibri" w:cs="Calibri"/>
          <w:sz w:val="22"/>
          <w:szCs w:val="22"/>
        </w:rPr>
        <w:t>The 7 mandatory metrics (names, types, units).</w:t>
      </w:r>
    </w:p>
    <w:p w14:paraId="5E64AE26">
      <w:pPr>
        <w:pStyle w:val="16"/>
        <w:numPr>
          <w:ilvl w:val="0"/>
          <w:numId w:val="1"/>
        </w:numPr>
        <w:spacing w:after="120" w:line="276" w:lineRule="auto"/>
        <w:jc w:val="both"/>
      </w:pPr>
      <w:r>
        <w:rPr>
          <w:rFonts w:ascii="Calibri" w:hAnsi="Calibri" w:eastAsia="Calibri" w:cs="Calibri"/>
          <w:sz w:val="22"/>
          <w:szCs w:val="22"/>
        </w:rPr>
        <w:t>Resource attributes (service.name, service.version, kio.id, deployment.environment).</w:t>
      </w:r>
    </w:p>
    <w:p w14:paraId="75092936">
      <w:pPr>
        <w:pStyle w:val="16"/>
        <w:numPr>
          <w:ilvl w:val="0"/>
          <w:numId w:val="1"/>
        </w:numPr>
        <w:spacing w:after="120" w:line="276" w:lineRule="auto"/>
        <w:jc w:val="both"/>
      </w:pPr>
      <w:r>
        <w:rPr>
          <w:rFonts w:ascii="Calibri" w:hAnsi="Calibri" w:eastAsia="Calibri" w:cs="Calibri"/>
          <w:sz w:val="22"/>
          <w:szCs w:val="22"/>
        </w:rPr>
        <w:t>The low-cardinality rule — session IDs are never used as metric labels, only as trace/log metadata, exactly as v2 also specifies.</w:t>
      </w:r>
    </w:p>
    <w:p w14:paraId="6EE01E2F">
      <w:pPr>
        <w:pStyle w:val="16"/>
        <w:numPr>
          <w:ilvl w:val="0"/>
          <w:numId w:val="1"/>
        </w:numPr>
        <w:spacing w:after="120" w:line="276" w:lineRule="auto"/>
        <w:jc w:val="both"/>
      </w:pPr>
      <w:r>
        <w:rPr>
          <w:rFonts w:ascii="Calibri" w:hAnsi="Calibri" w:eastAsia="Calibri" w:cs="Calibri"/>
          <w:sz w:val="22"/>
          <w:szCs w:val="22"/>
        </w:rPr>
        <w:t>Metrics and traces transported over OTLP/gRPC.</w:t>
      </w:r>
    </w:p>
    <w:p w14:paraId="44BE8E6F">
      <w:pPr>
        <w:pStyle w:val="4"/>
        <w:spacing w:before="200" w:after="100"/>
        <w:jc w:val="both"/>
      </w:pPr>
      <w:r>
        <w:t>Adopted, previously deferred</w:t>
      </w:r>
    </w:p>
    <w:p w14:paraId="1229FBEB">
      <w:pPr>
        <w:pStyle w:val="16"/>
        <w:numPr>
          <w:ilvl w:val="0"/>
          <w:numId w:val="1"/>
        </w:numPr>
        <w:spacing w:after="120" w:line="276" w:lineRule="auto"/>
        <w:jc w:val="both"/>
      </w:pPr>
      <w:r>
        <w:rPr>
          <w:rFonts w:ascii="Calibri" w:hAnsi="Calibri" w:eastAsia="Calibri" w:cs="Calibri"/>
          <w:b/>
          <w:bCs/>
          <w:sz w:val="22"/>
          <w:szCs w:val="22"/>
        </w:rPr>
        <w:t xml:space="preserve">15-second metric export interval </w:t>
      </w:r>
      <w:r>
        <w:rPr>
          <w:rFonts w:ascii="Calibri" w:hAnsi="Calibri" w:eastAsia="Calibri" w:cs="Calibri"/>
          <w:sz w:val="22"/>
          <w:szCs w:val="22"/>
        </w:rPr>
        <w:t>(was 5s — bumped across all six KIOs' EXPORT_INTERVAL_MS default; no dashboard changes were needed since existing rate([...15m]) windows comfortably contain multiple 15s samples).</w:t>
      </w:r>
    </w:p>
    <w:p w14:paraId="0C705E6E">
      <w:pPr>
        <w:pStyle w:val="16"/>
        <w:numPr>
          <w:ilvl w:val="0"/>
          <w:numId w:val="1"/>
        </w:numPr>
        <w:spacing w:after="120" w:line="276" w:lineRule="auto"/>
        <w:jc w:val="both"/>
      </w:pPr>
      <w:r>
        <w:rPr>
          <w:rFonts w:ascii="Calibri" w:hAnsi="Calibri" w:eastAsia="Calibri" w:cs="Calibri"/>
          <w:b/>
          <w:bCs/>
          <w:sz w:val="22"/>
          <w:szCs w:val="22"/>
        </w:rPr>
        <w:t xml:space="preserve">A $session_id Grafana filter variable </w:t>
      </w:r>
      <w:r>
        <w:rPr>
          <w:rFonts w:ascii="Calibri" w:hAnsi="Calibri" w:eastAsia="Calibri" w:cs="Calibri"/>
          <w:sz w:val="22"/>
          <w:szCs w:val="22"/>
        </w:rPr>
        <w:t>(regex textbox, default “.*” = all; wired into the log-stream panel via VictoriaLogs LogsQL's field:~"regex" syntax and the Tempo trace table via TraceQL's =~ operator). This is unverified against a live VictoriaLogs instance — flagged as a task in Section 13. Metrics themselves still never carry session_id as a label, per the low-cardinality rule above; this variable only filters the log/trace panels.</w:t>
      </w:r>
    </w:p>
    <w:p w14:paraId="2A6588B0">
      <w:pPr>
        <w:pStyle w:val="16"/>
        <w:numPr>
          <w:ilvl w:val="0"/>
          <w:numId w:val="1"/>
        </w:numPr>
        <w:spacing w:after="120" w:line="276" w:lineRule="auto"/>
        <w:jc w:val="both"/>
      </w:pPr>
      <w:r>
        <w:rPr>
          <w:rFonts w:ascii="Calibri" w:hAnsi="Calibri" w:eastAsia="Calibri" w:cs="Calibri"/>
          <w:b/>
          <w:bCs/>
          <w:sz w:val="22"/>
          <w:szCs w:val="22"/>
        </w:rPr>
        <w:t xml:space="preserve">OTLP Bearer token authentication </w:t>
      </w:r>
      <w:r>
        <w:rPr>
          <w:rFonts w:ascii="Calibri" w:hAnsi="Calibri" w:eastAsia="Calibri" w:cs="Calibri"/>
          <w:sz w:val="22"/>
          <w:szCs w:val="22"/>
        </w:rPr>
        <w:t>(Section 9.3 above).</w:t>
      </w:r>
    </w:p>
    <w:p w14:paraId="4AD52B51">
      <w:pPr>
        <w:pStyle w:val="16"/>
        <w:numPr>
          <w:ilvl w:val="0"/>
          <w:numId w:val="1"/>
        </w:numPr>
        <w:spacing w:after="120" w:line="276" w:lineRule="auto"/>
        <w:jc w:val="both"/>
      </w:pPr>
      <w:r>
        <w:rPr>
          <w:rFonts w:ascii="Calibri" w:hAnsi="Calibri" w:eastAsia="Calibri" w:cs="Calibri"/>
          <w:b/>
          <w:bCs/>
          <w:sz w:val="22"/>
          <w:szCs w:val="22"/>
        </w:rPr>
        <w:t xml:space="preserve">Grafana access control </w:t>
      </w:r>
      <w:r>
        <w:rPr>
          <w:rFonts w:ascii="Calibri" w:hAnsi="Calibri" w:eastAsia="Calibri" w:cs="Calibri"/>
          <w:sz w:val="22"/>
          <w:szCs w:val="22"/>
        </w:rPr>
        <w:t>(new this cycle, not from v2, but the same spirit): anonymous access previously granted full Admin rights — edit, delete, datasources, alerting, user management — to anyone who could reach port 3000, with zero login. Harmless on localhost-only, a real problem the moment this port is reachable over Tailscale/LAN (exactly the direction this project is heading). Anonymous role is now Viewer (dashboards remain fully browsable without an account), and the default admin password was rotated off "admin" to a random placeholder — still something to rotate again before any real/shared deployment.</w:t>
      </w:r>
    </w:p>
    <w:p w14:paraId="3B9EF1C6">
      <w:pPr>
        <w:pStyle w:val="4"/>
        <w:spacing w:before="200" w:after="100"/>
        <w:jc w:val="both"/>
      </w:pPr>
      <w:r>
        <w:t>Deliberate deviations — please review</w:t>
      </w:r>
    </w:p>
    <w:p w14:paraId="7CAD460C">
      <w:pPr>
        <w:pStyle w:val="16"/>
        <w:numPr>
          <w:ilvl w:val="0"/>
          <w:numId w:val="1"/>
        </w:numPr>
        <w:spacing w:after="120" w:line="276" w:lineRule="auto"/>
        <w:jc w:val="both"/>
      </w:pPr>
      <w:r>
        <w:rPr>
          <w:rFonts w:ascii="Calibri" w:hAnsi="Calibri" w:eastAsia="Calibri" w:cs="Calibri"/>
          <w:b/>
          <w:bCs/>
          <w:sz w:val="22"/>
          <w:szCs w:val="22"/>
        </w:rPr>
        <w:t xml:space="preserve">Log collection: OTLP push → VictoriaLogs, not v2's passive stdout-scrape → Loki. </w:t>
      </w:r>
      <w:r>
        <w:rPr>
          <w:rFonts w:ascii="Calibri" w:hAnsi="Calibri" w:eastAsia="Calibri" w:cs="Calibri"/>
          <w:sz w:val="22"/>
          <w:szCs w:val="22"/>
        </w:rPr>
        <w:t>v2's model assumes the collector can reach every KIO's container filesystem/stdout directly (e.g. a mounted Docker log directory). That assumption breaks for any KIO running on a separate machine — exactly the remote-kio/ scenario already implemented and exercised in this repo. An OTLP-push model works uniformly regardless of where a KIO physically runs; a scrape-based model does not. This is the deviation with the clearest functional justification, but it is a real one — worth an explicit yes from the guide's author.</w:t>
      </w:r>
    </w:p>
    <w:p w14:paraId="668C1DAB">
      <w:pPr>
        <w:pStyle w:val="16"/>
        <w:numPr>
          <w:ilvl w:val="0"/>
          <w:numId w:val="1"/>
        </w:numPr>
        <w:spacing w:after="120" w:line="276" w:lineRule="auto"/>
        <w:jc w:val="both"/>
      </w:pPr>
      <w:r>
        <w:rPr>
          <w:rFonts w:ascii="Calibri" w:hAnsi="Calibri" w:eastAsia="Calibri" w:cs="Calibri"/>
          <w:b/>
          <w:bCs/>
          <w:sz w:val="22"/>
          <w:szCs w:val="22"/>
        </w:rPr>
        <w:t xml:space="preserve">Langfuse added as a second, heavier stream. </w:t>
      </w:r>
      <w:r>
        <w:rPr>
          <w:rFonts w:ascii="Calibri" w:hAnsi="Calibri" w:eastAsia="Calibri" w:cs="Calibri"/>
          <w:sz w:val="22"/>
          <w:szCs w:val="22"/>
        </w:rPr>
        <w:t>Six extra containers (web + worker + Postgres + ClickHouse + Redis + MinIO) versus the eight in the rest of the stack combined — added per direct request, buys prompt/completion-level replay and LLM cost analytics that Tempo's generic spans do not provide. It is deliberately isolated: if it turns out not to be needed, the whole sub-stack can be removed without touching the OTel pipeline at all.</w:t>
      </w:r>
    </w:p>
    <w:p w14:paraId="3142DAD3">
      <w:pPr>
        <w:pStyle w:val="16"/>
        <w:numPr>
          <w:ilvl w:val="0"/>
          <w:numId w:val="1"/>
        </w:numPr>
        <w:spacing w:after="120" w:line="276" w:lineRule="auto"/>
        <w:jc w:val="both"/>
      </w:pPr>
      <w:r>
        <w:rPr>
          <w:rFonts w:ascii="Calibri" w:hAnsi="Calibri" w:eastAsia="Calibri" w:cs="Calibri"/>
          <w:b/>
          <w:bCs/>
          <w:sz w:val="22"/>
          <w:szCs w:val="22"/>
        </w:rPr>
        <w:t xml:space="preserve">NATS / Workflow API / Session Manager / Postgres lineage: implemented, scope limited. </w:t>
      </w:r>
      <w:r>
        <w:rPr>
          <w:rFonts w:ascii="Calibri" w:hAnsi="Calibri" w:eastAsia="Calibri" w:cs="Calibri"/>
          <w:sz w:val="22"/>
          <w:szCs w:val="22"/>
        </w:rPr>
        <w:t>Originally deferred as “a different team's concern,” then built out after a decision to accelerate. The Planner is a static routing table, not a full LangGraph graph — see Section 9.6 for what that does and does not cover, and whether the near-term scope is acceptable is one of the review tasks.</w:t>
      </w:r>
    </w:p>
    <w:p w14:paraId="712D96FE">
      <w:pPr>
        <w:pStyle w:val="3"/>
        <w:spacing w:before="260" w:after="120"/>
      </w:pPr>
      <w:r>
        <w:t>10.6 D1.1 KPI Role Design for KIO8 / KIO13</w:t>
      </w:r>
    </w:p>
    <w:p w14:paraId="095D984F">
      <w:pPr>
        <w:spacing w:after="160" w:line="276" w:lineRule="auto"/>
        <w:jc w:val="both"/>
      </w:pPr>
      <w:r>
        <w:rPr>
          <w:rFonts w:ascii="Calibri" w:hAnsi="Calibri" w:eastAsia="Calibri" w:cs="Calibri"/>
          <w:sz w:val="22"/>
          <w:szCs w:val="22"/>
        </w:rPr>
        <w:t>The D1.1 Project Management Handbook's traceability matrix maps 16 KPIs to specific KIO numbers, but only KIO2, KIO3, KIO4, and KIO7 had a telemetry-emitting presence in this stack originally. The remaining five KPIs (2.1, 2.2, 8.1, 8.2, 8.3) belong to KIO8 and KIO13, which did not previously exist as simulators. Two new roles were introduced under the existing KIO_REAL_KPI_ROLE mechanism — green-deploy (KIO8: lifecycle energy reduction, deployment energy efficiency, cross-architecture build success) and adoption (KIO13: adoption rate, active usage &amp; satisfaction) — named and scoped directly from D1.1's own matrix, not from any explicit KIO8/KIO13 team input. This is a reasonable-effort inference, not a confirmed mapping, and is called out as a review task.</w:t>
      </w:r>
    </w:p>
    <w:p w14:paraId="416490C2">
      <w:pPr>
        <w:pStyle w:val="3"/>
        <w:spacing w:before="260" w:after="120"/>
      </w:pPr>
      <w:r>
        <w:t>10.7 Known, Explicitly Out-of-Scope Items</w:t>
      </w:r>
    </w:p>
    <w:p w14:paraId="647340A0">
      <w:pPr>
        <w:pStyle w:val="16"/>
        <w:numPr>
          <w:ilvl w:val="0"/>
          <w:numId w:val="1"/>
        </w:numPr>
        <w:spacing w:after="120" w:line="276" w:lineRule="auto"/>
        <w:jc w:val="both"/>
      </w:pPr>
      <w:r>
        <w:rPr>
          <w:rFonts w:ascii="Calibri" w:hAnsi="Calibri" w:eastAsia="Calibri" w:cs="Calibri"/>
          <w:b/>
          <w:bCs/>
          <w:sz w:val="22"/>
          <w:szCs w:val="22"/>
        </w:rPr>
        <w:t xml:space="preserve">fix@1 accuracy metric: </w:t>
      </w:r>
      <w:r>
        <w:rPr>
          <w:rFonts w:ascii="Calibri" w:hAnsi="Calibri" w:eastAsia="Calibri" w:cs="Calibri"/>
          <w:sz w:val="22"/>
          <w:szCs w:val="22"/>
        </w:rPr>
        <w:t>belongs to KIO7's scope (LLM-based fix generation), not KIO2/FocusTracer, whose job is trace recording, dynamic slicing, root-cause explanation, and forward/backward replay — not fix generation itself.</w:t>
      </w:r>
    </w:p>
    <w:p w14:paraId="6AD771F7">
      <w:pPr>
        <w:pStyle w:val="16"/>
        <w:numPr>
          <w:ilvl w:val="0"/>
          <w:numId w:val="1"/>
        </w:numPr>
        <w:spacing w:after="120" w:line="276" w:lineRule="auto"/>
        <w:jc w:val="both"/>
      </w:pPr>
      <w:r>
        <w:rPr>
          <w:rFonts w:ascii="Calibri" w:hAnsi="Calibri" w:eastAsia="Calibri" w:cs="Calibri"/>
          <w:b/>
          <w:bCs/>
          <w:sz w:val="22"/>
          <w:szCs w:val="22"/>
        </w:rPr>
        <w:t xml:space="preserve">A single shared Bearer token </w:t>
      </w:r>
      <w:r>
        <w:rPr>
          <w:rFonts w:ascii="Calibri" w:hAnsi="Calibri" w:eastAsia="Calibri" w:cs="Calibri"/>
          <w:sz w:val="22"/>
          <w:szCs w:val="22"/>
        </w:rPr>
        <w:t>authenticates every KIO today, not a per-KIO unique/revocable token. This matches the contract's minimum bar (one token issued per onboarding request) but is worth a deliberate decision before a real multi-team rollout, where per-KIO token issuance and rotation would be a meaningful hardening step.</w:t>
      </w:r>
    </w:p>
    <w:p w14:paraId="043DD3A5">
      <w:pPr>
        <w:pStyle w:val="16"/>
        <w:numPr>
          <w:ilvl w:val="0"/>
          <w:numId w:val="1"/>
        </w:numPr>
        <w:spacing w:after="120" w:line="276" w:lineRule="auto"/>
        <w:jc w:val="both"/>
      </w:pPr>
      <w:r>
        <w:rPr>
          <w:rFonts w:ascii="Calibri" w:hAnsi="Calibri" w:eastAsia="Calibri" w:cs="Calibri"/>
          <w:b/>
          <w:bCs/>
          <w:sz w:val="22"/>
          <w:szCs w:val="22"/>
        </w:rPr>
        <w:t xml:space="preserve">Real TLS </w:t>
      </w:r>
      <w:r>
        <w:rPr>
          <w:rFonts w:ascii="Calibri" w:hAnsi="Calibri" w:eastAsia="Calibri" w:cs="Calibri"/>
          <w:sz w:val="22"/>
          <w:szCs w:val="22"/>
        </w:rPr>
        <w:t>on the OTLP connection — deferred to an actual remote/production deployment, as discussed in Section 9.3.</w:t>
      </w:r>
    </w:p>
    <w:p w14:paraId="450A25A0">
      <w:pPr>
        <w:pStyle w:val="2"/>
        <w:spacing w:before="360" w:after="160"/>
      </w:pPr>
      <w:r>
        <w:t>11. How to Run It</w:t>
      </w:r>
    </w:p>
    <w:p w14:paraId="4FE6D8E7">
      <w:pPr>
        <w:spacing w:after="160" w:line="276" w:lineRule="auto"/>
      </w:pPr>
      <w:r>
        <w:rPr>
          <w:rFonts w:ascii="Calibri" w:hAnsi="Calibri" w:eastAsia="Calibri" w:cs="Calibri"/>
          <w:b/>
          <w:bCs/>
          <w:sz w:val="22"/>
          <w:szCs w:val="22"/>
        </w:rPr>
        <w:t xml:space="preserve">Bring the stack up: </w:t>
      </w:r>
    </w:p>
    <w:p w14:paraId="60B9E76A">
      <w:pPr>
        <w:spacing w:after="80"/>
      </w:pPr>
      <w:r>
        <w:rPr>
          <w:rFonts w:ascii="Consolas" w:hAnsi="Consolas" w:eastAsia="Consolas" w:cs="Consolas"/>
          <w:sz w:val="20"/>
          <w:szCs w:val="20"/>
          <w:shd w:val="clear" w:fill="EDEDED"/>
        </w:rPr>
        <w:t>cd observability &amp;&amp; docker compose up -d --build</w:t>
      </w:r>
    </w:p>
    <w:p w14:paraId="52735D5F">
      <w:pPr>
        <w:spacing w:after="160" w:line="276" w:lineRule="auto"/>
        <w:jc w:val="both"/>
      </w:pPr>
      <w:r>
        <w:rPr>
          <w:rFonts w:ascii="Calibri" w:hAnsi="Calibri" w:eastAsia="Calibri" w:cs="Calibri"/>
          <w:sz w:val="22"/>
          <w:szCs w:val="22"/>
        </w:rPr>
        <w:t>Grafana: http://localhost:3000 — browsable anonymously (Viewer role, no login needed); editing/alerting/datasources need the admin login (admin / GF_SECURITY_ADMIN_PASSWORD from .env.example).</w:t>
      </w:r>
    </w:p>
    <w:p w14:paraId="4D330E23">
      <w:pPr>
        <w:spacing w:after="160" w:line="276" w:lineRule="auto"/>
        <w:jc w:val="both"/>
      </w:pPr>
      <w:r>
        <w:rPr>
          <w:rFonts w:ascii="Calibri" w:hAnsi="Calibri" w:eastAsia="Calibri" w:cs="Calibri"/>
          <w:sz w:val="22"/>
          <w:szCs w:val="22"/>
        </w:rPr>
        <w:t>Langfuse: http://localhost:3001 — see LANGFUSE_INIT_USER_EMAIL / _PASSWORD in .env.example.</w:t>
      </w:r>
    </w:p>
    <w:p w14:paraId="2415BEE2">
      <w:pPr>
        <w:spacing w:after="160" w:line="276" w:lineRule="auto"/>
      </w:pPr>
      <w:r>
        <w:rPr>
          <w:rFonts w:ascii="Calibri" w:hAnsi="Calibri" w:eastAsia="Calibri" w:cs="Calibri"/>
          <w:b/>
          <w:bCs/>
          <w:sz w:val="22"/>
          <w:szCs w:val="22"/>
        </w:rPr>
        <w:t xml:space="preserve">Verify the orchestration layer end to end: </w:t>
      </w:r>
    </w:p>
    <w:p w14:paraId="427B5D46">
      <w:pPr>
        <w:spacing w:after="80"/>
      </w:pPr>
      <w:r>
        <w:rPr>
          <w:rFonts w:ascii="Consolas" w:hAnsi="Consolas" w:eastAsia="Consolas" w:cs="Consolas"/>
          <w:sz w:val="20"/>
          <w:szCs w:val="20"/>
          <w:shd w:val="clear" w:fill="EDEDED"/>
        </w:rPr>
        <w:t>docker compose up -d nats orchestrator-postgres workflow-api planner kio3</w:t>
      </w:r>
    </w:p>
    <w:p w14:paraId="7225D756">
      <w:pPr>
        <w:spacing w:after="160"/>
      </w:pPr>
      <w:r>
        <w:rPr>
          <w:rFonts w:ascii="Consolas" w:hAnsi="Consolas" w:eastAsia="Consolas" w:cs="Consolas"/>
          <w:sz w:val="20"/>
          <w:szCs w:val="20"/>
          <w:shd w:val="clear" w:fill="EDEDED"/>
        </w:rPr>
        <w:t>python scripts/verify_orchestration.py</w:t>
      </w:r>
    </w:p>
    <w:p w14:paraId="5C99BAA8">
      <w:pPr>
        <w:spacing w:after="160" w:line="276" w:lineRule="auto"/>
      </w:pPr>
      <w:r>
        <w:rPr>
          <w:rFonts w:ascii="Calibri" w:hAnsi="Calibri" w:eastAsia="Calibri" w:cs="Calibri"/>
          <w:sz w:val="22"/>
          <w:szCs w:val="22"/>
        </w:rPr>
        <w:t>Prints PASS/FAIL and, on failure, exactly which hop broke and which container's logs to check.</w:t>
      </w:r>
    </w:p>
    <w:p w14:paraId="7FDD8AD2">
      <w:pPr>
        <w:spacing w:after="160" w:line="276" w:lineRule="auto"/>
      </w:pPr>
      <w:r>
        <w:rPr>
          <w:rFonts w:ascii="Calibri" w:hAnsi="Calibri" w:eastAsia="Calibri" w:cs="Calibri"/>
          <w:b/>
          <w:bCs/>
          <w:sz w:val="22"/>
          <w:szCs w:val="22"/>
        </w:rPr>
        <w:t xml:space="preserve">Connect a KIO from a different machine: </w:t>
      </w:r>
      <w:r>
        <w:rPr>
          <w:rFonts w:ascii="Calibri" w:hAnsi="Calibri" w:eastAsia="Calibri" w:cs="Calibri"/>
          <w:sz w:val="22"/>
          <w:szCs w:val="22"/>
        </w:rPr>
        <w:t>see remote-kio/README.md — no code change required, only environment variables (including the new mandatory OTEL_EXPORTER_OTLP_HEADERS bearer token).</w:t>
      </w:r>
    </w:p>
    <w:p w14:paraId="6D741A09">
      <w:pPr>
        <w:pStyle w:val="2"/>
        <w:spacing w:before="360" w:after="160"/>
      </w:pPr>
      <w:r>
        <w:t>12. Repository Structure</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7100"/>
      </w:tblGrid>
      <w:tr w14:paraId="66605B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3864"/>
            <w:tcMar>
              <w:top w:w="80" w:type="dxa"/>
              <w:left w:w="100" w:type="dxa"/>
              <w:bottom w:w="80" w:type="dxa"/>
              <w:right w:w="100" w:type="dxa"/>
            </w:tcMar>
          </w:tcPr>
          <w:p w14:paraId="09EC40E5">
            <w:r>
              <w:rPr>
                <w:rFonts w:ascii="Calibri" w:hAnsi="Calibri" w:eastAsia="Calibri" w:cs="Calibri"/>
                <w:b/>
                <w:bCs/>
                <w:color w:val="FFFFFF"/>
                <w:sz w:val="20"/>
                <w:szCs w:val="20"/>
              </w:rPr>
              <w:t>Path</w:t>
            </w:r>
          </w:p>
        </w:tc>
        <w:tc>
          <w:tcPr>
            <w:tcW w:w="7100" w:type="dxa"/>
            <w:shd w:val="clear" w:color="auto" w:fill="1F3864"/>
            <w:tcMar>
              <w:top w:w="80" w:type="dxa"/>
              <w:left w:w="100" w:type="dxa"/>
              <w:bottom w:w="80" w:type="dxa"/>
              <w:right w:w="100" w:type="dxa"/>
            </w:tcMar>
          </w:tcPr>
          <w:p w14:paraId="446A5B70">
            <w:r>
              <w:rPr>
                <w:rFonts w:ascii="Calibri" w:hAnsi="Calibri" w:eastAsia="Calibri" w:cs="Calibri"/>
                <w:b/>
                <w:bCs/>
                <w:color w:val="FFFFFF"/>
                <w:sz w:val="20"/>
                <w:szCs w:val="20"/>
              </w:rPr>
              <w:t>Contents</w:t>
            </w:r>
          </w:p>
        </w:tc>
      </w:tr>
      <w:tr w14:paraId="04AF57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4E1068E2">
            <w:r>
              <w:rPr>
                <w:rFonts w:ascii="Calibri" w:hAnsi="Calibri" w:eastAsia="Calibri" w:cs="Calibri"/>
                <w:b w:val="0"/>
                <w:bCs w:val="0"/>
                <w:color w:val="000000"/>
                <w:sz w:val="20"/>
                <w:szCs w:val="20"/>
              </w:rPr>
              <w:t>kio-simulator/</w:t>
            </w:r>
          </w:p>
        </w:tc>
        <w:tc>
          <w:tcPr>
            <w:tcW w:w="7100" w:type="dxa"/>
            <w:tcMar>
              <w:top w:w="80" w:type="dxa"/>
              <w:left w:w="100" w:type="dxa"/>
              <w:bottom w:w="80" w:type="dxa"/>
              <w:right w:w="100" w:type="dxa"/>
            </w:tcMar>
          </w:tcPr>
          <w:p w14:paraId="515CD23F">
            <w:r>
              <w:rPr>
                <w:rFonts w:ascii="Calibri" w:hAnsi="Calibri" w:eastAsia="Calibri" w:cs="Calibri"/>
                <w:b w:val="0"/>
                <w:bCs w:val="0"/>
                <w:color w:val="000000"/>
                <w:sz w:val="20"/>
                <w:szCs w:val="20"/>
              </w:rPr>
              <w:t>The single source every KIO simulator builds from (kio_simulator.py + Dockerfile).</w:t>
            </w:r>
          </w:p>
        </w:tc>
      </w:tr>
      <w:tr w14:paraId="211BD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307E9043">
            <w:r>
              <w:rPr>
                <w:rFonts w:ascii="Calibri" w:hAnsi="Calibri" w:eastAsia="Calibri" w:cs="Calibri"/>
                <w:b w:val="0"/>
                <w:bCs w:val="0"/>
                <w:color w:val="000000"/>
                <w:sz w:val="20"/>
                <w:szCs w:val="20"/>
              </w:rPr>
              <w:t>orchestrator/</w:t>
            </w:r>
          </w:p>
        </w:tc>
        <w:tc>
          <w:tcPr>
            <w:tcW w:w="7100" w:type="dxa"/>
            <w:shd w:val="clear" w:color="auto" w:fill="F2F2F2"/>
            <w:tcMar>
              <w:top w:w="80" w:type="dxa"/>
              <w:left w:w="100" w:type="dxa"/>
              <w:bottom w:w="80" w:type="dxa"/>
              <w:right w:w="100" w:type="dxa"/>
            </w:tcMar>
          </w:tcPr>
          <w:p w14:paraId="4428CC1B">
            <w:r>
              <w:rPr>
                <w:rFonts w:ascii="Calibri" w:hAnsi="Calibri" w:eastAsia="Calibri" w:cs="Calibri"/>
                <w:b w:val="0"/>
                <w:bCs w:val="0"/>
                <w:color w:val="000000"/>
                <w:sz w:val="20"/>
                <w:szCs w:val="20"/>
              </w:rPr>
              <w:t>Workflow API (FastAPI), Planner, Session Manager, envelope schema.</w:t>
            </w:r>
          </w:p>
        </w:tc>
      </w:tr>
      <w:tr w14:paraId="7265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19679949">
            <w:r>
              <w:rPr>
                <w:rFonts w:ascii="Calibri" w:hAnsi="Calibri" w:eastAsia="Calibri" w:cs="Calibri"/>
                <w:b w:val="0"/>
                <w:bCs w:val="0"/>
                <w:color w:val="000000"/>
                <w:sz w:val="20"/>
                <w:szCs w:val="20"/>
              </w:rPr>
              <w:t>otel-collector/</w:t>
            </w:r>
          </w:p>
        </w:tc>
        <w:tc>
          <w:tcPr>
            <w:tcW w:w="7100" w:type="dxa"/>
            <w:tcMar>
              <w:top w:w="80" w:type="dxa"/>
              <w:left w:w="100" w:type="dxa"/>
              <w:bottom w:w="80" w:type="dxa"/>
              <w:right w:w="100" w:type="dxa"/>
            </w:tcMar>
          </w:tcPr>
          <w:p w14:paraId="51D7C0AE">
            <w:r>
              <w:rPr>
                <w:rFonts w:ascii="Calibri" w:hAnsi="Calibri" w:eastAsia="Calibri" w:cs="Calibri"/>
                <w:b w:val="0"/>
                <w:bCs w:val="0"/>
                <w:color w:val="000000"/>
                <w:sz w:val="20"/>
                <w:szCs w:val="20"/>
              </w:rPr>
              <w:t>config.yaml — receivers, auth, pipelines, exporters.</w:t>
            </w:r>
          </w:p>
        </w:tc>
      </w:tr>
      <w:tr w14:paraId="1E65B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67920AD1">
            <w:r>
              <w:rPr>
                <w:rFonts w:ascii="Calibri" w:hAnsi="Calibri" w:eastAsia="Calibri" w:cs="Calibri"/>
                <w:b w:val="0"/>
                <w:bCs w:val="0"/>
                <w:color w:val="000000"/>
                <w:sz w:val="20"/>
                <w:szCs w:val="20"/>
              </w:rPr>
              <w:t>grafana/</w:t>
            </w:r>
          </w:p>
        </w:tc>
        <w:tc>
          <w:tcPr>
            <w:tcW w:w="7100" w:type="dxa"/>
            <w:shd w:val="clear" w:color="auto" w:fill="F2F2F2"/>
            <w:tcMar>
              <w:top w:w="80" w:type="dxa"/>
              <w:left w:w="100" w:type="dxa"/>
              <w:bottom w:w="80" w:type="dxa"/>
              <w:right w:w="100" w:type="dxa"/>
            </w:tcMar>
          </w:tcPr>
          <w:p w14:paraId="297C0034">
            <w:r>
              <w:rPr>
                <w:rFonts w:ascii="Calibri" w:hAnsi="Calibri" w:eastAsia="Calibri" w:cs="Calibri"/>
                <w:b w:val="0"/>
                <w:bCs w:val="0"/>
                <w:color w:val="000000"/>
                <w:sz w:val="20"/>
                <w:szCs w:val="20"/>
              </w:rPr>
              <w:t>Provisioned dashboards, datasources, alert rules.</w:t>
            </w:r>
          </w:p>
        </w:tc>
      </w:tr>
      <w:tr w14:paraId="1FC7C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245B5CDC">
            <w:r>
              <w:rPr>
                <w:rFonts w:ascii="Calibri" w:hAnsi="Calibri" w:eastAsia="Calibri" w:cs="Calibri"/>
                <w:b w:val="0"/>
                <w:bCs w:val="0"/>
                <w:color w:val="000000"/>
                <w:sz w:val="20"/>
                <w:szCs w:val="20"/>
              </w:rPr>
              <w:t>remote-kio/</w:t>
            </w:r>
          </w:p>
        </w:tc>
        <w:tc>
          <w:tcPr>
            <w:tcW w:w="7100" w:type="dxa"/>
            <w:tcMar>
              <w:top w:w="80" w:type="dxa"/>
              <w:left w:w="100" w:type="dxa"/>
              <w:bottom w:w="80" w:type="dxa"/>
              <w:right w:w="100" w:type="dxa"/>
            </w:tcMar>
          </w:tcPr>
          <w:p w14:paraId="097400B3">
            <w:r>
              <w:rPr>
                <w:rFonts w:ascii="Calibri" w:hAnsi="Calibri" w:eastAsia="Calibri" w:cs="Calibri"/>
                <w:b w:val="0"/>
                <w:bCs w:val="0"/>
                <w:color w:val="000000"/>
                <w:sz w:val="20"/>
                <w:szCs w:val="20"/>
              </w:rPr>
              <w:t>Standalone package for running one KIO on a separate machine.</w:t>
            </w:r>
          </w:p>
        </w:tc>
      </w:tr>
      <w:tr w14:paraId="06B8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6782763E">
            <w:r>
              <w:rPr>
                <w:rFonts w:ascii="Calibri" w:hAnsi="Calibri" w:eastAsia="Calibri" w:cs="Calibri"/>
                <w:b w:val="0"/>
                <w:bCs w:val="0"/>
                <w:color w:val="000000"/>
                <w:sz w:val="20"/>
                <w:szCs w:val="20"/>
              </w:rPr>
              <w:t>kio2-integration/</w:t>
            </w:r>
          </w:p>
        </w:tc>
        <w:tc>
          <w:tcPr>
            <w:tcW w:w="7100" w:type="dxa"/>
            <w:shd w:val="clear" w:color="auto" w:fill="F2F2F2"/>
            <w:tcMar>
              <w:top w:w="80" w:type="dxa"/>
              <w:left w:w="100" w:type="dxa"/>
              <w:bottom w:w="80" w:type="dxa"/>
              <w:right w:w="100" w:type="dxa"/>
            </w:tcMar>
          </w:tcPr>
          <w:p w14:paraId="713529AC">
            <w:r>
              <w:rPr>
                <w:rFonts w:ascii="Calibri" w:hAnsi="Calibri" w:eastAsia="Calibri" w:cs="Calibri"/>
                <w:b w:val="0"/>
                <w:bCs w:val="0"/>
                <w:color w:val="000000"/>
                <w:sz w:val="20"/>
                <w:szCs w:val="20"/>
              </w:rPr>
              <w:t>Line-referenced guide for wiring the real FocusTracer module in as kio2.</w:t>
            </w:r>
          </w:p>
        </w:tc>
      </w:tr>
      <w:tr w14:paraId="32F56D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81A259E">
            <w:r>
              <w:rPr>
                <w:rFonts w:ascii="Calibri" w:hAnsi="Calibri" w:eastAsia="Calibri" w:cs="Calibri"/>
                <w:b w:val="0"/>
                <w:bCs w:val="0"/>
                <w:color w:val="000000"/>
                <w:sz w:val="20"/>
                <w:szCs w:val="20"/>
              </w:rPr>
              <w:t>scripts/</w:t>
            </w:r>
          </w:p>
        </w:tc>
        <w:tc>
          <w:tcPr>
            <w:tcW w:w="7100" w:type="dxa"/>
            <w:tcMar>
              <w:top w:w="80" w:type="dxa"/>
              <w:left w:w="100" w:type="dxa"/>
              <w:bottom w:w="80" w:type="dxa"/>
              <w:right w:w="100" w:type="dxa"/>
            </w:tcMar>
          </w:tcPr>
          <w:p w14:paraId="00F03CEF">
            <w:r>
              <w:rPr>
                <w:rFonts w:ascii="Calibri" w:hAnsi="Calibri" w:eastAsia="Calibri" w:cs="Calibri"/>
                <w:b w:val="0"/>
                <w:bCs w:val="0"/>
                <w:color w:val="000000"/>
                <w:sz w:val="20"/>
                <w:szCs w:val="20"/>
              </w:rPr>
              <w:t>verify_orchestration.py — live end-to-end orchestration smoke test.</w:t>
            </w:r>
          </w:p>
        </w:tc>
      </w:tr>
      <w:tr w14:paraId="78F2C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2F2"/>
            <w:tcMar>
              <w:top w:w="80" w:type="dxa"/>
              <w:left w:w="100" w:type="dxa"/>
              <w:bottom w:w="80" w:type="dxa"/>
              <w:right w:w="100" w:type="dxa"/>
            </w:tcMar>
          </w:tcPr>
          <w:p w14:paraId="5BEB4D97">
            <w:r>
              <w:rPr>
                <w:rFonts w:ascii="Calibri" w:hAnsi="Calibri" w:eastAsia="Calibri" w:cs="Calibri"/>
                <w:b w:val="0"/>
                <w:bCs w:val="0"/>
                <w:color w:val="000000"/>
                <w:sz w:val="20"/>
                <w:szCs w:val="20"/>
              </w:rPr>
              <w:t>tests/</w:t>
            </w:r>
          </w:p>
        </w:tc>
        <w:tc>
          <w:tcPr>
            <w:tcW w:w="7100" w:type="dxa"/>
            <w:shd w:val="clear" w:color="auto" w:fill="F2F2F2"/>
            <w:tcMar>
              <w:top w:w="80" w:type="dxa"/>
              <w:left w:w="100" w:type="dxa"/>
              <w:bottom w:w="80" w:type="dxa"/>
              <w:right w:w="100" w:type="dxa"/>
            </w:tcMar>
          </w:tcPr>
          <w:p w14:paraId="2F271B30">
            <w:r>
              <w:rPr>
                <w:rFonts w:ascii="Calibri" w:hAnsi="Calibri" w:eastAsia="Calibri" w:cs="Calibri"/>
                <w:b w:val="0"/>
                <w:bCs w:val="0"/>
                <w:color w:val="000000"/>
                <w:sz w:val="20"/>
                <w:szCs w:val="20"/>
              </w:rPr>
              <w:t>pytest suite (41 tests) covering kio-simulator and orchestrator logic.</w:t>
            </w:r>
          </w:p>
        </w:tc>
      </w:tr>
      <w:tr w14:paraId="72A36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tcMar>
              <w:top w:w="80" w:type="dxa"/>
              <w:left w:w="100" w:type="dxa"/>
              <w:bottom w:w="80" w:type="dxa"/>
              <w:right w:w="100" w:type="dxa"/>
            </w:tcMar>
          </w:tcPr>
          <w:p w14:paraId="0D0724D0">
            <w:r>
              <w:rPr>
                <w:rFonts w:ascii="Calibri" w:hAnsi="Calibri" w:eastAsia="Calibri" w:cs="Calibri"/>
                <w:b w:val="0"/>
                <w:bCs w:val="0"/>
                <w:color w:val="000000"/>
                <w:sz w:val="20"/>
                <w:szCs w:val="20"/>
              </w:rPr>
              <w:t>docs/</w:t>
            </w:r>
          </w:p>
        </w:tc>
        <w:tc>
          <w:tcPr>
            <w:tcW w:w="7100" w:type="dxa"/>
            <w:tcMar>
              <w:top w:w="80" w:type="dxa"/>
              <w:left w:w="100" w:type="dxa"/>
              <w:bottom w:w="80" w:type="dxa"/>
              <w:right w:w="100" w:type="dxa"/>
            </w:tcMar>
          </w:tcPr>
          <w:p w14:paraId="5A0F6D4F">
            <w:r>
              <w:rPr>
                <w:rFonts w:ascii="Calibri" w:hAnsi="Calibri" w:eastAsia="Calibri" w:cs="Calibri"/>
                <w:b w:val="0"/>
                <w:bCs w:val="0"/>
                <w:color w:val="000000"/>
                <w:sz w:val="20"/>
                <w:szCs w:val="20"/>
              </w:rPr>
              <w:t>KPI reference and this report's source materials.</w:t>
            </w:r>
          </w:p>
        </w:tc>
      </w:tr>
    </w:tbl>
    <w:p w14:paraId="2E504A44">
      <w:r>
        <w:br w:type="page"/>
      </w:r>
    </w:p>
    <w:p w14:paraId="5B580279">
      <w:pPr>
        <w:pStyle w:val="2"/>
        <w:spacing w:before="360" w:after="160"/>
      </w:pPr>
      <w:r>
        <w:t>13. Requested Review Tasks</w:t>
      </w:r>
    </w:p>
    <w:p w14:paraId="6F46F9E7">
      <w:pPr>
        <w:spacing w:after="160" w:line="276" w:lineRule="auto"/>
        <w:jc w:val="both"/>
      </w:pPr>
      <w:r>
        <w:rPr>
          <w:rFonts w:ascii="Calibri" w:hAnsi="Calibri" w:eastAsia="Calibri" w:cs="Calibri"/>
          <w:sz w:val="22"/>
          <w:szCs w:val="22"/>
        </w:rPr>
        <w:t>You wrote the original architecture (the Integration Contract and the v2 Integration Guide) that this implementation is built against, which makes you the right person to both try it hands-on and judge whether the deviations in Section 10 are acceptable. The tasks below are grouped into two kinds: run it, and review it.</w:t>
      </w:r>
    </w:p>
    <w:p w14:paraId="74C1A568">
      <w:pPr>
        <w:pStyle w:val="3"/>
        <w:spacing w:before="260" w:after="120"/>
        <w:jc w:val="both"/>
      </w:pPr>
      <w:r>
        <w:t>A. Hands-on</w:t>
      </w:r>
    </w:p>
    <w:p w14:paraId="08AE5F2F">
      <w:pPr>
        <w:pStyle w:val="16"/>
        <w:numPr>
          <w:ilvl w:val="0"/>
          <w:numId w:val="2"/>
        </w:numPr>
        <w:spacing w:after="220" w:line="276" w:lineRule="auto"/>
        <w:jc w:val="both"/>
      </w:pPr>
      <w:r>
        <w:rPr>
          <w:rFonts w:ascii="Calibri" w:hAnsi="Calibri" w:eastAsia="Calibri" w:cs="Calibri"/>
          <w:b/>
          <w:bCs/>
          <w:sz w:val="22"/>
          <w:szCs w:val="22"/>
        </w:rPr>
        <w:t xml:space="preserve">Bring the full stack up and walk both dashboards. </w:t>
      </w:r>
      <w:r>
        <w:rPr>
          <w:rFonts w:ascii="Calibri" w:hAnsi="Calibri" w:eastAsia="Calibri" w:cs="Calibri"/>
          <w:sz w:val="22"/>
          <w:szCs w:val="22"/>
        </w:rPr>
        <w:t>docker compose up -d --build, then open Grafana (anonymous, no login) and Langfuse. Confirm the Overview and KIO Detail dashboards, the D1.1 KPI panel groups, and the log/trace panels all make sense end to end.</w:t>
      </w:r>
    </w:p>
    <w:p w14:paraId="579CBCC9">
      <w:pPr>
        <w:pStyle w:val="16"/>
        <w:numPr>
          <w:ilvl w:val="0"/>
          <w:numId w:val="2"/>
        </w:numPr>
        <w:spacing w:after="220" w:line="276" w:lineRule="auto"/>
        <w:jc w:val="both"/>
      </w:pPr>
      <w:r>
        <w:rPr>
          <w:rFonts w:ascii="Calibri" w:hAnsi="Calibri" w:eastAsia="Calibri" w:cs="Calibri"/>
          <w:b/>
          <w:bCs/>
          <w:sz w:val="22"/>
          <w:szCs w:val="22"/>
        </w:rPr>
        <w:t xml:space="preserve">Onboard a test KIO from a second machine. </w:t>
      </w:r>
      <w:r>
        <w:rPr>
          <w:rFonts w:ascii="Calibri" w:hAnsi="Calibri" w:eastAsia="Calibri" w:cs="Calibri"/>
          <w:sz w:val="22"/>
          <w:szCs w:val="22"/>
        </w:rPr>
        <w:t>Use remote-kio/ to run a KIO from a separate machine or VM — this mirrors exactly how your own worker KIOs will eventually connect. Confirm the README's steps are clear and actually work start to finish, including the new mandatory Bearer token step, and that a fresh reader with no prior context could follow it unassisted.</w:t>
      </w:r>
    </w:p>
    <w:p w14:paraId="3CB9F00E">
      <w:pPr>
        <w:pStyle w:val="16"/>
        <w:numPr>
          <w:ilvl w:val="0"/>
          <w:numId w:val="2"/>
        </w:numPr>
        <w:spacing w:after="220" w:line="276" w:lineRule="auto"/>
        <w:jc w:val="both"/>
      </w:pPr>
      <w:r>
        <w:rPr>
          <w:rFonts w:ascii="Calibri" w:hAnsi="Calibri" w:eastAsia="Calibri" w:cs="Calibri"/>
          <w:b/>
          <w:bCs/>
          <w:sz w:val="22"/>
          <w:szCs w:val="22"/>
        </w:rPr>
        <w:t xml:space="preserve">Run the orchestration verification script against real infrastructure. </w:t>
      </w:r>
      <w:r>
        <w:rPr>
          <w:rFonts w:ascii="Calibri" w:hAnsi="Calibri" w:eastAsia="Calibri" w:cs="Calibri"/>
          <w:sz w:val="22"/>
          <w:szCs w:val="22"/>
        </w:rPr>
        <w:t>scripts/verify_orchestration.py has never been run against a real NATS/Postgres — it was built and tested with fakes in a sandbox with no Docker. Bring up nats, orchestrator-postgres, workflow-api, planner, kio3 and run it; confirm it passes, and flag anything it doesn't catch that it should.</w:t>
      </w:r>
    </w:p>
    <w:p w14:paraId="67662E54">
      <w:pPr>
        <w:pStyle w:val="3"/>
        <w:spacing w:before="260" w:after="120"/>
        <w:jc w:val="both"/>
      </w:pPr>
      <w:r>
        <w:t>B. Review — Section 10 deviations, specifically</w:t>
      </w:r>
    </w:p>
    <w:p w14:paraId="54632729">
      <w:pPr>
        <w:pStyle w:val="16"/>
        <w:numPr>
          <w:ilvl w:val="0"/>
          <w:numId w:val="2"/>
        </w:numPr>
        <w:spacing w:after="220" w:line="276" w:lineRule="auto"/>
        <w:jc w:val="both"/>
      </w:pPr>
      <w:r>
        <w:rPr>
          <w:rFonts w:ascii="Calibri" w:hAnsi="Calibri" w:eastAsia="Calibri" w:cs="Calibri"/>
          <w:b/>
          <w:bCs/>
          <w:sz w:val="22"/>
          <w:szCs w:val="22"/>
        </w:rPr>
        <w:t xml:space="preserve">VictoriaLogs instead of Loki. </w:t>
      </w:r>
      <w:r>
        <w:rPr>
          <w:rFonts w:ascii="Calibri" w:hAnsi="Calibri" w:eastAsia="Calibri" w:cs="Calibri"/>
          <w:sz w:val="22"/>
          <w:szCs w:val="22"/>
        </w:rPr>
        <w:t>Confirm the remote-KIO rationale in Section 10.5 is a acceptable reason to permanently diverge from the v2 guide's passive-scrape model, or tell us if Loki is a hard requirement for a reason not visible from this side.</w:t>
      </w:r>
    </w:p>
    <w:p w14:paraId="3CCCEACC">
      <w:pPr>
        <w:pStyle w:val="16"/>
        <w:numPr>
          <w:ilvl w:val="0"/>
          <w:numId w:val="2"/>
        </w:numPr>
        <w:spacing w:after="220" w:line="276" w:lineRule="auto"/>
        <w:jc w:val="both"/>
      </w:pPr>
      <w:r>
        <w:rPr>
          <w:rFonts w:ascii="Calibri" w:hAnsi="Calibri" w:eastAsia="Calibri" w:cs="Calibri"/>
          <w:b/>
          <w:bCs/>
          <w:sz w:val="22"/>
          <w:szCs w:val="22"/>
        </w:rPr>
        <w:t xml:space="preserve">Bearer-only auth, TLS still deferred. </w:t>
      </w:r>
      <w:r>
        <w:rPr>
          <w:rFonts w:ascii="Calibri" w:hAnsi="Calibri" w:eastAsia="Calibri" w:cs="Calibri"/>
          <w:sz w:val="22"/>
          <w:szCs w:val="22"/>
        </w:rPr>
        <w:t>Confirm this is an acceptable interim state, and — if/when a real remote deployment is planned — who owns the TLS/certificate decision (reverse proxy? cert-manager? something else?), since that needs real infrastructure input this side doesn't have.</w:t>
      </w:r>
    </w:p>
    <w:p w14:paraId="57246753">
      <w:pPr>
        <w:pStyle w:val="16"/>
        <w:numPr>
          <w:ilvl w:val="0"/>
          <w:numId w:val="2"/>
        </w:numPr>
        <w:spacing w:after="220" w:line="276" w:lineRule="auto"/>
        <w:jc w:val="both"/>
      </w:pPr>
      <w:r>
        <w:rPr>
          <w:rFonts w:ascii="Calibri" w:hAnsi="Calibri" w:eastAsia="Calibri" w:cs="Calibri"/>
          <w:b/>
          <w:bCs/>
          <w:sz w:val="22"/>
          <w:szCs w:val="22"/>
        </w:rPr>
        <w:t xml:space="preserve">Static routing table instead of a full LangGraph workflow graph. </w:t>
      </w:r>
      <w:r>
        <w:rPr>
          <w:rFonts w:ascii="Calibri" w:hAnsi="Calibri" w:eastAsia="Calibri" w:cs="Calibri"/>
          <w:sz w:val="22"/>
          <w:szCs w:val="22"/>
        </w:rPr>
        <w:t>Confirm whether this near-term simplification (Section 9.6) is acceptable for now, or whether conditional branching / multi-KIO pipelines / retries are needed sooner than “future work.”</w:t>
      </w:r>
    </w:p>
    <w:p w14:paraId="147531A6">
      <w:pPr>
        <w:pStyle w:val="16"/>
        <w:numPr>
          <w:ilvl w:val="0"/>
          <w:numId w:val="2"/>
        </w:numPr>
        <w:spacing w:after="220" w:line="276" w:lineRule="auto"/>
        <w:jc w:val="both"/>
      </w:pPr>
      <w:r>
        <w:rPr>
          <w:rFonts w:ascii="Calibri" w:hAnsi="Calibri" w:eastAsia="Calibri" w:cs="Calibri"/>
          <w:b/>
          <w:bCs/>
          <w:sz w:val="22"/>
          <w:szCs w:val="22"/>
        </w:rPr>
        <w:t xml:space="preserve">Single shared OTLP Bearer token. </w:t>
      </w:r>
      <w:r>
        <w:rPr>
          <w:rFonts w:ascii="Calibri" w:hAnsi="Calibri" w:eastAsia="Calibri" w:cs="Calibri"/>
          <w:sz w:val="22"/>
          <w:szCs w:val="22"/>
        </w:rPr>
        <w:t>Confirm whether one shared token across every KIO is acceptable long-term, or whether per-KIO token issuance/rotation should be built before more teams (like yours) onboard.</w:t>
      </w:r>
    </w:p>
    <w:p w14:paraId="6CB4552C">
      <w:pPr>
        <w:pStyle w:val="16"/>
        <w:numPr>
          <w:ilvl w:val="0"/>
          <w:numId w:val="2"/>
        </w:numPr>
        <w:spacing w:after="220" w:line="276" w:lineRule="auto"/>
        <w:jc w:val="both"/>
      </w:pPr>
      <w:r>
        <w:rPr>
          <w:rFonts w:ascii="Calibri" w:hAnsi="Calibri" w:eastAsia="Calibri" w:cs="Calibri"/>
          <w:b/>
          <w:bCs/>
          <w:sz w:val="22"/>
          <w:szCs w:val="22"/>
        </w:rPr>
        <w:t xml:space="preserve">Trace destination ambiguity: Tempo vs. Langfuse. </w:t>
      </w:r>
      <w:r>
        <w:rPr>
          <w:rFonts w:ascii="Calibri" w:hAnsi="Calibri" w:eastAsia="Calibri" w:cs="Calibri"/>
          <w:sz w:val="22"/>
          <w:szCs w:val="22"/>
        </w:rPr>
        <w:t>This came up directly during KIO1's own integration attempt: is routing OTel spans to Tempo (via the collector) an expected/required part of onboarding, or is Langfuse the only trace destination the onboarding verification gate actually cares about? Please state this unambiguously so every future KIO team gets the same answer.</w:t>
      </w:r>
    </w:p>
    <w:p w14:paraId="048EB185">
      <w:pPr>
        <w:pStyle w:val="16"/>
        <w:numPr>
          <w:ilvl w:val="0"/>
          <w:numId w:val="2"/>
        </w:numPr>
        <w:spacing w:after="220" w:line="276" w:lineRule="auto"/>
        <w:jc w:val="both"/>
      </w:pPr>
      <w:r>
        <w:rPr>
          <w:rFonts w:ascii="Calibri" w:hAnsi="Calibri" w:eastAsia="Calibri" w:cs="Calibri"/>
          <w:b/>
          <w:bCs/>
          <w:sz w:val="22"/>
          <w:szCs w:val="22"/>
        </w:rPr>
        <w:t xml:space="preserve">D1.1 KPI role mapping for KIO8 / KIO13. </w:t>
      </w:r>
      <w:r>
        <w:rPr>
          <w:rFonts w:ascii="Calibri" w:hAnsi="Calibri" w:eastAsia="Calibri" w:cs="Calibri"/>
          <w:sz w:val="22"/>
          <w:szCs w:val="22"/>
        </w:rPr>
        <w:t>The “green-deploy” and “adoption” roles (Section 10.6) and their KPI ownership were inferred directly from the D1.1 traceability matrix by this side, with no confirmation from anyone on the actual KIO8/KIO13 teams. Worth a sanity check before other teams start building against these names.</w:t>
      </w:r>
    </w:p>
    <w:p w14:paraId="0C027B6B">
      <w:pPr>
        <w:spacing w:after="160" w:line="276" w:lineRule="auto"/>
        <w:jc w:val="both"/>
      </w:pPr>
    </w:p>
    <w:p w14:paraId="5B72138D">
      <w:pPr>
        <w:spacing w:after="160" w:line="276" w:lineRule="auto"/>
        <w:jc w:val="both"/>
      </w:pPr>
      <w:r>
        <w:rPr>
          <w:rFonts w:ascii="Calibri" w:hAnsi="Calibri" w:eastAsia="Calibri" w:cs="Calibri"/>
          <w:i/>
          <w:iCs/>
          <w:color w:val="666666"/>
          <w:sz w:val="22"/>
          <w:szCs w:val="22"/>
        </w:rPr>
        <w:t>Nothing here is meant to gate other work — flag anything that's a real blocker versus a nice-to-have, and this side will act on it directly.</w:t>
      </w:r>
    </w:p>
    <w:p w14:paraId="496629B9">
      <w:pPr>
        <w:pStyle w:val="2"/>
        <w:spacing w:before="360" w:after="160"/>
      </w:pPr>
      <w:r>
        <w:t>14. Revision History</w:t>
      </w:r>
    </w:p>
    <w:tbl>
      <w:tblPr>
        <w:tblStyle w:val="9"/>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500"/>
        <w:gridCol w:w="6400"/>
      </w:tblGrid>
      <w:tr w14:paraId="53D34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800" w:type="dxa"/>
            <w:shd w:val="clear" w:color="auto" w:fill="1F3864"/>
            <w:tcMar>
              <w:top w:w="80" w:type="dxa"/>
              <w:left w:w="100" w:type="dxa"/>
              <w:bottom w:w="80" w:type="dxa"/>
              <w:right w:w="100" w:type="dxa"/>
            </w:tcMar>
          </w:tcPr>
          <w:p w14:paraId="5448955D">
            <w:r>
              <w:rPr>
                <w:rFonts w:ascii="Calibri" w:hAnsi="Calibri" w:eastAsia="Calibri" w:cs="Calibri"/>
                <w:b/>
                <w:bCs/>
                <w:color w:val="FFFFFF"/>
                <w:sz w:val="20"/>
                <w:szCs w:val="20"/>
              </w:rPr>
              <w:t>Version</w:t>
            </w:r>
          </w:p>
        </w:tc>
        <w:tc>
          <w:tcPr>
            <w:tcW w:w="1500" w:type="dxa"/>
            <w:shd w:val="clear" w:color="auto" w:fill="1F3864"/>
            <w:tcMar>
              <w:top w:w="80" w:type="dxa"/>
              <w:left w:w="100" w:type="dxa"/>
              <w:bottom w:w="80" w:type="dxa"/>
              <w:right w:w="100" w:type="dxa"/>
            </w:tcMar>
          </w:tcPr>
          <w:p w14:paraId="272B8397">
            <w:r>
              <w:rPr>
                <w:rFonts w:ascii="Calibri" w:hAnsi="Calibri" w:eastAsia="Calibri" w:cs="Calibri"/>
                <w:b/>
                <w:bCs/>
                <w:color w:val="FFFFFF"/>
                <w:sz w:val="20"/>
                <w:szCs w:val="20"/>
              </w:rPr>
              <w:t>Date</w:t>
            </w:r>
          </w:p>
        </w:tc>
        <w:tc>
          <w:tcPr>
            <w:tcW w:w="6400" w:type="dxa"/>
            <w:shd w:val="clear" w:color="auto" w:fill="1F3864"/>
            <w:tcMar>
              <w:top w:w="80" w:type="dxa"/>
              <w:left w:w="100" w:type="dxa"/>
              <w:bottom w:w="80" w:type="dxa"/>
              <w:right w:w="100" w:type="dxa"/>
            </w:tcMar>
          </w:tcPr>
          <w:p w14:paraId="0E2D0C8A">
            <w:r>
              <w:rPr>
                <w:rFonts w:ascii="Calibri" w:hAnsi="Calibri" w:eastAsia="Calibri" w:cs="Calibri"/>
                <w:b/>
                <w:bCs/>
                <w:color w:val="FFFFFF"/>
                <w:sz w:val="20"/>
                <w:szCs w:val="20"/>
              </w:rPr>
              <w:t>Change</w:t>
            </w:r>
          </w:p>
        </w:tc>
      </w:tr>
      <w:tr w14:paraId="6DF07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Mar>
              <w:top w:w="80" w:type="dxa"/>
              <w:left w:w="100" w:type="dxa"/>
              <w:bottom w:w="80" w:type="dxa"/>
              <w:right w:w="100" w:type="dxa"/>
            </w:tcMar>
          </w:tcPr>
          <w:p w14:paraId="6858E4E1">
            <w:r>
              <w:rPr>
                <w:rFonts w:ascii="Calibri" w:hAnsi="Calibri" w:eastAsia="Calibri" w:cs="Calibri"/>
                <w:b w:val="0"/>
                <w:bCs w:val="0"/>
                <w:color w:val="000000"/>
                <w:sz w:val="20"/>
                <w:szCs w:val="20"/>
              </w:rPr>
              <w:t>1.5 (TR)</w:t>
            </w:r>
          </w:p>
        </w:tc>
        <w:tc>
          <w:tcPr>
            <w:tcW w:w="1500" w:type="dxa"/>
            <w:tcMar>
              <w:top w:w="80" w:type="dxa"/>
              <w:left w:w="100" w:type="dxa"/>
              <w:bottom w:w="80" w:type="dxa"/>
              <w:right w:w="100" w:type="dxa"/>
            </w:tcMar>
          </w:tcPr>
          <w:p w14:paraId="134F864B">
            <w:r>
              <w:rPr>
                <w:rFonts w:ascii="Calibri" w:hAnsi="Calibri" w:eastAsia="Calibri" w:cs="Calibri"/>
                <w:b w:val="0"/>
                <w:bCs w:val="0"/>
                <w:color w:val="000000"/>
                <w:sz w:val="20"/>
                <w:szCs w:val="20"/>
              </w:rPr>
              <w:t>2026-08</w:t>
            </w:r>
          </w:p>
        </w:tc>
        <w:tc>
          <w:tcPr>
            <w:tcW w:w="6400" w:type="dxa"/>
            <w:tcMar>
              <w:top w:w="80" w:type="dxa"/>
              <w:left w:w="100" w:type="dxa"/>
              <w:bottom w:w="80" w:type="dxa"/>
              <w:right w:w="100" w:type="dxa"/>
            </w:tcMar>
          </w:tcPr>
          <w:p w14:paraId="4BFCF200">
            <w:r>
              <w:rPr>
                <w:rFonts w:ascii="Calibri" w:hAnsi="Calibri" w:eastAsia="Calibri" w:cs="Calibri"/>
                <w:b w:val="0"/>
                <w:bCs w:val="0"/>
                <w:color w:val="000000"/>
                <w:sz w:val="20"/>
                <w:szCs w:val="20"/>
              </w:rPr>
              <w:t>Last Turkish-language technical report — source for this edition.</w:t>
            </w:r>
          </w:p>
        </w:tc>
      </w:tr>
      <w:tr w14:paraId="4E3CA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shd w:val="clear" w:color="auto" w:fill="F2F2F2"/>
            <w:tcMar>
              <w:top w:w="80" w:type="dxa"/>
              <w:left w:w="100" w:type="dxa"/>
              <w:bottom w:w="80" w:type="dxa"/>
              <w:right w:w="100" w:type="dxa"/>
            </w:tcMar>
          </w:tcPr>
          <w:p w14:paraId="4C564274">
            <w:r>
              <w:rPr>
                <w:rFonts w:ascii="Calibri" w:hAnsi="Calibri" w:eastAsia="Calibri" w:cs="Calibri"/>
                <w:b w:val="0"/>
                <w:bCs w:val="0"/>
                <w:color w:val="000000"/>
                <w:sz w:val="20"/>
                <w:szCs w:val="20"/>
              </w:rPr>
              <w:t>1.</w:t>
            </w:r>
            <w:r>
              <w:rPr>
                <w:rFonts w:hint="default" w:cs="Calibri"/>
                <w:b w:val="0"/>
                <w:bCs w:val="0"/>
                <w:color w:val="000000"/>
                <w:sz w:val="20"/>
                <w:szCs w:val="20"/>
                <w:lang w:val="tr-TR"/>
              </w:rPr>
              <w:t>5</w:t>
            </w:r>
            <w:r>
              <w:rPr>
                <w:rFonts w:ascii="Calibri" w:hAnsi="Calibri" w:eastAsia="Calibri" w:cs="Calibri"/>
                <w:b w:val="0"/>
                <w:bCs w:val="0"/>
                <w:color w:val="000000"/>
                <w:sz w:val="20"/>
                <w:szCs w:val="20"/>
              </w:rPr>
              <w:t xml:space="preserve"> (EN)</w:t>
            </w:r>
          </w:p>
        </w:tc>
        <w:tc>
          <w:tcPr>
            <w:tcW w:w="1500" w:type="dxa"/>
            <w:shd w:val="clear" w:color="auto" w:fill="F2F2F2"/>
            <w:tcMar>
              <w:top w:w="80" w:type="dxa"/>
              <w:left w:w="100" w:type="dxa"/>
              <w:bottom w:w="80" w:type="dxa"/>
              <w:right w:w="100" w:type="dxa"/>
            </w:tcMar>
          </w:tcPr>
          <w:p w14:paraId="7174ED84">
            <w:r>
              <w:rPr>
                <w:rFonts w:ascii="Calibri" w:hAnsi="Calibri" w:eastAsia="Calibri" w:cs="Calibri"/>
                <w:b w:val="0"/>
                <w:bCs w:val="0"/>
                <w:color w:val="000000"/>
                <w:sz w:val="20"/>
                <w:szCs w:val="20"/>
              </w:rPr>
              <w:t>2026-08</w:t>
            </w:r>
          </w:p>
        </w:tc>
        <w:tc>
          <w:tcPr>
            <w:tcW w:w="6400" w:type="dxa"/>
            <w:shd w:val="clear" w:color="auto" w:fill="F2F2F2"/>
            <w:tcMar>
              <w:top w:w="80" w:type="dxa"/>
              <w:left w:w="100" w:type="dxa"/>
              <w:bottom w:w="80" w:type="dxa"/>
              <w:right w:w="100" w:type="dxa"/>
            </w:tcMar>
          </w:tcPr>
          <w:p w14:paraId="10C666CF">
            <w:r>
              <w:rPr>
                <w:rFonts w:ascii="Calibri" w:hAnsi="Calibri" w:eastAsia="Calibri" w:cs="Calibri"/>
                <w:b w:val="0"/>
                <w:bCs w:val="0"/>
                <w:color w:val="000000"/>
                <w:sz w:val="20"/>
                <w:szCs w:val="20"/>
              </w:rPr>
              <w:t>First English edition. Consolidates v1.5 plus: Bearer token enforcement (9.3), Grafana anonymous-Viewer + admin password rotation, KIO8/KIO13 (green-deploy/adoption roles, closing D1.1 KPI coverage to 16/16), 15s export interval, Grafana $session_id filter, scripts/verify_orchestration.py, and this report's own Section 13 review task list.</w:t>
            </w:r>
          </w:p>
        </w:tc>
      </w:tr>
    </w:tbl>
    <w:p w14:paraId="01C2AF76">
      <w:bookmarkStart w:id="0" w:name="_GoBack"/>
      <w:bookmarkEnd w:id="0"/>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Arial Unicode MS">
    <w:panose1 w:val="020B0604020202020204"/>
    <w:charset w:val="86"/>
    <w:family w:val="auto"/>
    <w:pitch w:val="default"/>
    <w:sig w:usb0="F7FFAEFF" w:usb1="F9DFFFFF" w:usb2="0000007F" w:usb3="00000000" w:csb0="203F01FF" w:csb1="D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07D15A">
    <w:pPr>
      <w:jc w:val="center"/>
    </w:pPr>
    <w:r>
      <w:rPr>
        <w:rFonts w:ascii="Calibri" w:hAnsi="Calibri" w:eastAsia="Calibri" w:cs="Calibri"/>
        <w:color w:val="888888"/>
        <w:sz w:val="16"/>
        <w:szCs w:val="16"/>
      </w:rPr>
      <w:t xml:space="preserve">Page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PAGE</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r>
      <w:rPr>
        <w:rFonts w:ascii="Calibri" w:hAnsi="Calibri" w:eastAsia="Calibri" w:cs="Calibri"/>
        <w:color w:val="888888"/>
        <w:sz w:val="16"/>
        <w:szCs w:val="16"/>
      </w:rPr>
      <w:t xml:space="preserve"> of </w:t>
    </w:r>
    <w:r>
      <w:rPr>
        <w:rFonts w:ascii="Calibri" w:hAnsi="Calibri" w:eastAsia="Calibri" w:cs="Calibri"/>
        <w:color w:val="888888"/>
        <w:sz w:val="16"/>
        <w:szCs w:val="16"/>
      </w:rPr>
      <w:fldChar w:fldCharType="begin"/>
    </w:r>
    <w:r>
      <w:rPr>
        <w:rFonts w:ascii="Calibri" w:hAnsi="Calibri" w:eastAsia="Calibri" w:cs="Calibri"/>
        <w:color w:val="888888"/>
        <w:sz w:val="16"/>
        <w:szCs w:val="16"/>
      </w:rPr>
      <w:instrText xml:space="preserve">NUMPAGES</w:instrText>
    </w:r>
    <w:r>
      <w:rPr>
        <w:rFonts w:ascii="Calibri" w:hAnsi="Calibri" w:eastAsia="Calibri" w:cs="Calibri"/>
        <w:color w:val="888888"/>
        <w:sz w:val="16"/>
        <w:szCs w:val="16"/>
      </w:rPr>
      <w:fldChar w:fldCharType="separate"/>
    </w:r>
    <w:r>
      <w:rPr>
        <w:rFonts w:ascii="Calibri" w:hAnsi="Calibri" w:eastAsia="Calibri" w:cs="Calibri"/>
        <w:color w:val="888888"/>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C632D7">
    <w:pPr>
      <w:jc w:val="right"/>
    </w:pPr>
    <w:r>
      <w:rPr>
        <w:rFonts w:ascii="Calibri" w:hAnsi="Calibri" w:eastAsia="Calibri" w:cs="Calibri"/>
        <w:color w:val="888888"/>
        <w:sz w:val="16"/>
        <w:szCs w:val="16"/>
      </w:rPr>
      <w:t>AI4SWENG Observability — Technical Report (EN)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460" w:hanging="260"/>
      </w:pPr>
    </w:lvl>
    <w:lvl w:ilvl="1" w:tentative="0">
      <w:start w:val="1"/>
      <w:numFmt w:val="bullet"/>
      <w:lvlText w:val="–"/>
      <w:lvlJc w:val="left"/>
      <w:pPr>
        <w:ind w:left="820" w:hanging="260"/>
      </w:pPr>
    </w:lvl>
  </w:abstractNum>
  <w:abstractNum w:abstractNumId="1">
    <w:nsid w:val="59ADCABA"/>
    <w:multiLevelType w:val="singleLevel"/>
    <w:tmpl w:val="59ADCABA"/>
    <w:lvl w:ilvl="0" w:tentative="0">
      <w:start w:val="1"/>
      <w:numFmt w:val="decimal"/>
      <w:lvlText w:val="%1."/>
      <w:lvlJc w:val="left"/>
      <w:pPr>
        <w:ind w:left="460" w:hanging="2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displayBackgroundShape w:val="1"/>
  <w:documentProtection w:enforcement="0"/>
  <w:compat>
    <w:compatSetting w:name="compatibilityMode" w:uri="http://schemas.microsoft.com/office/word" w:val="15"/>
  </w:compat>
  <w:rsids>
    <w:rsidRoot w:val="00000000"/>
    <w:rsid w:val="1DCC2CF2"/>
    <w:rsid w:val="29E452C9"/>
    <w:rsid w:val="321D3148"/>
    <w:rsid w:val="5665331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rPr>
  </w:style>
  <w:style w:type="paragraph" w:styleId="2">
    <w:name w:val="heading 1"/>
    <w:next w:val="1"/>
    <w:qFormat/>
    <w:uiPriority w:val="0"/>
    <w:pPr>
      <w:pBdr>
        <w:bottom w:val="single" w:color="1F3864" w:sz="8" w:space="4"/>
      </w:pBdr>
      <w:spacing w:before="360" w:after="160"/>
    </w:pPr>
    <w:rPr>
      <w:rFonts w:ascii="Calibri" w:hAnsi="Calibri" w:eastAsia="Calibri" w:cs="Calibri"/>
      <w:b/>
      <w:bCs/>
      <w:color w:val="1F3864"/>
      <w:sz w:val="30"/>
      <w:szCs w:val="30"/>
    </w:rPr>
  </w:style>
  <w:style w:type="paragraph" w:styleId="3">
    <w:name w:val="heading 2"/>
    <w:next w:val="1"/>
    <w:qFormat/>
    <w:uiPriority w:val="0"/>
    <w:pPr>
      <w:spacing w:before="260" w:after="120"/>
    </w:pPr>
    <w:rPr>
      <w:rFonts w:ascii="Calibri" w:hAnsi="Calibri" w:eastAsia="Calibri" w:cs="Calibri"/>
      <w:b/>
      <w:bCs/>
      <w:color w:val="2E74B5"/>
      <w:sz w:val="25"/>
      <w:szCs w:val="25"/>
    </w:rPr>
  </w:style>
  <w:style w:type="paragraph" w:styleId="4">
    <w:name w:val="heading 3"/>
    <w:next w:val="1"/>
    <w:qFormat/>
    <w:uiPriority w:val="0"/>
    <w:pPr>
      <w:spacing w:before="200" w:after="100"/>
    </w:pPr>
    <w:rPr>
      <w:rFonts w:ascii="Calibri" w:hAnsi="Calibri" w:eastAsia="Calibri" w:cs="Calibri"/>
      <w:b/>
      <w:bCs/>
      <w:i/>
      <w:iCs/>
      <w:color w:val="444444"/>
      <w:sz w:val="23"/>
      <w:szCs w:val="23"/>
    </w:rPr>
  </w:style>
  <w:style w:type="paragraph" w:styleId="5">
    <w:name w:val="heading 4"/>
    <w:next w:val="1"/>
    <w:qFormat/>
    <w:uiPriority w:val="0"/>
    <w:rPr>
      <w:rFonts w:ascii="Calibri" w:hAnsi="Calibri" w:eastAsia="Calibri" w:cs="Calibri"/>
      <w:i/>
      <w:iCs/>
      <w:color w:val="2E74B5"/>
      <w:sz w:val="22"/>
      <w:szCs w:val="22"/>
    </w:rPr>
  </w:style>
  <w:style w:type="paragraph" w:styleId="6">
    <w:name w:val="heading 5"/>
    <w:next w:val="1"/>
    <w:qFormat/>
    <w:uiPriority w:val="0"/>
    <w:rPr>
      <w:rFonts w:ascii="Calibri" w:hAnsi="Calibri" w:eastAsia="Calibri" w:cs="Calibri"/>
      <w:color w:val="2E74B5"/>
      <w:sz w:val="22"/>
      <w:szCs w:val="22"/>
    </w:rPr>
  </w:style>
  <w:style w:type="paragraph" w:styleId="7">
    <w:name w:val="heading 6"/>
    <w:next w:val="1"/>
    <w:qFormat/>
    <w:uiPriority w:val="0"/>
    <w:rPr>
      <w:rFonts w:ascii="Calibri" w:hAnsi="Calibri" w:eastAsia="Calibri" w:cs="Calibri"/>
      <w:color w:val="1F4D78"/>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Calibri" w:hAnsi="Calibri" w:eastAsia="Calibri" w:cs="Calibri"/>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Calibri" w:hAnsi="Calibri" w:eastAsia="Calibri" w:cs="Calibri"/>
      <w:sz w:val="20"/>
      <w:szCs w:val="20"/>
    </w:rPr>
  </w:style>
  <w:style w:type="character" w:styleId="14">
    <w:name w:val="Hyperlink"/>
    <w:unhideWhenUsed/>
    <w:qFormat/>
    <w:uiPriority w:val="99"/>
    <w:rPr>
      <w:color w:val="0563C1"/>
      <w:u w:val="single"/>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215</Words>
  <Characters>1260</Characters>
  <TotalTime>19</TotalTime>
  <ScaleCrop>false</ScaleCrop>
  <LinksUpToDate>false</LinksUpToDate>
  <CharactersWithSpaces>1467</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2026-08-19T07:48:00Z</dcterms:created>
  <dc:creator>Un-named</dc:creator>
  <cp:lastModifiedBy>Yasin Ünal</cp:lastModifiedBy>
  <dcterms:modified xsi:type="dcterms:W3CDTF">2026-08-19T08:11:57Z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eyJoZGlkIjoiMzZmMDRmNjYxMWNmNWQxMmI4OGYxMTA1NTE3MzY0NjgiLCJ1c2VySWQiOiI4ODE0MDIzNDYyOTA2In0=</vt:lpwstr>
  </property>
  <property fmtid="{D5CDD505-2E9C-101B-9397-08002B2CF9AE}" pid="3" name="KSOProductBuildVer">
    <vt:lpwstr>1033-12.1.0.28032</vt:lpwstr>
  </property>
  <property fmtid="{D5CDD505-2E9C-101B-9397-08002B2CF9AE}" pid="4" name="ICV">
    <vt:lpwstr>BB04A091BD914912A04176FA74C58BD4_12</vt:lpwstr>
  </property>
</Properties>
</file>