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590D" w:rsidRDefault="00A936FA">
      <w:pPr>
        <w:spacing w:after="160"/>
      </w:pPr>
      <w:proofErr w:type="spellStart"/>
      <w:proofErr w:type="gramStart"/>
      <w:r>
        <w:rPr>
          <w:b/>
          <w:bCs/>
          <w:color w:val="101C33"/>
          <w:sz w:val="42"/>
          <w:szCs w:val="42"/>
        </w:rPr>
        <w:t>aiDataWorks</w:t>
      </w:r>
      <w:proofErr w:type="spellEnd"/>
      <w:proofErr w:type="gramEnd"/>
      <w:r>
        <w:rPr>
          <w:b/>
          <w:bCs/>
          <w:color w:val="101C33"/>
          <w:sz w:val="42"/>
          <w:szCs w:val="42"/>
        </w:rPr>
        <w:t xml:space="preserve"> Homepage — Final Draft Copy (v2)</w:t>
      </w:r>
    </w:p>
    <w:p w:rsidR="00D9590D" w:rsidRDefault="00A936FA">
      <w:pPr>
        <w:spacing w:after="100"/>
      </w:pPr>
      <w:r>
        <w:rPr>
          <w:color w:val="6B7689"/>
          <w:sz w:val="22"/>
          <w:szCs w:val="22"/>
        </w:rPr>
        <w:t xml:space="preserve">Enhanced against the </w:t>
      </w:r>
      <w:proofErr w:type="spellStart"/>
      <w:r>
        <w:rPr>
          <w:color w:val="6B7689"/>
          <w:sz w:val="22"/>
          <w:szCs w:val="22"/>
        </w:rPr>
        <w:t>Hoonartek</w:t>
      </w:r>
      <w:proofErr w:type="spellEnd"/>
      <w:r>
        <w:rPr>
          <w:color w:val="6B7689"/>
          <w:sz w:val="22"/>
          <w:szCs w:val="22"/>
        </w:rPr>
        <w:t xml:space="preserve"> benchmark and enriched with real content from the </w:t>
      </w:r>
      <w:proofErr w:type="spellStart"/>
      <w:r>
        <w:rPr>
          <w:color w:val="6B7689"/>
          <w:sz w:val="22"/>
          <w:szCs w:val="22"/>
        </w:rPr>
        <w:t>aiDataWorks</w:t>
      </w:r>
      <w:proofErr w:type="spellEnd"/>
      <w:r>
        <w:rPr>
          <w:color w:val="6B7689"/>
          <w:sz w:val="22"/>
          <w:szCs w:val="22"/>
        </w:rPr>
        <w:t xml:space="preserve"> Corporate &amp; Services deck. Ready to feed into Claude Design prompts 2–3 sections at a time.</w:t>
      </w:r>
    </w:p>
    <w:p w:rsidR="00D9590D" w:rsidRDefault="00A936FA">
      <w:pPr>
        <w:spacing w:after="140"/>
      </w:pPr>
      <w:r>
        <w:rPr>
          <w:b/>
          <w:bCs/>
          <w:color w:val="101C33"/>
        </w:rPr>
        <w:t xml:space="preserve">Tag legend:  </w:t>
      </w:r>
      <w:r>
        <w:rPr>
          <w:b/>
          <w:bCs/>
          <w:color w:val="1D7A5F"/>
          <w:sz w:val="18"/>
          <w:szCs w:val="18"/>
        </w:rPr>
        <w:t>[REAL]</w:t>
      </w:r>
      <w:r>
        <w:rPr>
          <w:color w:val="101C33"/>
        </w:rPr>
        <w:t xml:space="preserve"> sourced.  </w:t>
      </w:r>
      <w:r>
        <w:rPr>
          <w:b/>
          <w:bCs/>
          <w:color w:val="B26A00"/>
          <w:sz w:val="18"/>
          <w:szCs w:val="18"/>
        </w:rPr>
        <w:t>[DRAFT]</w:t>
      </w:r>
      <w:r>
        <w:rPr>
          <w:color w:val="101C33"/>
        </w:rPr>
        <w:t xml:space="preserve"> generated, replace when ready.  </w:t>
      </w:r>
      <w:r>
        <w:rPr>
          <w:b/>
          <w:bCs/>
          <w:color w:val="2450FF"/>
          <w:sz w:val="18"/>
          <w:szCs w:val="18"/>
        </w:rPr>
        <w:t>[NEW]</w:t>
      </w:r>
      <w:r>
        <w:rPr>
          <w:color w:val="101C33"/>
        </w:rPr>
        <w:t xml:space="preserve"> added in this v2 pass.  </w:t>
      </w:r>
      <w:r>
        <w:rPr>
          <w:b/>
          <w:bCs/>
          <w:color w:val="C0392B"/>
          <w:sz w:val="18"/>
          <w:szCs w:val="18"/>
        </w:rPr>
        <w:t>[STILL NEEDED]</w:t>
      </w:r>
      <w:r>
        <w:rPr>
          <w:color w:val="101C33"/>
        </w:rPr>
        <w:t xml:space="preserve"> left blank rather than invented.</w:t>
      </w:r>
    </w:p>
    <w:p w:rsidR="00D9590D" w:rsidRDefault="00A936FA">
      <w:pPr>
        <w:spacing w:after="120"/>
      </w:pPr>
      <w:r>
        <w:rPr>
          <w:b/>
          <w:bCs/>
          <w:color w:val="C0392B"/>
        </w:rPr>
        <w:t>OPEN LEAD: slide 19 of the corporate deck references a separate “</w:t>
      </w:r>
      <w:proofErr w:type="spellStart"/>
      <w:r>
        <w:rPr>
          <w:b/>
          <w:bCs/>
          <w:color w:val="C0392B"/>
        </w:rPr>
        <w:t>aiDataWorks</w:t>
      </w:r>
      <w:proofErr w:type="spellEnd"/>
      <w:r>
        <w:rPr>
          <w:b/>
          <w:bCs/>
          <w:color w:val="C0392B"/>
        </w:rPr>
        <w:t xml:space="preserve"> Customer References” presentation. If that file ex</w:t>
      </w:r>
      <w:r>
        <w:rPr>
          <w:b/>
          <w:bCs/>
          <w:color w:val="C0392B"/>
        </w:rPr>
        <w:t>ists, it likely has real client names and numbers that would upgrade Testimonials (§10) and the Flagship Proof Story (§6) from DRAFT to REAL — worth tracking down before finalizing those two sections.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 xml:space="preserve">1. </w:t>
      </w:r>
      <w:proofErr w:type="spellStart"/>
      <w:r>
        <w:rPr>
          <w:b/>
          <w:bCs/>
          <w:color w:val="101C33"/>
          <w:sz w:val="30"/>
          <w:szCs w:val="30"/>
        </w:rPr>
        <w:t>Nav</w:t>
      </w:r>
      <w:proofErr w:type="spellEnd"/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Services  |  Solutions  |  Industries  |  Partne</w:t>
      </w:r>
      <w:r>
        <w:rPr>
          <w:color w:val="101C33"/>
          <w:sz w:val="21"/>
          <w:szCs w:val="21"/>
        </w:rPr>
        <w:t>rs  |  About  |  Resources  —  persistent CTA “Schedule a call”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 xml:space="preserve">No change from v1 — already matches </w:t>
      </w:r>
      <w:proofErr w:type="spellStart"/>
      <w:r>
        <w:rPr>
          <w:i/>
          <w:iCs/>
          <w:color w:val="6B7689"/>
          <w:sz w:val="19"/>
          <w:szCs w:val="19"/>
        </w:rPr>
        <w:t>Hoonartek's</w:t>
      </w:r>
      <w:proofErr w:type="spellEnd"/>
      <w:r>
        <w:rPr>
          <w:i/>
          <w:iCs/>
          <w:color w:val="6B7689"/>
          <w:sz w:val="19"/>
          <w:szCs w:val="19"/>
        </w:rPr>
        <w:t xml:space="preserve"> lean-</w:t>
      </w:r>
      <w:proofErr w:type="spellStart"/>
      <w:r>
        <w:rPr>
          <w:i/>
          <w:iCs/>
          <w:color w:val="6B7689"/>
          <w:sz w:val="19"/>
          <w:szCs w:val="19"/>
        </w:rPr>
        <w:t>nav</w:t>
      </w:r>
      <w:proofErr w:type="spellEnd"/>
      <w:r>
        <w:rPr>
          <w:i/>
          <w:iCs/>
          <w:color w:val="6B7689"/>
          <w:sz w:val="19"/>
          <w:szCs w:val="19"/>
        </w:rPr>
        <w:t xml:space="preserve"> pattern; more isn't better here.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2. Hero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Eyebrow: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 xml:space="preserve">INFORMATICA PLATINUM </w:t>
      </w:r>
      <w:proofErr w:type="gramStart"/>
      <w:r>
        <w:rPr>
          <w:color w:val="101C33"/>
          <w:sz w:val="21"/>
          <w:szCs w:val="21"/>
        </w:rPr>
        <w:t>PARTNER  ·</w:t>
      </w:r>
      <w:proofErr w:type="gramEnd"/>
      <w:r>
        <w:rPr>
          <w:color w:val="101C33"/>
          <w:sz w:val="21"/>
          <w:szCs w:val="21"/>
        </w:rPr>
        <w:t xml:space="preserve">  SALESFORCE PARTNER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Headline: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Make En</w:t>
      </w:r>
      <w:r>
        <w:rPr>
          <w:color w:val="101C33"/>
          <w:sz w:val="21"/>
          <w:szCs w:val="21"/>
        </w:rPr>
        <w:t xml:space="preserve">terprise Data Your Engine for </w:t>
      </w:r>
      <w:proofErr w:type="gramStart"/>
      <w:r>
        <w:rPr>
          <w:color w:val="101C33"/>
          <w:sz w:val="21"/>
          <w:szCs w:val="21"/>
        </w:rPr>
        <w:t>Growth</w:t>
      </w:r>
      <w:r>
        <w:rPr>
          <w:b/>
          <w:bCs/>
          <w:color w:val="1D7A5F"/>
          <w:sz w:val="16"/>
          <w:szCs w:val="16"/>
        </w:rPr>
        <w:t xml:space="preserve">  [</w:t>
      </w:r>
      <w:proofErr w:type="gramEnd"/>
      <w:r>
        <w:rPr>
          <w:b/>
          <w:bCs/>
          <w:color w:val="1D7A5F"/>
          <w:sz w:val="16"/>
          <w:szCs w:val="16"/>
        </w:rPr>
        <w:t>REAL]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Subhead: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 xml:space="preserve">AI-first data modernization, governance, and management — delivered as a service by an </w:t>
      </w:r>
      <w:proofErr w:type="spellStart"/>
      <w:r>
        <w:rPr>
          <w:color w:val="101C33"/>
          <w:sz w:val="21"/>
          <w:szCs w:val="21"/>
        </w:rPr>
        <w:t>Informatica</w:t>
      </w:r>
      <w:proofErr w:type="spellEnd"/>
      <w:r>
        <w:rPr>
          <w:color w:val="101C33"/>
          <w:sz w:val="21"/>
          <w:szCs w:val="21"/>
        </w:rPr>
        <w:t xml:space="preserve"> Platinum &amp; </w:t>
      </w:r>
      <w:proofErr w:type="spellStart"/>
      <w:r>
        <w:rPr>
          <w:color w:val="101C33"/>
          <w:sz w:val="21"/>
          <w:szCs w:val="21"/>
        </w:rPr>
        <w:t>Salesforce</w:t>
      </w:r>
      <w:proofErr w:type="spellEnd"/>
      <w:r>
        <w:rPr>
          <w:color w:val="101C33"/>
          <w:sz w:val="21"/>
          <w:szCs w:val="21"/>
        </w:rPr>
        <w:t xml:space="preserve"> partner.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CTA row: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Primary: “Schedule a Meeting” → calendly.com/</w:t>
      </w:r>
      <w:proofErr w:type="spellStart"/>
      <w:r>
        <w:rPr>
          <w:color w:val="101C33"/>
        </w:rPr>
        <w:t>aidata</w:t>
      </w:r>
      <w:proofErr w:type="spellEnd"/>
      <w:r>
        <w:rPr>
          <w:color w:val="101C33"/>
        </w:rPr>
        <w:t>-marketing/discovery-with-</w:t>
      </w:r>
      <w:proofErr w:type="spellStart"/>
      <w:r>
        <w:rPr>
          <w:color w:val="101C33"/>
        </w:rPr>
        <w:t>aidataworks</w:t>
      </w:r>
      <w:proofErr w:type="spellEnd"/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Secondary: “Explore Case Studies”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Certification strip — positioned opposite the CTA row (same row, right-aligned):</w:t>
      </w:r>
    </w:p>
    <w:p w:rsidR="00D9590D" w:rsidRDefault="00A936FA">
      <w:pPr>
        <w:spacing w:after="90"/>
      </w:pPr>
      <w:proofErr w:type="spellStart"/>
      <w:r>
        <w:rPr>
          <w:color w:val="101C33"/>
          <w:sz w:val="21"/>
          <w:szCs w:val="21"/>
        </w:rPr>
        <w:t>Informatica</w:t>
      </w:r>
      <w:proofErr w:type="spellEnd"/>
      <w:r>
        <w:rPr>
          <w:color w:val="101C33"/>
          <w:sz w:val="21"/>
          <w:szCs w:val="21"/>
        </w:rPr>
        <w:t xml:space="preserve"> Platinum Partner   ·   </w:t>
      </w:r>
      <w:proofErr w:type="spellStart"/>
      <w:r>
        <w:rPr>
          <w:color w:val="101C33"/>
          <w:sz w:val="21"/>
          <w:szCs w:val="21"/>
        </w:rPr>
        <w:t>Salesforce</w:t>
      </w:r>
      <w:proofErr w:type="spellEnd"/>
      <w:r>
        <w:rPr>
          <w:color w:val="101C33"/>
          <w:sz w:val="21"/>
          <w:szCs w:val="21"/>
        </w:rPr>
        <w:t xml:space="preserve"> Partner   ·   </w:t>
      </w:r>
      <w:proofErr w:type="spellStart"/>
      <w:r>
        <w:rPr>
          <w:color w:val="101C33"/>
          <w:sz w:val="21"/>
          <w:szCs w:val="21"/>
        </w:rPr>
        <w:t>MuleSoft</w:t>
      </w:r>
      <w:proofErr w:type="spellEnd"/>
      <w:r>
        <w:rPr>
          <w:color w:val="101C33"/>
          <w:sz w:val="21"/>
          <w:szCs w:val="21"/>
        </w:rPr>
        <w:t xml:space="preserve"> from </w:t>
      </w:r>
      <w:proofErr w:type="spellStart"/>
      <w:r>
        <w:rPr>
          <w:color w:val="101C33"/>
          <w:sz w:val="21"/>
          <w:szCs w:val="21"/>
        </w:rPr>
        <w:t>Salesforce</w:t>
      </w:r>
      <w:proofErr w:type="spellEnd"/>
      <w:r>
        <w:rPr>
          <w:color w:val="101C33"/>
          <w:sz w:val="21"/>
          <w:szCs w:val="21"/>
        </w:rPr>
        <w:t xml:space="preserve">   ·   </w:t>
      </w:r>
      <w:proofErr w:type="spellStart"/>
      <w:r>
        <w:rPr>
          <w:color w:val="101C33"/>
          <w:sz w:val="21"/>
          <w:szCs w:val="21"/>
        </w:rPr>
        <w:t>Salesforce</w:t>
      </w:r>
      <w:proofErr w:type="spellEnd"/>
      <w:r>
        <w:rPr>
          <w:color w:val="101C33"/>
          <w:sz w:val="21"/>
          <w:szCs w:val="21"/>
        </w:rPr>
        <w:t xml:space="preserve"> Certified Data 360 </w:t>
      </w:r>
      <w:proofErr w:type="gramStart"/>
      <w:r>
        <w:rPr>
          <w:color w:val="101C33"/>
          <w:sz w:val="21"/>
          <w:szCs w:val="21"/>
        </w:rPr>
        <w:t>Consultant</w:t>
      </w:r>
      <w:r>
        <w:rPr>
          <w:b/>
          <w:bCs/>
          <w:color w:val="1D7A5F"/>
          <w:sz w:val="16"/>
          <w:szCs w:val="16"/>
        </w:rPr>
        <w:t xml:space="preserve">  [</w:t>
      </w:r>
      <w:proofErr w:type="gramEnd"/>
      <w:r>
        <w:rPr>
          <w:b/>
          <w:bCs/>
          <w:color w:val="1D7A5F"/>
          <w:sz w:val="16"/>
          <w:szCs w:val="16"/>
        </w:rPr>
        <w:t>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 xml:space="preserve">No structural change — already content-appropriate for a hero. Richness belongs </w:t>
      </w:r>
      <w:r>
        <w:rPr>
          <w:i/>
          <w:iCs/>
          <w:color w:val="6B7689"/>
          <w:sz w:val="19"/>
          <w:szCs w:val="19"/>
        </w:rPr>
        <w:t>further down the page, not crammed above the fold.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3. Metrics Bar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Rebuilt this section entirely with real numbers — the corporate deck gave us enough to drop both placeholder DRAFT figures.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12+ Years as an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Partner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10× Productivity Uplift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Now corroborated twice — the Executive Brochure's “10× productivity uplift” and the corporate deck's “Enable Organizations to become 10x Productive” are independent real sources agreeing on the same number.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24×7 Managed Oper</w:t>
      </w:r>
      <w:r>
        <w:rPr>
          <w:color w:val="101C33"/>
        </w:rPr>
        <w:t>ations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4 Global Delivery Locations (US, India, Philippines, Israel)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Replaces the two invented placeholders (“50+ Enterprise Engagements,” “25+ Certified Consultants”) from v1 — both were guesses; these four are not.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4. Client Logo Wall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lastRenderedPageBreak/>
        <w:t>Real</w:t>
      </w:r>
      <w:r>
        <w:rPr>
          <w:b/>
          <w:bCs/>
          <w:color w:val="101C33"/>
          <w:sz w:val="21"/>
          <w:szCs w:val="21"/>
        </w:rPr>
        <w:t xml:space="preserve"> clients (confirmed by you):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Corewell</w:t>
      </w:r>
      <w:proofErr w:type="spellEnd"/>
      <w:r>
        <w:rPr>
          <w:color w:val="101C33"/>
        </w:rPr>
        <w:t xml:space="preserve"> Health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Netgear</w:t>
      </w:r>
      <w:proofErr w:type="spellEnd"/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UPMC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MGIC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Temporary placeholder logos — replace before launch: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Meridian Financial Group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Alderbrook</w:t>
      </w:r>
      <w:proofErr w:type="spellEnd"/>
      <w:r>
        <w:rPr>
          <w:color w:val="101C33"/>
        </w:rPr>
        <w:t xml:space="preserve"> Manufacturing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Coastline Retail Co.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Summit Energy Partners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Vantage Logistics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BrightPath</w:t>
      </w:r>
      <w:proofErr w:type="spellEnd"/>
      <w:r>
        <w:rPr>
          <w:color w:val="101C33"/>
        </w:rPr>
        <w:t xml:space="preserve"> Insurance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Unchanged from v1 — nothing new surfaced in the corporate deck for this section.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5. Services Framework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proofErr w:type="gramStart"/>
      <w:r>
        <w:rPr>
          <w:i/>
          <w:iCs/>
          <w:color w:val="101C33"/>
        </w:rPr>
        <w:t>"01 Assess — AI-readiness assessment, architecture review, and a</w:t>
      </w:r>
      <w:r>
        <w:rPr>
          <w:i/>
          <w:iCs/>
          <w:color w:val="101C33"/>
        </w:rPr>
        <w:t xml:space="preserve"> target-state roadmap."</w:t>
      </w:r>
      <w:proofErr w:type="gramEnd"/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>"02 Modernize — Migrate legacy platforms to cloud (DMC) with proven frameworks."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>"03 Govern — Embed quality, MDM, governance &amp; security for trusted, compliant data."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 xml:space="preserve">"04 </w:t>
      </w:r>
      <w:proofErr w:type="gramStart"/>
      <w:r>
        <w:rPr>
          <w:i/>
          <w:iCs/>
          <w:color w:val="101C33"/>
        </w:rPr>
        <w:t>Activate</w:t>
      </w:r>
      <w:proofErr w:type="gramEnd"/>
      <w:r>
        <w:rPr>
          <w:i/>
          <w:iCs/>
          <w:color w:val="101C33"/>
        </w:rPr>
        <w:t xml:space="preserve"> — Turn governed data into ana</w:t>
      </w:r>
      <w:r>
        <w:rPr>
          <w:i/>
          <w:iCs/>
          <w:color w:val="101C33"/>
        </w:rPr>
        <w:t xml:space="preserve">lytics, custom LLMs, and </w:t>
      </w:r>
      <w:proofErr w:type="spellStart"/>
      <w:r>
        <w:rPr>
          <w:i/>
          <w:iCs/>
          <w:color w:val="101C33"/>
        </w:rPr>
        <w:t>agentic</w:t>
      </w:r>
      <w:proofErr w:type="spellEnd"/>
      <w:r>
        <w:rPr>
          <w:i/>
          <w:iCs/>
          <w:color w:val="101C33"/>
        </w:rPr>
        <w:t xml:space="preserve"> AI."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Modernization Accelerators — new supporting detail under “02 Modernize,” addressing your content-richness note: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PowerCenter</w:t>
      </w:r>
      <w:proofErr w:type="spellEnd"/>
      <w:r>
        <w:rPr>
          <w:color w:val="101C33"/>
        </w:rPr>
        <w:t xml:space="preserve"> </w:t>
      </w:r>
      <w:proofErr w:type="spellStart"/>
      <w:r>
        <w:rPr>
          <w:color w:val="101C33"/>
        </w:rPr>
        <w:t>Cloudification</w:t>
      </w:r>
      <w:proofErr w:type="spellEnd"/>
      <w:r>
        <w:rPr>
          <w:color w:val="101C33"/>
        </w:rPr>
        <w:t xml:space="preserve"> &amp; Modernization (CDI-PC to IDMC)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B2B On-</w:t>
      </w:r>
      <w:proofErr w:type="spellStart"/>
      <w:r>
        <w:rPr>
          <w:color w:val="101C33"/>
        </w:rPr>
        <w:t>Prem</w:t>
      </w:r>
      <w:proofErr w:type="spellEnd"/>
      <w:r>
        <w:rPr>
          <w:color w:val="101C33"/>
        </w:rPr>
        <w:t xml:space="preserve"> to IDMC Migration Framework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MDM On-</w:t>
      </w:r>
      <w:proofErr w:type="spellStart"/>
      <w:r>
        <w:rPr>
          <w:color w:val="101C33"/>
        </w:rPr>
        <w:t>Prem</w:t>
      </w:r>
      <w:proofErr w:type="spellEnd"/>
      <w:r>
        <w:rPr>
          <w:color w:val="101C33"/>
        </w:rPr>
        <w:t xml:space="preserve"> &amp; Hosted Modernization to Cloud MDM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SAP Data Services &amp; IBM </w:t>
      </w:r>
      <w:proofErr w:type="spellStart"/>
      <w:r>
        <w:rPr>
          <w:color w:val="101C33"/>
        </w:rPr>
        <w:t>DataStage</w:t>
      </w:r>
      <w:proofErr w:type="spellEnd"/>
      <w:r>
        <w:rPr>
          <w:color w:val="101C33"/>
        </w:rPr>
        <w:t xml:space="preserve"> Modernization to IDMC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COBOL &amp; Mainframe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Integration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15 named accelerators exist in</w:t>
      </w:r>
      <w:r>
        <w:rPr>
          <w:i/>
          <w:iCs/>
          <w:color w:val="6B7689"/>
          <w:sz w:val="19"/>
          <w:szCs w:val="19"/>
        </w:rPr>
        <w:t xml:space="preserve"> total (corporate deck, slide 10) — these 5 are the most illustrative for the homepage; the full list is a natural fit for a dedicated Solutions/Accelerators page.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 xml:space="preserve">Delivery model: </w:t>
      </w:r>
      <w:proofErr w:type="spellStart"/>
      <w:r>
        <w:rPr>
          <w:i/>
          <w:iCs/>
          <w:color w:val="101C33"/>
          <w:sz w:val="21"/>
          <w:szCs w:val="21"/>
        </w:rPr>
        <w:t>DMaaS</w:t>
      </w:r>
      <w:proofErr w:type="spellEnd"/>
      <w:r>
        <w:rPr>
          <w:i/>
          <w:iCs/>
          <w:color w:val="101C33"/>
          <w:sz w:val="21"/>
          <w:szCs w:val="21"/>
        </w:rPr>
        <w:t xml:space="preserve"> — outcome-based, on-demand teams, always-on managed service.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 xml:space="preserve">6. AI &amp; </w:t>
      </w:r>
      <w:proofErr w:type="gramStart"/>
      <w:r>
        <w:rPr>
          <w:b/>
          <w:bCs/>
          <w:color w:val="101C33"/>
          <w:sz w:val="30"/>
          <w:szCs w:val="30"/>
        </w:rPr>
        <w:t>A</w:t>
      </w:r>
      <w:r>
        <w:rPr>
          <w:b/>
          <w:bCs/>
          <w:color w:val="101C33"/>
          <w:sz w:val="30"/>
          <w:szCs w:val="30"/>
        </w:rPr>
        <w:t>utomation  [</w:t>
      </w:r>
      <w:proofErr w:type="gramEnd"/>
      <w:r>
        <w:rPr>
          <w:b/>
          <w:bCs/>
          <w:color w:val="101C33"/>
          <w:sz w:val="30"/>
          <w:szCs w:val="30"/>
        </w:rPr>
        <w:t>NEW SECTION]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 xml:space="preserve">Added in response to “do we need a section like </w:t>
      </w:r>
      <w:proofErr w:type="spellStart"/>
      <w:r>
        <w:rPr>
          <w:i/>
          <w:iCs/>
          <w:color w:val="6B7689"/>
          <w:sz w:val="19"/>
          <w:szCs w:val="19"/>
        </w:rPr>
        <w:t>Hoonartek's</w:t>
      </w:r>
      <w:proofErr w:type="spellEnd"/>
      <w:r>
        <w:rPr>
          <w:i/>
          <w:iCs/>
          <w:color w:val="6B7689"/>
          <w:sz w:val="19"/>
          <w:szCs w:val="19"/>
        </w:rPr>
        <w:t xml:space="preserve"> </w:t>
      </w:r>
      <w:proofErr w:type="spellStart"/>
      <w:r>
        <w:rPr>
          <w:i/>
          <w:iCs/>
          <w:color w:val="6B7689"/>
          <w:sz w:val="19"/>
          <w:szCs w:val="19"/>
        </w:rPr>
        <w:t>ClearView</w:t>
      </w:r>
      <w:proofErr w:type="spellEnd"/>
      <w:r>
        <w:rPr>
          <w:i/>
          <w:iCs/>
          <w:color w:val="6B7689"/>
          <w:sz w:val="19"/>
          <w:szCs w:val="19"/>
        </w:rPr>
        <w:t xml:space="preserve">™?” — </w:t>
      </w:r>
      <w:proofErr w:type="gramStart"/>
      <w:r>
        <w:rPr>
          <w:i/>
          <w:iCs/>
          <w:color w:val="6B7689"/>
          <w:sz w:val="19"/>
          <w:szCs w:val="19"/>
        </w:rPr>
        <w:t>yes</w:t>
      </w:r>
      <w:proofErr w:type="gramEnd"/>
      <w:r>
        <w:rPr>
          <w:i/>
          <w:iCs/>
          <w:color w:val="6B7689"/>
          <w:sz w:val="19"/>
          <w:szCs w:val="19"/>
        </w:rPr>
        <w:t xml:space="preserve">, and the corporate deck shows </w:t>
      </w:r>
      <w:proofErr w:type="spellStart"/>
      <w:r>
        <w:rPr>
          <w:i/>
          <w:iCs/>
          <w:color w:val="6B7689"/>
          <w:sz w:val="19"/>
          <w:szCs w:val="19"/>
        </w:rPr>
        <w:t>aiDataWorks</w:t>
      </w:r>
      <w:proofErr w:type="spellEnd"/>
      <w:r>
        <w:rPr>
          <w:i/>
          <w:iCs/>
          <w:color w:val="6B7689"/>
          <w:sz w:val="19"/>
          <w:szCs w:val="19"/>
        </w:rPr>
        <w:t xml:space="preserve"> already has the real material for one.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Spotlight copy: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>"AI isn't bolted onto our delivery — it'</w:t>
      </w:r>
      <w:r>
        <w:rPr>
          <w:i/>
          <w:iCs/>
          <w:color w:val="101C33"/>
        </w:rPr>
        <w:t xml:space="preserve">s built into it. Our </w:t>
      </w:r>
      <w:proofErr w:type="spellStart"/>
      <w:r>
        <w:rPr>
          <w:i/>
          <w:iCs/>
          <w:color w:val="101C33"/>
        </w:rPr>
        <w:t>Agentic</w:t>
      </w:r>
      <w:proofErr w:type="spellEnd"/>
      <w:r>
        <w:rPr>
          <w:i/>
          <w:iCs/>
          <w:color w:val="101C33"/>
        </w:rPr>
        <w:t xml:space="preserve"> AI Copilot for </w:t>
      </w:r>
      <w:proofErr w:type="spellStart"/>
      <w:r>
        <w:rPr>
          <w:i/>
          <w:iCs/>
          <w:color w:val="101C33"/>
        </w:rPr>
        <w:t>Informatica</w:t>
      </w:r>
      <w:proofErr w:type="spellEnd"/>
      <w:r>
        <w:rPr>
          <w:i/>
          <w:iCs/>
          <w:color w:val="101C33"/>
        </w:rPr>
        <w:t xml:space="preserve"> &amp; Snowflake, custom LLMs, and agent flows turn governed data into action, while purpose-built platforms bring AI directly to the factory floor."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Supporting facts behind that spotlight (all re</w:t>
      </w:r>
      <w:r>
        <w:rPr>
          <w:b/>
          <w:bCs/>
          <w:color w:val="101C33"/>
          <w:sz w:val="21"/>
          <w:szCs w:val="21"/>
        </w:rPr>
        <w:t>al):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Agentic</w:t>
      </w:r>
      <w:proofErr w:type="spellEnd"/>
      <w:r>
        <w:rPr>
          <w:color w:val="101C33"/>
        </w:rPr>
        <w:t xml:space="preserve"> AI Copilot for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&amp; Snowflake — a named modernization accelerator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Custom LLMs, Agent Flows, and AI Readiness Assessments as standing service lines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AI Driven Manufacturing Copilot (via GEM) — real-time insights, alerts,</w:t>
      </w:r>
      <w:r>
        <w:rPr>
          <w:color w:val="101C33"/>
        </w:rPr>
        <w:t xml:space="preserve"> and optimization guidance integrated with factory MES/sensor data, for Factory Ops Managers, Test Engineers, and Shift Supervisors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Precare</w:t>
      </w:r>
      <w:proofErr w:type="spellEnd"/>
      <w:r>
        <w:rPr>
          <w:color w:val="101C33"/>
        </w:rPr>
        <w:t xml:space="preserve"> </w:t>
      </w:r>
      <w:proofErr w:type="spellStart"/>
      <w:r>
        <w:rPr>
          <w:color w:val="101C33"/>
        </w:rPr>
        <w:t>SaaS</w:t>
      </w:r>
      <w:proofErr w:type="spellEnd"/>
      <w:r>
        <w:rPr>
          <w:color w:val="101C33"/>
        </w:rPr>
        <w:t xml:space="preserve"> AI/ML Analytics Platform (via GEM) — site dashboards, predictive analytics, real-time downtime/yield/de</w:t>
      </w:r>
      <w:r>
        <w:rPr>
          <w:color w:val="101C33"/>
        </w:rPr>
        <w:t>fect tracking, and a built-in ROI calculator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lastRenderedPageBreak/>
        <w:t xml:space="preserve">These two GEM platforms are </w:t>
      </w:r>
      <w:proofErr w:type="spellStart"/>
      <w:r>
        <w:rPr>
          <w:i/>
          <w:iCs/>
          <w:color w:val="6B7689"/>
          <w:sz w:val="19"/>
          <w:szCs w:val="19"/>
        </w:rPr>
        <w:t>aiDataWorks</w:t>
      </w:r>
      <w:proofErr w:type="spellEnd"/>
      <w:r>
        <w:rPr>
          <w:i/>
          <w:iCs/>
          <w:color w:val="6B7689"/>
          <w:sz w:val="19"/>
          <w:szCs w:val="19"/>
        </w:rPr>
        <w:t xml:space="preserve">' closest equivalent to </w:t>
      </w:r>
      <w:proofErr w:type="spellStart"/>
      <w:r>
        <w:rPr>
          <w:i/>
          <w:iCs/>
          <w:color w:val="6B7689"/>
          <w:sz w:val="19"/>
          <w:szCs w:val="19"/>
        </w:rPr>
        <w:t>Hoonartek's</w:t>
      </w:r>
      <w:proofErr w:type="spellEnd"/>
      <w:r>
        <w:rPr>
          <w:i/>
          <w:iCs/>
          <w:color w:val="6B7689"/>
          <w:sz w:val="19"/>
          <w:szCs w:val="19"/>
        </w:rPr>
        <w:t xml:space="preserve"> </w:t>
      </w:r>
      <w:proofErr w:type="spellStart"/>
      <w:r>
        <w:rPr>
          <w:i/>
          <w:iCs/>
          <w:color w:val="6B7689"/>
          <w:sz w:val="19"/>
          <w:szCs w:val="19"/>
        </w:rPr>
        <w:t>ClearView</w:t>
      </w:r>
      <w:proofErr w:type="spellEnd"/>
      <w:r>
        <w:rPr>
          <w:i/>
          <w:iCs/>
          <w:color w:val="6B7689"/>
          <w:sz w:val="19"/>
          <w:szCs w:val="19"/>
        </w:rPr>
        <w:t>™ — real, named, productized IP, currently under-surfaced on the homepage. Recommend a visual card treatment here (icon</w:t>
      </w:r>
      <w:r>
        <w:rPr>
          <w:i/>
          <w:iCs/>
          <w:color w:val="6B7689"/>
          <w:sz w:val="19"/>
          <w:szCs w:val="19"/>
        </w:rPr>
        <w:t xml:space="preserve"> + name + one-line outcome per platform), not a wall of text.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7. Flagship Proof Story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Chosen story — built from real B2B brochure data: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 xml:space="preserve">"A Tier-1 mortgage insurer needed to move off a brittle, on-premise </w:t>
      </w:r>
      <w:proofErr w:type="spellStart"/>
      <w:r>
        <w:rPr>
          <w:i/>
          <w:iCs/>
          <w:color w:val="101C33"/>
        </w:rPr>
        <w:t>Informatica</w:t>
      </w:r>
      <w:proofErr w:type="spellEnd"/>
      <w:r>
        <w:rPr>
          <w:i/>
          <w:iCs/>
          <w:color w:val="101C33"/>
        </w:rPr>
        <w:t xml:space="preserve"> B2B stack — </w:t>
      </w:r>
      <w:proofErr w:type="spellStart"/>
      <w:r>
        <w:rPr>
          <w:i/>
          <w:iCs/>
          <w:color w:val="101C33"/>
        </w:rPr>
        <w:t>PowerCenter</w:t>
      </w:r>
      <w:proofErr w:type="spellEnd"/>
      <w:r>
        <w:rPr>
          <w:i/>
          <w:iCs/>
          <w:color w:val="101C33"/>
        </w:rPr>
        <w:t>, B2B Data Exchan</w:t>
      </w:r>
      <w:r>
        <w:rPr>
          <w:i/>
          <w:iCs/>
          <w:color w:val="101C33"/>
        </w:rPr>
        <w:t xml:space="preserve">ge, and Managed File Transfer — without disrupting EDI, X12, and MISMO trading-partner traffic. </w:t>
      </w:r>
      <w:proofErr w:type="spellStart"/>
      <w:proofErr w:type="gramStart"/>
      <w:r>
        <w:rPr>
          <w:i/>
          <w:iCs/>
          <w:color w:val="101C33"/>
        </w:rPr>
        <w:t>aiDataWorks</w:t>
      </w:r>
      <w:proofErr w:type="spellEnd"/>
      <w:proofErr w:type="gramEnd"/>
      <w:r>
        <w:rPr>
          <w:i/>
          <w:iCs/>
          <w:color w:val="101C33"/>
        </w:rPr>
        <w:t xml:space="preserve"> re-engineered the estate onto </w:t>
      </w:r>
      <w:proofErr w:type="spellStart"/>
      <w:r>
        <w:rPr>
          <w:i/>
          <w:iCs/>
          <w:color w:val="101C33"/>
        </w:rPr>
        <w:t>Informatica's</w:t>
      </w:r>
      <w:proofErr w:type="spellEnd"/>
      <w:r>
        <w:rPr>
          <w:i/>
          <w:iCs/>
          <w:color w:val="101C33"/>
        </w:rPr>
        <w:t xml:space="preserve"> Cloud B2B Gateway, CDI, and CAI, modernizing 100+ data transformation services under a tight SLA — re-ar</w:t>
      </w:r>
      <w:r>
        <w:rPr>
          <w:i/>
          <w:iCs/>
          <w:color w:val="101C33"/>
        </w:rPr>
        <w:t>chitected for cloud scale, not simply lifted and shifted."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Headline number: “100+ DT services modernized”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Client reference: </w:t>
      </w:r>
      <w:proofErr w:type="spellStart"/>
      <w:r>
        <w:rPr>
          <w:color w:val="101C33"/>
        </w:rPr>
        <w:t>anonymized</w:t>
      </w:r>
      <w:proofErr w:type="spellEnd"/>
      <w:r>
        <w:rPr>
          <w:color w:val="101C33"/>
        </w:rPr>
        <w:t xml:space="preserve"> as “a Tier-1 mortgage insurer”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20"/>
      </w:pPr>
      <w:r>
        <w:rPr>
          <w:b/>
          <w:bCs/>
          <w:color w:val="C0392B"/>
        </w:rPr>
        <w:t>See the open lead on the cover page — the referenced “Customer Re</w:t>
      </w:r>
      <w:r>
        <w:rPr>
          <w:b/>
          <w:bCs/>
          <w:color w:val="C0392B"/>
        </w:rPr>
        <w:t>ferences” deck may replace this whole section with a real, named story.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8. Pain-Led Narrative Band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>"</w:t>
      </w:r>
      <w:r>
        <w:rPr>
          <w:i/>
          <w:iCs/>
          <w:color w:val="101C33"/>
        </w:rPr>
        <w:t>Most enterprise data programs stall for the same reasons: fragmented data estates, stalled AI initiatives, rising cost, and governance risk. We fix the foundation, then activate it — faster innovation, lower cost, stronger governance, AI-ready data."</w:t>
      </w:r>
      <w:r>
        <w:rPr>
          <w:b/>
          <w:bCs/>
          <w:color w:val="1D7A5F"/>
          <w:sz w:val="16"/>
          <w:szCs w:val="16"/>
        </w:rPr>
        <w:t xml:space="preserve">  [REA</w:t>
      </w:r>
      <w:r>
        <w:rPr>
          <w:b/>
          <w:bCs/>
          <w:color w:val="1D7A5F"/>
          <w:sz w:val="16"/>
          <w:szCs w:val="16"/>
        </w:rPr>
        <w:t>L]</w:t>
      </w:r>
    </w:p>
    <w:p w:rsidR="00D9590D" w:rsidRDefault="00A936FA">
      <w:pPr>
        <w:spacing w:after="100"/>
      </w:pPr>
      <w:proofErr w:type="gramStart"/>
      <w:r>
        <w:rPr>
          <w:i/>
          <w:iCs/>
          <w:color w:val="6B7689"/>
          <w:sz w:val="19"/>
          <w:szCs w:val="19"/>
        </w:rPr>
        <w:t>Unchanged — fully real, no updates from the corporate deck.</w:t>
      </w:r>
      <w:bookmarkStart w:id="0" w:name="_GoBack"/>
      <w:bookmarkEnd w:id="0"/>
      <w:proofErr w:type="gramEnd"/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9. Industries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Healthcare — KPI-powered dashboards for diagnosis, clinical data, patient care quality, and business management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Financial Services — custom manager diagnostic dashboards f</w:t>
      </w:r>
      <w:r>
        <w:rPr>
          <w:color w:val="101C33"/>
        </w:rPr>
        <w:t>or deeper market insights and portfolio management, plus BI advisory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Insurance — sales performance dashboards collecting data from multiple sources with real-time, interactive analytics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Manufacturing — Data Science and Big Data-powered solu</w:t>
      </w:r>
      <w:r>
        <w:rPr>
          <w:color w:val="101C33"/>
        </w:rPr>
        <w:t>tions for price optimization, demand forecasting, preventive maintenance, and fault prediction; reinforced by the real AI Manufacturing Copilot (§6)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Retail &amp; CPG — recommendation engines tracking cart abandonment, purchase behavior, and cross-selli</w:t>
      </w:r>
      <w:r>
        <w:rPr>
          <w:color w:val="101C33"/>
        </w:rPr>
        <w:t>ng opportunities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Public Sector — modernized case-management and constituent-data platforms so agencies see one citizen record across departments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Manufacturing card strengthened with a cross-reference to the new AI &amp;</w:t>
      </w:r>
      <w:r>
        <w:rPr>
          <w:i/>
          <w:iCs/>
          <w:color w:val="6B7689"/>
          <w:sz w:val="19"/>
          <w:szCs w:val="19"/>
        </w:rPr>
        <w:t xml:space="preserve"> Automation section — otherwise unchanged.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10. Testimonials</w:t>
      </w:r>
    </w:p>
    <w:p w:rsidR="00D9590D" w:rsidRDefault="00A936FA">
      <w:pPr>
        <w:spacing w:after="120"/>
      </w:pPr>
      <w:r>
        <w:rPr>
          <w:b/>
          <w:bCs/>
          <w:color w:val="C0392B"/>
        </w:rPr>
        <w:t xml:space="preserve">Check the “Customer References” deck referenced on the cover page before finalizing this section — it may contain real, </w:t>
      </w:r>
      <w:proofErr w:type="gramStart"/>
      <w:r>
        <w:rPr>
          <w:b/>
          <w:bCs/>
          <w:color w:val="C0392B"/>
        </w:rPr>
        <w:t>attributable</w:t>
      </w:r>
      <w:proofErr w:type="gramEnd"/>
      <w:r>
        <w:rPr>
          <w:b/>
          <w:bCs/>
          <w:color w:val="C0392B"/>
        </w:rPr>
        <w:t xml:space="preserve"> quotes.</w:t>
      </w:r>
    </w:p>
    <w:p w:rsidR="00D9590D" w:rsidRDefault="00A936FA">
      <w:pPr>
        <w:spacing w:after="100"/>
      </w:pPr>
      <w:r>
        <w:rPr>
          <w:b/>
          <w:bCs/>
          <w:color w:val="C0392B"/>
        </w:rPr>
        <w:t>Until then, the quotes below are DRAFT placeholders onl</w:t>
      </w:r>
      <w:r>
        <w:rPr>
          <w:b/>
          <w:bCs/>
          <w:color w:val="C0392B"/>
        </w:rPr>
        <w:t>y — not written, reviewed, or approved by the named client.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 xml:space="preserve">"Modernizing our data foundation with </w:t>
      </w:r>
      <w:proofErr w:type="spellStart"/>
      <w:r>
        <w:rPr>
          <w:i/>
          <w:iCs/>
          <w:color w:val="101C33"/>
        </w:rPr>
        <w:t>aiDataWorks</w:t>
      </w:r>
      <w:proofErr w:type="spellEnd"/>
      <w:r>
        <w:rPr>
          <w:i/>
          <w:iCs/>
          <w:color w:val="101C33"/>
        </w:rPr>
        <w:t xml:space="preserve"> gave our teams one reliable view of patient and operational data — something we couldn't get from our legacy integration stack."</w:t>
      </w:r>
      <w:r>
        <w:rPr>
          <w:color w:val="6B7689"/>
          <w:sz w:val="18"/>
          <w:szCs w:val="18"/>
        </w:rPr>
        <w:t xml:space="preserve">  — [Title], </w:t>
      </w:r>
      <w:proofErr w:type="spellStart"/>
      <w:r>
        <w:rPr>
          <w:color w:val="6B7689"/>
          <w:sz w:val="18"/>
          <w:szCs w:val="18"/>
        </w:rPr>
        <w:t>Corew</w:t>
      </w:r>
      <w:r>
        <w:rPr>
          <w:color w:val="6B7689"/>
          <w:sz w:val="18"/>
          <w:szCs w:val="18"/>
        </w:rPr>
        <w:t>ell</w:t>
      </w:r>
      <w:proofErr w:type="spellEnd"/>
      <w:r>
        <w:rPr>
          <w:color w:val="6B7689"/>
          <w:sz w:val="18"/>
          <w:szCs w:val="18"/>
        </w:rPr>
        <w:t xml:space="preserve"> </w:t>
      </w:r>
      <w:proofErr w:type="gramStart"/>
      <w:r>
        <w:rPr>
          <w:color w:val="6B7689"/>
          <w:sz w:val="18"/>
          <w:szCs w:val="18"/>
        </w:rPr>
        <w:t>Health</w:t>
      </w:r>
      <w:r>
        <w:rPr>
          <w:b/>
          <w:bCs/>
          <w:color w:val="B26A00"/>
          <w:sz w:val="16"/>
          <w:szCs w:val="16"/>
        </w:rPr>
        <w:t xml:space="preserve">  [</w:t>
      </w:r>
      <w:proofErr w:type="gramEnd"/>
      <w:r>
        <w:rPr>
          <w:b/>
          <w:bCs/>
          <w:color w:val="B26A00"/>
          <w:sz w:val="16"/>
          <w:szCs w:val="16"/>
        </w:rPr>
        <w:t>DRAFT]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>"</w:t>
      </w:r>
      <w:proofErr w:type="spellStart"/>
      <w:proofErr w:type="gramStart"/>
      <w:r>
        <w:rPr>
          <w:i/>
          <w:iCs/>
          <w:color w:val="101C33"/>
        </w:rPr>
        <w:t>aiDataWorks</w:t>
      </w:r>
      <w:proofErr w:type="spellEnd"/>
      <w:proofErr w:type="gramEnd"/>
      <w:r>
        <w:rPr>
          <w:i/>
          <w:iCs/>
          <w:color w:val="101C33"/>
        </w:rPr>
        <w:t xml:space="preserve"> didn't just migrate our systems — they left us with governance and data quality practices our team could run on our own."</w:t>
      </w:r>
      <w:r>
        <w:rPr>
          <w:color w:val="6B7689"/>
          <w:sz w:val="18"/>
          <w:szCs w:val="18"/>
        </w:rPr>
        <w:t xml:space="preserve">  — [Title], </w:t>
      </w:r>
      <w:proofErr w:type="gramStart"/>
      <w:r>
        <w:rPr>
          <w:color w:val="6B7689"/>
          <w:sz w:val="18"/>
          <w:szCs w:val="18"/>
        </w:rPr>
        <w:t>UPMC</w:t>
      </w:r>
      <w:r>
        <w:rPr>
          <w:b/>
          <w:bCs/>
          <w:color w:val="B26A00"/>
          <w:sz w:val="16"/>
          <w:szCs w:val="16"/>
        </w:rPr>
        <w:t xml:space="preserve">  [</w:t>
      </w:r>
      <w:proofErr w:type="gramEnd"/>
      <w:r>
        <w:rPr>
          <w:b/>
          <w:bCs/>
          <w:color w:val="B26A00"/>
          <w:sz w:val="16"/>
          <w:szCs w:val="16"/>
        </w:rPr>
        <w:t>DRAFT]</w:t>
      </w:r>
    </w:p>
    <w:p w:rsidR="00D9590D" w:rsidRDefault="00A936FA">
      <w:pPr>
        <w:pBdr>
          <w:left w:val="single" w:sz="12" w:space="8" w:color="2450FF"/>
        </w:pBdr>
        <w:spacing w:after="100"/>
        <w:ind w:left="300"/>
      </w:pPr>
      <w:r>
        <w:rPr>
          <w:i/>
          <w:iCs/>
          <w:color w:val="101C33"/>
        </w:rPr>
        <w:t xml:space="preserve">"The </w:t>
      </w:r>
      <w:proofErr w:type="spellStart"/>
      <w:r>
        <w:rPr>
          <w:i/>
          <w:iCs/>
          <w:color w:val="101C33"/>
        </w:rPr>
        <w:t>DMaaS</w:t>
      </w:r>
      <w:proofErr w:type="spellEnd"/>
      <w:r>
        <w:rPr>
          <w:i/>
          <w:iCs/>
          <w:color w:val="101C33"/>
        </w:rPr>
        <w:t xml:space="preserve"> model meant we paid for outcomes, not headcount — that alone cha</w:t>
      </w:r>
      <w:r>
        <w:rPr>
          <w:i/>
          <w:iCs/>
          <w:color w:val="101C33"/>
        </w:rPr>
        <w:t>nged how we planned the whole program."</w:t>
      </w:r>
      <w:r>
        <w:rPr>
          <w:color w:val="6B7689"/>
          <w:sz w:val="18"/>
          <w:szCs w:val="18"/>
        </w:rPr>
        <w:t xml:space="preserve">  — [Title], </w:t>
      </w:r>
      <w:proofErr w:type="gramStart"/>
      <w:r>
        <w:rPr>
          <w:color w:val="6B7689"/>
          <w:sz w:val="18"/>
          <w:szCs w:val="18"/>
        </w:rPr>
        <w:t>MGIC</w:t>
      </w:r>
      <w:r>
        <w:rPr>
          <w:b/>
          <w:bCs/>
          <w:color w:val="B26A00"/>
          <w:sz w:val="16"/>
          <w:szCs w:val="16"/>
        </w:rPr>
        <w:t xml:space="preserve">  [</w:t>
      </w:r>
      <w:proofErr w:type="gramEnd"/>
      <w:r>
        <w:rPr>
          <w:b/>
          <w:bCs/>
          <w:color w:val="B26A00"/>
          <w:sz w:val="16"/>
          <w:szCs w:val="16"/>
        </w:rPr>
        <w:t>DRAFT]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lastRenderedPageBreak/>
        <w:t>11. Partner Ecosystem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Core partners: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— backbone of our data integration, governance, quality, MDM, and automation solutions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Databricks</w:t>
      </w:r>
      <w:proofErr w:type="spellEnd"/>
      <w:r>
        <w:rPr>
          <w:color w:val="101C33"/>
        </w:rPr>
        <w:t xml:space="preserve"> — AI/ML engineering, </w:t>
      </w:r>
      <w:proofErr w:type="spellStart"/>
      <w:r>
        <w:rPr>
          <w:color w:val="101C33"/>
        </w:rPr>
        <w:t>lakehouse</w:t>
      </w:r>
      <w:proofErr w:type="spellEnd"/>
      <w:r>
        <w:rPr>
          <w:color w:val="101C33"/>
        </w:rPr>
        <w:t xml:space="preserve"> arch</w:t>
      </w:r>
      <w:r>
        <w:rPr>
          <w:color w:val="101C33"/>
        </w:rPr>
        <w:t>itecture, high-scale analytics pipelines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Snowflake — cloud data warehouse and data lake engineering, cost governance, analytics modernization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Salesforce</w:t>
      </w:r>
      <w:proofErr w:type="spellEnd"/>
      <w:r>
        <w:rPr>
          <w:color w:val="101C33"/>
        </w:rPr>
        <w:t xml:space="preserve"> — Customer 360 / Data 360 insights, real-time data exchange across sales, marketing, an</w:t>
      </w:r>
      <w:r>
        <w:rPr>
          <w:color w:val="101C33"/>
        </w:rPr>
        <w:t>d service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AWS, Azure, Google Cloud / OCI — cloud-native data lakes, pipelines, and AI workloads across all four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Epic — EHR implementation and integration, including EPIC AWS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integration for healthcare data interoperability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Epic upgraded from DRAFT to REAL this pass — it's an explicitly named service line and accelerator in the corporate deck, not something we need to draft language for anymore.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GEM — AI Driven Manufacturing Copilot and </w:t>
      </w:r>
      <w:proofErr w:type="spellStart"/>
      <w:r>
        <w:rPr>
          <w:color w:val="101C33"/>
        </w:rPr>
        <w:t>Precare</w:t>
      </w:r>
      <w:proofErr w:type="spellEnd"/>
      <w:r>
        <w:rPr>
          <w:color w:val="101C33"/>
        </w:rPr>
        <w:t xml:space="preserve"> </w:t>
      </w:r>
      <w:proofErr w:type="spellStart"/>
      <w:r>
        <w:rPr>
          <w:color w:val="101C33"/>
        </w:rPr>
        <w:t>SaaS</w:t>
      </w:r>
      <w:proofErr w:type="spellEnd"/>
      <w:r>
        <w:rPr>
          <w:color w:val="101C33"/>
        </w:rPr>
        <w:t xml:space="preserve"> AI/ML Analytics P</w:t>
      </w:r>
      <w:r>
        <w:rPr>
          <w:color w:val="101C33"/>
        </w:rPr>
        <w:t>latform for Industry 4.0 and smart manufacturing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GEM promoted into the curated homepage list — previously reserved for a deeper Partners page, but its productized AI platforms (§6) are strong enough to earn homepage placement.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Fortra</w:t>
      </w:r>
      <w:proofErr w:type="spellEnd"/>
      <w:r>
        <w:rPr>
          <w:color w:val="101C33"/>
        </w:rPr>
        <w:t xml:space="preserve"> — data securit</w:t>
      </w:r>
      <w:r>
        <w:rPr>
          <w:color w:val="101C33"/>
        </w:rPr>
        <w:t>y and compliance tooling extending our governance and privacy practice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proofErr w:type="spellStart"/>
      <w:r>
        <w:rPr>
          <w:i/>
          <w:iCs/>
          <w:color w:val="6B7689"/>
          <w:sz w:val="19"/>
          <w:szCs w:val="19"/>
        </w:rPr>
        <w:t>Fortra</w:t>
      </w:r>
      <w:proofErr w:type="spellEnd"/>
      <w:r>
        <w:rPr>
          <w:i/>
          <w:iCs/>
          <w:color w:val="6B7689"/>
          <w:sz w:val="19"/>
          <w:szCs w:val="19"/>
        </w:rPr>
        <w:t xml:space="preserve"> still has no source material in </w:t>
      </w:r>
      <w:proofErr w:type="gramStart"/>
      <w:r>
        <w:rPr>
          <w:i/>
          <w:iCs/>
          <w:color w:val="6B7689"/>
          <w:sz w:val="19"/>
          <w:szCs w:val="19"/>
        </w:rPr>
        <w:t>either brochure</w:t>
      </w:r>
      <w:proofErr w:type="gramEnd"/>
      <w:r>
        <w:rPr>
          <w:i/>
          <w:iCs/>
          <w:color w:val="6B7689"/>
          <w:sz w:val="19"/>
          <w:szCs w:val="19"/>
        </w:rPr>
        <w:t>, the old site, or this corporate deck — real per earlier conversations, but needs separate confirmation of exact approved language.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Confirmed tier badges and certifications — expanded with new real det</w:t>
      </w:r>
      <w:r>
        <w:rPr>
          <w:b/>
          <w:bCs/>
          <w:color w:val="101C33"/>
          <w:sz w:val="21"/>
          <w:szCs w:val="21"/>
        </w:rPr>
        <w:t>ail from the corporate deck: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Platinum Partner (since 2014) ·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Migration Factory Partner · Implementer, Reseller &amp; Vendor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Cloud Data Quality Professional · Data Governance Champion · Cloud MDM &amp; Data Cloud Implementation Pract</w:t>
      </w:r>
      <w:r>
        <w:rPr>
          <w:color w:val="101C33"/>
        </w:rPr>
        <w:t>itioner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Salesforce</w:t>
      </w:r>
      <w:proofErr w:type="spellEnd"/>
      <w:r>
        <w:rPr>
          <w:color w:val="101C33"/>
        </w:rPr>
        <w:t xml:space="preserve"> Certified Data 360 Consultant · </w:t>
      </w:r>
      <w:proofErr w:type="spellStart"/>
      <w:r>
        <w:rPr>
          <w:color w:val="101C33"/>
        </w:rPr>
        <w:t>MuleSoft</w:t>
      </w:r>
      <w:proofErr w:type="spellEnd"/>
      <w:r>
        <w:rPr>
          <w:color w:val="101C33"/>
        </w:rPr>
        <w:t xml:space="preserve"> </w:t>
      </w:r>
      <w:proofErr w:type="spellStart"/>
      <w:r>
        <w:rPr>
          <w:color w:val="101C33"/>
        </w:rPr>
        <w:t>AnyPoint</w:t>
      </w:r>
      <w:proofErr w:type="spellEnd"/>
      <w:r>
        <w:rPr>
          <w:color w:val="101C33"/>
        </w:rPr>
        <w:t xml:space="preserve"> &amp; </w:t>
      </w:r>
      <w:proofErr w:type="spellStart"/>
      <w:r>
        <w:rPr>
          <w:color w:val="101C33"/>
        </w:rPr>
        <w:t>AgentFabric</w:t>
      </w:r>
      <w:proofErr w:type="spellEnd"/>
      <w:r>
        <w:rPr>
          <w:color w:val="101C33"/>
        </w:rPr>
        <w:t xml:space="preserve"> Practitioner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Salesforce</w:t>
      </w:r>
      <w:proofErr w:type="spellEnd"/>
      <w:r>
        <w:rPr>
          <w:color w:val="101C33"/>
        </w:rPr>
        <w:t xml:space="preserve"> &amp; </w:t>
      </w:r>
      <w:proofErr w:type="spellStart"/>
      <w:r>
        <w:rPr>
          <w:color w:val="101C33"/>
        </w:rPr>
        <w:t>MuleSoft</w:t>
      </w:r>
      <w:proofErr w:type="spellEnd"/>
      <w:r>
        <w:rPr>
          <w:color w:val="101C33"/>
        </w:rPr>
        <w:t xml:space="preserve"> Partner since 2026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This last one is genuinely new and recent — worth reusing as the News item in §13.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12. FAQ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 xml:space="preserve">How </w:t>
      </w:r>
      <w:r>
        <w:rPr>
          <w:b/>
          <w:bCs/>
          <w:color w:val="101C33"/>
          <w:sz w:val="21"/>
          <w:szCs w:val="21"/>
        </w:rPr>
        <w:t xml:space="preserve">is </w:t>
      </w:r>
      <w:proofErr w:type="spellStart"/>
      <w:r>
        <w:rPr>
          <w:b/>
          <w:bCs/>
          <w:color w:val="101C33"/>
          <w:sz w:val="21"/>
          <w:szCs w:val="21"/>
        </w:rPr>
        <w:t>aiDataWorks</w:t>
      </w:r>
      <w:proofErr w:type="spellEnd"/>
      <w:r>
        <w:rPr>
          <w:b/>
          <w:bCs/>
          <w:color w:val="101C33"/>
          <w:sz w:val="21"/>
          <w:szCs w:val="21"/>
        </w:rPr>
        <w:t xml:space="preserve"> different from a typical </w:t>
      </w:r>
      <w:proofErr w:type="spellStart"/>
      <w:r>
        <w:rPr>
          <w:b/>
          <w:bCs/>
          <w:color w:val="101C33"/>
          <w:sz w:val="21"/>
          <w:szCs w:val="21"/>
        </w:rPr>
        <w:t>Informatica</w:t>
      </w:r>
      <w:proofErr w:type="spellEnd"/>
      <w:r>
        <w:rPr>
          <w:b/>
          <w:bCs/>
          <w:color w:val="101C33"/>
          <w:sz w:val="21"/>
          <w:szCs w:val="21"/>
        </w:rPr>
        <w:t xml:space="preserve"> reseller?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 xml:space="preserve">We're a Platinum </w:t>
      </w:r>
      <w:proofErr w:type="spellStart"/>
      <w:r>
        <w:rPr>
          <w:color w:val="101C33"/>
          <w:sz w:val="21"/>
          <w:szCs w:val="21"/>
        </w:rPr>
        <w:t>Informatica</w:t>
      </w:r>
      <w:proofErr w:type="spellEnd"/>
      <w:r>
        <w:rPr>
          <w:color w:val="101C33"/>
          <w:sz w:val="21"/>
          <w:szCs w:val="21"/>
        </w:rPr>
        <w:t xml:space="preserve"> partner and </w:t>
      </w:r>
      <w:proofErr w:type="spellStart"/>
      <w:r>
        <w:rPr>
          <w:color w:val="101C33"/>
          <w:sz w:val="21"/>
          <w:szCs w:val="21"/>
        </w:rPr>
        <w:t>Informatica</w:t>
      </w:r>
      <w:proofErr w:type="spellEnd"/>
      <w:r>
        <w:rPr>
          <w:color w:val="101C33"/>
          <w:sz w:val="21"/>
          <w:szCs w:val="21"/>
        </w:rPr>
        <w:t xml:space="preserve"> Migration Factory partner, but we deliver full lifecycle outcomes — assess, modernize, govern, and activate — not just licensing. Most engage</w:t>
      </w:r>
      <w:r>
        <w:rPr>
          <w:color w:val="101C33"/>
          <w:sz w:val="21"/>
          <w:szCs w:val="21"/>
        </w:rPr>
        <w:t xml:space="preserve">ments run as </w:t>
      </w:r>
      <w:proofErr w:type="spellStart"/>
      <w:r>
        <w:rPr>
          <w:color w:val="101C33"/>
          <w:sz w:val="21"/>
          <w:szCs w:val="21"/>
        </w:rPr>
        <w:t>DMaaS</w:t>
      </w:r>
      <w:proofErr w:type="spellEnd"/>
      <w:r>
        <w:rPr>
          <w:color w:val="101C33"/>
          <w:sz w:val="21"/>
          <w:szCs w:val="21"/>
        </w:rPr>
        <w:t>, an outcome-based managed service, not time-and-materials staffing.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 xml:space="preserve">What does the </w:t>
      </w:r>
      <w:proofErr w:type="spellStart"/>
      <w:r>
        <w:rPr>
          <w:b/>
          <w:bCs/>
          <w:color w:val="101C33"/>
          <w:sz w:val="21"/>
          <w:szCs w:val="21"/>
        </w:rPr>
        <w:t>DMaaS</w:t>
      </w:r>
      <w:proofErr w:type="spellEnd"/>
      <w:r>
        <w:rPr>
          <w:b/>
          <w:bCs/>
          <w:color w:val="101C33"/>
          <w:sz w:val="21"/>
          <w:szCs w:val="21"/>
        </w:rPr>
        <w:t xml:space="preserve"> engagement model actually include?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Data Management as a Service is priced to business results and SLAs, not billable hours or headcount. You</w:t>
      </w:r>
      <w:r>
        <w:rPr>
          <w:color w:val="101C33"/>
          <w:sz w:val="21"/>
          <w:szCs w:val="21"/>
        </w:rPr>
        <w:t xml:space="preserve"> get flexible, on-demand expert teams and continuous run-monitor-optimize delivery, so your data platform keeps improving after go-live instead of sitting with whoever built it.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How long does a typical modernization or migration engagement take?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I</w:t>
      </w:r>
      <w:r>
        <w:rPr>
          <w:color w:val="101C33"/>
          <w:sz w:val="21"/>
          <w:szCs w:val="21"/>
        </w:rPr>
        <w:t>t depends on scope, but most engagements start with a framework-based proof of concept to validate feasibility and timeline before a full commitment.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How do you handle data security and compliance during migration?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Governance, quality, and securit</w:t>
      </w:r>
      <w:r>
        <w:rPr>
          <w:color w:val="101C33"/>
          <w:sz w:val="21"/>
          <w:szCs w:val="21"/>
        </w:rPr>
        <w:t>y controls are embedded from the Assess phase onward — audit-ready compliance frameworks and policy/privacy controls are part of the Govern step of every engagement.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 xml:space="preserve">Do you work with organizations that aren't yet on </w:t>
      </w:r>
      <w:proofErr w:type="spellStart"/>
      <w:r>
        <w:rPr>
          <w:b/>
          <w:bCs/>
          <w:color w:val="101C33"/>
          <w:sz w:val="21"/>
          <w:szCs w:val="21"/>
        </w:rPr>
        <w:t>Informatica</w:t>
      </w:r>
      <w:proofErr w:type="spellEnd"/>
      <w:r>
        <w:rPr>
          <w:b/>
          <w:bCs/>
          <w:color w:val="101C33"/>
          <w:sz w:val="21"/>
          <w:szCs w:val="21"/>
        </w:rPr>
        <w:t>?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Yes — we also work</w:t>
      </w:r>
      <w:r>
        <w:rPr>
          <w:color w:val="101C33"/>
          <w:sz w:val="21"/>
          <w:szCs w:val="21"/>
        </w:rPr>
        <w:t xml:space="preserve"> across </w:t>
      </w:r>
      <w:proofErr w:type="spellStart"/>
      <w:r>
        <w:rPr>
          <w:color w:val="101C33"/>
          <w:sz w:val="21"/>
          <w:szCs w:val="21"/>
        </w:rPr>
        <w:t>Databricks</w:t>
      </w:r>
      <w:proofErr w:type="spellEnd"/>
      <w:r>
        <w:rPr>
          <w:color w:val="101C33"/>
          <w:sz w:val="21"/>
          <w:szCs w:val="21"/>
        </w:rPr>
        <w:t xml:space="preserve">, Snowflake, </w:t>
      </w:r>
      <w:proofErr w:type="spellStart"/>
      <w:r>
        <w:rPr>
          <w:color w:val="101C33"/>
          <w:sz w:val="21"/>
          <w:szCs w:val="21"/>
        </w:rPr>
        <w:t>Salesforce</w:t>
      </w:r>
      <w:proofErr w:type="spellEnd"/>
      <w:r>
        <w:rPr>
          <w:color w:val="101C33"/>
          <w:sz w:val="21"/>
          <w:szCs w:val="21"/>
        </w:rPr>
        <w:t xml:space="preserve">, AWS, Azure, Google Cloud, and OCI, and can advise on the right platform mix before recommending </w:t>
      </w:r>
      <w:proofErr w:type="spellStart"/>
      <w:r>
        <w:rPr>
          <w:color w:val="101C33"/>
          <w:sz w:val="21"/>
          <w:szCs w:val="21"/>
        </w:rPr>
        <w:t>Informatica</w:t>
      </w:r>
      <w:proofErr w:type="spellEnd"/>
      <w:r>
        <w:rPr>
          <w:color w:val="101C33"/>
          <w:sz w:val="21"/>
          <w:szCs w:val="21"/>
        </w:rPr>
        <w:t xml:space="preserve"> specifically.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Do you offer AI capabilities beyond data management?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lastRenderedPageBreak/>
        <w:t xml:space="preserve">Yes — our </w:t>
      </w:r>
      <w:proofErr w:type="spellStart"/>
      <w:r>
        <w:rPr>
          <w:color w:val="101C33"/>
          <w:sz w:val="21"/>
          <w:szCs w:val="21"/>
        </w:rPr>
        <w:t>Agentic</w:t>
      </w:r>
      <w:proofErr w:type="spellEnd"/>
      <w:r>
        <w:rPr>
          <w:color w:val="101C33"/>
          <w:sz w:val="21"/>
          <w:szCs w:val="21"/>
        </w:rPr>
        <w:t xml:space="preserve"> AI Copilot </w:t>
      </w:r>
      <w:r>
        <w:rPr>
          <w:color w:val="101C33"/>
          <w:sz w:val="21"/>
          <w:szCs w:val="21"/>
        </w:rPr>
        <w:t xml:space="preserve">for </w:t>
      </w:r>
      <w:proofErr w:type="spellStart"/>
      <w:r>
        <w:rPr>
          <w:color w:val="101C33"/>
          <w:sz w:val="21"/>
          <w:szCs w:val="21"/>
        </w:rPr>
        <w:t>Informatica</w:t>
      </w:r>
      <w:proofErr w:type="spellEnd"/>
      <w:r>
        <w:rPr>
          <w:color w:val="101C33"/>
          <w:sz w:val="21"/>
          <w:szCs w:val="21"/>
        </w:rPr>
        <w:t xml:space="preserve"> &amp; Snowflake, custom LLM and agent-flow development, and purpose-built platforms like our GEM AI Manufacturing Copilot bring AI directly into daily operations, not just into the data layer.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New Q&amp;A added this pass, directly reflecting</w:t>
      </w:r>
      <w:r>
        <w:rPr>
          <w:i/>
          <w:iCs/>
          <w:color w:val="6B7689"/>
          <w:sz w:val="19"/>
          <w:szCs w:val="19"/>
        </w:rPr>
        <w:t xml:space="preserve"> the new AI &amp; Automation section (§6).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13. Insights &amp; News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 xml:space="preserve">Renamed and restructured this pass — previously just 3 blog cards with no news, press, or newsletter element, unlike </w:t>
      </w:r>
      <w:proofErr w:type="spellStart"/>
      <w:r>
        <w:rPr>
          <w:i/>
          <w:iCs/>
          <w:color w:val="6B7689"/>
          <w:sz w:val="19"/>
          <w:szCs w:val="19"/>
        </w:rPr>
        <w:t>Hoonartek's</w:t>
      </w:r>
      <w:proofErr w:type="spellEnd"/>
      <w:r>
        <w:rPr>
          <w:i/>
          <w:iCs/>
          <w:color w:val="6B7689"/>
          <w:sz w:val="19"/>
          <w:szCs w:val="19"/>
        </w:rPr>
        <w:t xml:space="preserve"> fuller resource hub.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News: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aiDataWorks</w:t>
      </w:r>
      <w:proofErr w:type="spellEnd"/>
      <w:r>
        <w:rPr>
          <w:color w:val="101C33"/>
        </w:rPr>
        <w:t xml:space="preserve"> Becomes a Certified </w:t>
      </w:r>
      <w:proofErr w:type="spellStart"/>
      <w:r>
        <w:rPr>
          <w:color w:val="101C33"/>
        </w:rPr>
        <w:t>Salesforce</w:t>
      </w:r>
      <w:proofErr w:type="spellEnd"/>
      <w:r>
        <w:rPr>
          <w:color w:val="101C33"/>
        </w:rPr>
        <w:t xml:space="preserve"> &amp; </w:t>
      </w:r>
      <w:proofErr w:type="spellStart"/>
      <w:r>
        <w:rPr>
          <w:color w:val="101C33"/>
        </w:rPr>
        <w:t>MuleSoft</w:t>
      </w:r>
      <w:proofErr w:type="spellEnd"/>
      <w:r>
        <w:rPr>
          <w:color w:val="101C33"/>
        </w:rPr>
        <w:t xml:space="preserve"> Partner (2026)</w:t>
      </w:r>
      <w:r>
        <w:rPr>
          <w:b/>
          <w:bCs/>
          <w:color w:val="2450FF"/>
          <w:sz w:val="16"/>
          <w:szCs w:val="16"/>
        </w:rPr>
        <w:t xml:space="preserve">  [NEW]</w:t>
      </w:r>
    </w:p>
    <w:p w:rsidR="00D9590D" w:rsidRDefault="00A936FA">
      <w:pPr>
        <w:spacing w:after="100"/>
      </w:pPr>
      <w:r>
        <w:rPr>
          <w:i/>
          <w:iCs/>
          <w:color w:val="6B7689"/>
          <w:sz w:val="19"/>
          <w:szCs w:val="19"/>
        </w:rPr>
        <w:t>This is a real, dateable company milestone (corporate deck, slide 6) — a genuine first entry for a News/Press area, not invented.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Insights: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Choosing a Migration Path off Legacy ETL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What Good Data Governance Actually Looks Like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Running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in a Multi-Cloud Estate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 xml:space="preserve">Newsletter signup — new, matching </w:t>
      </w:r>
      <w:proofErr w:type="spellStart"/>
      <w:r>
        <w:rPr>
          <w:b/>
          <w:bCs/>
          <w:color w:val="101C33"/>
          <w:sz w:val="21"/>
          <w:szCs w:val="21"/>
        </w:rPr>
        <w:t>Hoonartek's</w:t>
      </w:r>
      <w:proofErr w:type="spellEnd"/>
      <w:r>
        <w:rPr>
          <w:b/>
          <w:bCs/>
          <w:color w:val="101C33"/>
          <w:sz w:val="21"/>
          <w:szCs w:val="21"/>
        </w:rPr>
        <w:t xml:space="preserve"> pattern: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 xml:space="preserve">“Get modernization insights in your inbox” + email field + Subscribe </w:t>
      </w:r>
      <w:proofErr w:type="gramStart"/>
      <w:r>
        <w:rPr>
          <w:color w:val="101C33"/>
          <w:sz w:val="21"/>
          <w:szCs w:val="21"/>
        </w:rPr>
        <w:t>button</w:t>
      </w:r>
      <w:r>
        <w:rPr>
          <w:b/>
          <w:bCs/>
          <w:color w:val="2450FF"/>
          <w:sz w:val="16"/>
          <w:szCs w:val="16"/>
        </w:rPr>
        <w:t xml:space="preserve">  [</w:t>
      </w:r>
      <w:proofErr w:type="gramEnd"/>
      <w:r>
        <w:rPr>
          <w:b/>
          <w:bCs/>
          <w:color w:val="2450FF"/>
          <w:sz w:val="16"/>
          <w:szCs w:val="16"/>
        </w:rPr>
        <w:t>NEW]</w:t>
      </w:r>
    </w:p>
    <w:p w:rsidR="00D9590D" w:rsidRDefault="00A936FA">
      <w:pPr>
        <w:pStyle w:val="Heading1"/>
        <w:pBdr>
          <w:bottom w:val="single" w:sz="12" w:space="4" w:color="2450FF"/>
        </w:pBdr>
        <w:spacing w:before="420" w:after="120"/>
      </w:pPr>
      <w:r>
        <w:rPr>
          <w:b/>
          <w:bCs/>
          <w:color w:val="101C33"/>
          <w:sz w:val="30"/>
          <w:szCs w:val="30"/>
        </w:rPr>
        <w:t>14. Final CTA + Footer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Final CTA: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>Let's build your AI-ready data foundation.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Button: “Schedule a Meeting”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Contact: </w:t>
      </w:r>
      <w:proofErr w:type="spellStart"/>
      <w:r>
        <w:rPr>
          <w:color w:val="101C33"/>
        </w:rPr>
        <w:t>marketing@aidata.works</w:t>
      </w:r>
      <w:proofErr w:type="spellEnd"/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Footer — substantially enriched this pass to address the “looks empty” feedback: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Column 1 — Se</w:t>
      </w:r>
      <w:r>
        <w:rPr>
          <w:i/>
          <w:iCs/>
          <w:color w:val="101C33"/>
          <w:sz w:val="21"/>
          <w:szCs w:val="21"/>
        </w:rPr>
        <w:t>rvices: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 xml:space="preserve">Consulting Services ·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Implementation · </w:t>
      </w:r>
      <w:proofErr w:type="spellStart"/>
      <w:r>
        <w:rPr>
          <w:color w:val="101C33"/>
        </w:rPr>
        <w:t>Salesforce</w:t>
      </w:r>
      <w:proofErr w:type="spellEnd"/>
      <w:r>
        <w:rPr>
          <w:color w:val="101C33"/>
        </w:rPr>
        <w:t xml:space="preserve"> Implementation · AWS/Azure/GCP Implementation · Training &amp; Enablement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Column 2 — Solutions: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AI &amp; Automation · Master Data Management · Data Quality &amp; Governance · Modernization A</w:t>
      </w:r>
      <w:r>
        <w:rPr>
          <w:color w:val="101C33"/>
        </w:rPr>
        <w:t>ccelerators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Column 3 — Company: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About · Partners · Careers · News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Column 4 — Resources: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Insights · Case Studies · Contact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Newsletter signup (new):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 xml:space="preserve">“Get modernization insights in your inbox” + email </w:t>
      </w:r>
      <w:proofErr w:type="gramStart"/>
      <w:r>
        <w:rPr>
          <w:color w:val="101C33"/>
          <w:sz w:val="21"/>
          <w:szCs w:val="21"/>
        </w:rPr>
        <w:t>field</w:t>
      </w:r>
      <w:r>
        <w:rPr>
          <w:b/>
          <w:bCs/>
          <w:color w:val="2450FF"/>
          <w:sz w:val="16"/>
          <w:szCs w:val="16"/>
        </w:rPr>
        <w:t xml:space="preserve">  [</w:t>
      </w:r>
      <w:proofErr w:type="gramEnd"/>
      <w:r>
        <w:rPr>
          <w:b/>
          <w:bCs/>
          <w:color w:val="2450FF"/>
          <w:sz w:val="16"/>
          <w:szCs w:val="16"/>
        </w:rPr>
        <w:t>NEW]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Social (new — structural only, needs a real URL):</w:t>
      </w:r>
    </w:p>
    <w:p w:rsidR="00D9590D" w:rsidRDefault="00A936FA">
      <w:pPr>
        <w:spacing w:after="90"/>
      </w:pPr>
      <w:r>
        <w:rPr>
          <w:color w:val="101C33"/>
          <w:sz w:val="21"/>
          <w:szCs w:val="21"/>
        </w:rPr>
        <w:t xml:space="preserve">LinkedIn icon linking to the </w:t>
      </w:r>
      <w:proofErr w:type="spellStart"/>
      <w:r>
        <w:rPr>
          <w:color w:val="101C33"/>
          <w:sz w:val="21"/>
          <w:szCs w:val="21"/>
        </w:rPr>
        <w:t>aiDataWorks</w:t>
      </w:r>
      <w:proofErr w:type="spellEnd"/>
      <w:r>
        <w:rPr>
          <w:color w:val="101C33"/>
          <w:sz w:val="21"/>
          <w:szCs w:val="21"/>
        </w:rPr>
        <w:t xml:space="preserve"> company </w:t>
      </w:r>
      <w:proofErr w:type="gramStart"/>
      <w:r>
        <w:rPr>
          <w:color w:val="101C33"/>
          <w:sz w:val="21"/>
          <w:szCs w:val="21"/>
        </w:rPr>
        <w:t>page</w:t>
      </w:r>
      <w:r>
        <w:rPr>
          <w:b/>
          <w:bCs/>
          <w:color w:val="C0392B"/>
          <w:sz w:val="16"/>
          <w:szCs w:val="16"/>
        </w:rPr>
        <w:t xml:space="preserve">  [</w:t>
      </w:r>
      <w:proofErr w:type="gramEnd"/>
      <w:r>
        <w:rPr>
          <w:b/>
          <w:bCs/>
          <w:color w:val="C0392B"/>
          <w:sz w:val="16"/>
          <w:szCs w:val="16"/>
        </w:rPr>
        <w:t>STILL NEEDED]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Certification badge row — expanded with new real detail: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Platinum Partner (since 2014) · </w:t>
      </w:r>
      <w:proofErr w:type="spellStart"/>
      <w:r>
        <w:rPr>
          <w:color w:val="101C33"/>
        </w:rPr>
        <w:t>Informatica</w:t>
      </w:r>
      <w:proofErr w:type="spellEnd"/>
      <w:r>
        <w:rPr>
          <w:color w:val="101C33"/>
        </w:rPr>
        <w:t xml:space="preserve"> Migration Factory Partn</w:t>
      </w:r>
      <w:r>
        <w:rPr>
          <w:color w:val="101C33"/>
        </w:rPr>
        <w:t>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Cloud Data Quality Professional · Data Governance Champion · Cloud MDM/Data Cloud Practitioner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proofErr w:type="spellStart"/>
      <w:r>
        <w:rPr>
          <w:color w:val="101C33"/>
        </w:rPr>
        <w:t>Salesforce</w:t>
      </w:r>
      <w:proofErr w:type="spellEnd"/>
      <w:r>
        <w:rPr>
          <w:color w:val="101C33"/>
        </w:rPr>
        <w:t xml:space="preserve"> Certified Data 360 Consultant · </w:t>
      </w:r>
      <w:proofErr w:type="spellStart"/>
      <w:r>
        <w:rPr>
          <w:color w:val="101C33"/>
        </w:rPr>
        <w:t>MuleSoft</w:t>
      </w:r>
      <w:proofErr w:type="spellEnd"/>
      <w:r>
        <w:rPr>
          <w:color w:val="101C33"/>
        </w:rPr>
        <w:t xml:space="preserve"> </w:t>
      </w:r>
      <w:proofErr w:type="spellStart"/>
      <w:r>
        <w:rPr>
          <w:color w:val="101C33"/>
        </w:rPr>
        <w:t>AnyPoint</w:t>
      </w:r>
      <w:proofErr w:type="spellEnd"/>
      <w:r>
        <w:rPr>
          <w:color w:val="101C33"/>
        </w:rPr>
        <w:t>/</w:t>
      </w:r>
      <w:proofErr w:type="spellStart"/>
      <w:r>
        <w:rPr>
          <w:color w:val="101C33"/>
        </w:rPr>
        <w:t>AgentFabric</w:t>
      </w:r>
      <w:proofErr w:type="spellEnd"/>
      <w:r>
        <w:rPr>
          <w:color w:val="101C33"/>
        </w:rPr>
        <w:t xml:space="preserve"> Practitioner</w:t>
      </w:r>
      <w:r>
        <w:rPr>
          <w:b/>
          <w:bCs/>
          <w:color w:val="1D7A5F"/>
          <w:sz w:val="16"/>
          <w:szCs w:val="16"/>
        </w:rPr>
        <w:t xml:space="preserve">  [REAL]</w:t>
      </w:r>
    </w:p>
    <w:p w:rsidR="00D9590D" w:rsidRDefault="00A936FA">
      <w:pPr>
        <w:spacing w:after="100"/>
      </w:pPr>
      <w:r>
        <w:rPr>
          <w:i/>
          <w:iCs/>
          <w:color w:val="101C33"/>
          <w:sz w:val="21"/>
          <w:szCs w:val="21"/>
        </w:rPr>
        <w:t>Legal:</w:t>
      </w:r>
    </w:p>
    <w:p w:rsidR="00D9590D" w:rsidRDefault="00A936FA">
      <w:pPr>
        <w:pStyle w:val="ListParagraph"/>
        <w:numPr>
          <w:ilvl w:val="0"/>
          <w:numId w:val="2"/>
        </w:numPr>
        <w:spacing w:after="55"/>
      </w:pPr>
      <w:r>
        <w:rPr>
          <w:color w:val="101C33"/>
        </w:rPr>
        <w:t>Privacy (now a real page, not /blank) · T</w:t>
      </w:r>
      <w:r>
        <w:rPr>
          <w:color w:val="101C33"/>
        </w:rPr>
        <w:t>erms</w:t>
      </w:r>
      <w:r>
        <w:rPr>
          <w:b/>
          <w:bCs/>
          <w:color w:val="B26A00"/>
          <w:sz w:val="16"/>
          <w:szCs w:val="16"/>
        </w:rPr>
        <w:t xml:space="preserve">  [DRAFT]</w:t>
      </w:r>
    </w:p>
    <w:p w:rsidR="00D9590D" w:rsidRDefault="00A936FA">
      <w:pPr>
        <w:spacing w:after="100"/>
      </w:pPr>
      <w:r>
        <w:rPr>
          <w:b/>
          <w:bCs/>
          <w:color w:val="101C33"/>
          <w:sz w:val="21"/>
          <w:szCs w:val="21"/>
        </w:rPr>
        <w:t>Phone number:</w:t>
      </w:r>
    </w:p>
    <w:p w:rsidR="00D9590D" w:rsidRDefault="00A936FA">
      <w:pPr>
        <w:spacing w:after="100"/>
      </w:pPr>
      <w:r>
        <w:rPr>
          <w:b/>
          <w:bCs/>
          <w:color w:val="C0392B"/>
        </w:rPr>
        <w:lastRenderedPageBreak/>
        <w:t>Still left blank</w:t>
      </w:r>
      <w:r>
        <w:rPr>
          <w:color w:val="101C33"/>
        </w:rPr>
        <w:t xml:space="preserve"> — not in the corporate deck either. A wrong number is worse than no number, so this stays open until you supply it.</w:t>
      </w:r>
    </w:p>
    <w:sectPr w:rsidR="00D9590D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5C345E"/>
    <w:multiLevelType w:val="hybridMultilevel"/>
    <w:tmpl w:val="6A8AD1C4"/>
    <w:lvl w:ilvl="0" w:tplc="ED7E9898">
      <w:start w:val="1"/>
      <w:numFmt w:val="bullet"/>
      <w:lvlText w:val="•"/>
      <w:lvlJc w:val="left"/>
      <w:pPr>
        <w:ind w:left="360" w:hanging="260"/>
      </w:pPr>
    </w:lvl>
    <w:lvl w:ilvl="1" w:tplc="81F2A986">
      <w:numFmt w:val="decimal"/>
      <w:lvlText w:val=""/>
      <w:lvlJc w:val="left"/>
    </w:lvl>
    <w:lvl w:ilvl="2" w:tplc="0B6EF924">
      <w:numFmt w:val="decimal"/>
      <w:lvlText w:val=""/>
      <w:lvlJc w:val="left"/>
    </w:lvl>
    <w:lvl w:ilvl="3" w:tplc="63D2F7BC">
      <w:numFmt w:val="decimal"/>
      <w:lvlText w:val=""/>
      <w:lvlJc w:val="left"/>
    </w:lvl>
    <w:lvl w:ilvl="4" w:tplc="A404DDD2">
      <w:numFmt w:val="decimal"/>
      <w:lvlText w:val=""/>
      <w:lvlJc w:val="left"/>
    </w:lvl>
    <w:lvl w:ilvl="5" w:tplc="8648007A">
      <w:numFmt w:val="decimal"/>
      <w:lvlText w:val=""/>
      <w:lvlJc w:val="left"/>
    </w:lvl>
    <w:lvl w:ilvl="6" w:tplc="9FC03108">
      <w:numFmt w:val="decimal"/>
      <w:lvlText w:val=""/>
      <w:lvlJc w:val="left"/>
    </w:lvl>
    <w:lvl w:ilvl="7" w:tplc="61FC83FE">
      <w:numFmt w:val="decimal"/>
      <w:lvlText w:val=""/>
      <w:lvlJc w:val="left"/>
    </w:lvl>
    <w:lvl w:ilvl="8" w:tplc="0CF6A44C">
      <w:numFmt w:val="decimal"/>
      <w:lvlText w:val=""/>
      <w:lvlJc w:val="left"/>
    </w:lvl>
  </w:abstractNum>
  <w:abstractNum w:abstractNumId="1">
    <w:nsid w:val="52BC40F0"/>
    <w:multiLevelType w:val="hybridMultilevel"/>
    <w:tmpl w:val="F930486C"/>
    <w:lvl w:ilvl="0" w:tplc="A7B42742">
      <w:start w:val="1"/>
      <w:numFmt w:val="bullet"/>
      <w:lvlText w:val="●"/>
      <w:lvlJc w:val="left"/>
      <w:pPr>
        <w:ind w:left="720" w:hanging="360"/>
      </w:pPr>
    </w:lvl>
    <w:lvl w:ilvl="1" w:tplc="63E6D7A2">
      <w:start w:val="1"/>
      <w:numFmt w:val="bullet"/>
      <w:lvlText w:val="○"/>
      <w:lvlJc w:val="left"/>
      <w:pPr>
        <w:ind w:left="1440" w:hanging="360"/>
      </w:pPr>
    </w:lvl>
    <w:lvl w:ilvl="2" w:tplc="DE1C5E12">
      <w:start w:val="1"/>
      <w:numFmt w:val="bullet"/>
      <w:lvlText w:val="■"/>
      <w:lvlJc w:val="left"/>
      <w:pPr>
        <w:ind w:left="2160" w:hanging="360"/>
      </w:pPr>
    </w:lvl>
    <w:lvl w:ilvl="3" w:tplc="3EFA7C88">
      <w:start w:val="1"/>
      <w:numFmt w:val="bullet"/>
      <w:lvlText w:val="●"/>
      <w:lvlJc w:val="left"/>
      <w:pPr>
        <w:ind w:left="2880" w:hanging="360"/>
      </w:pPr>
    </w:lvl>
    <w:lvl w:ilvl="4" w:tplc="1494D726">
      <w:start w:val="1"/>
      <w:numFmt w:val="bullet"/>
      <w:lvlText w:val="○"/>
      <w:lvlJc w:val="left"/>
      <w:pPr>
        <w:ind w:left="3600" w:hanging="360"/>
      </w:pPr>
    </w:lvl>
    <w:lvl w:ilvl="5" w:tplc="606C64D4">
      <w:start w:val="1"/>
      <w:numFmt w:val="bullet"/>
      <w:lvlText w:val="■"/>
      <w:lvlJc w:val="left"/>
      <w:pPr>
        <w:ind w:left="4320" w:hanging="360"/>
      </w:pPr>
    </w:lvl>
    <w:lvl w:ilvl="6" w:tplc="74C4E1DE">
      <w:start w:val="1"/>
      <w:numFmt w:val="bullet"/>
      <w:lvlText w:val="●"/>
      <w:lvlJc w:val="left"/>
      <w:pPr>
        <w:ind w:left="5040" w:hanging="360"/>
      </w:pPr>
    </w:lvl>
    <w:lvl w:ilvl="7" w:tplc="84C2B0A0">
      <w:start w:val="1"/>
      <w:numFmt w:val="bullet"/>
      <w:lvlText w:val="●"/>
      <w:lvlJc w:val="left"/>
      <w:pPr>
        <w:ind w:left="5760" w:hanging="360"/>
      </w:pPr>
    </w:lvl>
    <w:lvl w:ilvl="8" w:tplc="92B0CE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590D"/>
    <w:rsid w:val="00A936FA"/>
    <w:rsid w:val="00D95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2107</Words>
  <Characters>12011</Characters>
  <Application>Microsoft Office Word</Application>
  <DocSecurity>0</DocSecurity>
  <Lines>100</Lines>
  <Paragraphs>28</Paragraphs>
  <ScaleCrop>false</ScaleCrop>
  <Company/>
  <LinksUpToDate>false</LinksUpToDate>
  <CharactersWithSpaces>14090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Raj</cp:lastModifiedBy>
  <cp:revision>3</cp:revision>
  <dcterms:created xsi:type="dcterms:W3CDTF">2026-07-20T18:32:00Z</dcterms:created>
  <dcterms:modified xsi:type="dcterms:W3CDTF">2026-07-22T01:56:00Z</dcterms:modified>
</cp:coreProperties>
</file>