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01C33"/>
          <w:sz w:val="42"/>
          <w:szCs w:val="42"/>
        </w:rPr>
        <w:t xml:space="preserve">aiDataWorks Homepage — Final Draft Copy (v2)</w:t>
      </w:r>
    </w:p>
    <w:p>
      <w:pPr>
        <w:spacing w:after="100"/>
      </w:pPr>
      <w:r>
        <w:rPr>
          <w:color w:val="6B7689"/>
          <w:sz w:val="22"/>
          <w:szCs w:val="22"/>
        </w:rPr>
        <w:t xml:space="preserve">Enhanced against the Hoonartek benchmark and enriched with real content from the aiDataWorks Corporate &amp; Services deck. Ready to feed into Claude Design prompts 2–3 sections at a time.</w:t>
      </w:r>
    </w:p>
    <w:p>
      <w:pPr>
        <w:spacing w:after="140"/>
      </w:pPr>
      <w:r>
        <w:rPr>
          <w:b/>
          <w:bCs/>
          <w:color w:val="101C33"/>
          <w:sz w:val="20"/>
          <w:szCs w:val="20"/>
        </w:rPr>
        <w:t xml:space="preserve">Tag legend:  </w:t>
      </w:r>
      <w:r>
        <w:rPr>
          <w:b/>
          <w:bCs/>
          <w:color w:val="1D7A5F"/>
          <w:sz w:val="18"/>
          <w:szCs w:val="18"/>
        </w:rPr>
        <w:t xml:space="preserve">[REAL]</w:t>
      </w:r>
      <w:r>
        <w:rPr>
          <w:color w:val="101C33"/>
          <w:sz w:val="20"/>
          <w:szCs w:val="20"/>
        </w:rPr>
        <w:t xml:space="preserve"> sourced.  </w:t>
      </w:r>
      <w:r>
        <w:rPr>
          <w:b/>
          <w:bCs/>
          <w:color w:val="B26A00"/>
          <w:sz w:val="18"/>
          <w:szCs w:val="18"/>
        </w:rPr>
        <w:t xml:space="preserve">[DRAFT]</w:t>
      </w:r>
      <w:r>
        <w:rPr>
          <w:color w:val="101C33"/>
          <w:sz w:val="20"/>
          <w:szCs w:val="20"/>
        </w:rPr>
        <w:t xml:space="preserve"> generated, replace when ready.  </w:t>
      </w:r>
      <w:r>
        <w:rPr>
          <w:b/>
          <w:bCs/>
          <w:color w:val="2450FF"/>
          <w:sz w:val="18"/>
          <w:szCs w:val="18"/>
        </w:rPr>
        <w:t xml:space="preserve">[NEW]</w:t>
      </w:r>
      <w:r>
        <w:rPr>
          <w:color w:val="101C33"/>
          <w:sz w:val="20"/>
          <w:szCs w:val="20"/>
        </w:rPr>
        <w:t xml:space="preserve"> added in this v2 pass.  </w:t>
      </w:r>
      <w:r>
        <w:rPr>
          <w:b/>
          <w:bCs/>
          <w:color w:val="C0392B"/>
          <w:sz w:val="18"/>
          <w:szCs w:val="18"/>
        </w:rPr>
        <w:t xml:space="preserve">[STILL NEEDED]</w:t>
      </w:r>
      <w:r>
        <w:rPr>
          <w:color w:val="101C33"/>
          <w:sz w:val="20"/>
          <w:szCs w:val="20"/>
        </w:rPr>
        <w:t xml:space="preserve"> left blank rather than invented.</w:t>
      </w:r>
    </w:p>
    <w:p>
      <w:pPr>
        <w:spacing w:after="120"/>
      </w:pPr>
      <w:r>
        <w:rPr>
          <w:b/>
          <w:bCs/>
          <w:color w:val="C0392B"/>
          <w:sz w:val="20"/>
          <w:szCs w:val="20"/>
        </w:rPr>
        <w:t xml:space="preserve">OPEN LEAD: slide 19 of the corporate deck references a separate “aiDataWorks Customer References” presentation. If that file exists, it likely has real client names and numbers that would upgrade Testimonials (§10) and the Flagship Proof Story (§6) from DRAFT to REAL — worth tracking down before finalizing those two sections.</w:t>
      </w:r>
    </w:p>
    <w:p>
      <w:pPr>
        <w:pStyle w:val="Heading1"/>
        <w:pBdr>
          <w:bottom w:val="single" w:color="2450FF" w:sz="12" w:space="4"/>
        </w:pBdr>
        <w:spacing w:after="120" w:before="420"/>
      </w:pPr>
      <w:r>
        <w:rPr>
          <w:b/>
          <w:bCs/>
          <w:color w:val="101C33"/>
          <w:sz w:val="30"/>
          <w:szCs w:val="30"/>
        </w:rPr>
        <w:t xml:space="preserve">1. Nav</w:t>
      </w:r>
    </w:p>
    <w:p>
      <w:pPr>
        <w:spacing w:after="90"/>
      </w:pPr>
      <w:r>
        <w:rPr>
          <w:color w:val="101C33"/>
          <w:sz w:val="21"/>
          <w:szCs w:val="21"/>
        </w:rPr>
        <w:t xml:space="preserve">Services  |  Solutions  |  Industries  |  Partners  |  About  |  Resources  —  persistent CTA “Schedule a call”</w:t>
      </w:r>
      <w:r>
        <w:rPr>
          <w:b/>
          <w:bCs/>
          <w:color w:val="1D7A5F"/>
          <w:sz w:val="16"/>
          <w:szCs w:val="16"/>
        </w:rPr>
        <w:t xml:space="preserve">  [REAL]</w:t>
      </w:r>
    </w:p>
    <w:p>
      <w:pPr>
        <w:spacing w:after="100"/>
      </w:pPr>
      <w:r>
        <w:rPr>
          <w:i/>
          <w:iCs/>
          <w:color w:val="6B7689"/>
          <w:sz w:val="19"/>
          <w:szCs w:val="19"/>
        </w:rPr>
        <w:t xml:space="preserve">No change from v1 — already matches Hoonartek's lean-nav pattern; more isn't better here.</w:t>
      </w:r>
    </w:p>
    <w:p>
      <w:pPr>
        <w:pStyle w:val="Heading1"/>
        <w:pBdr>
          <w:bottom w:val="single" w:color="2450FF" w:sz="12" w:space="4"/>
        </w:pBdr>
        <w:spacing w:after="120" w:before="420"/>
      </w:pPr>
      <w:r>
        <w:rPr>
          <w:b/>
          <w:bCs/>
          <w:color w:val="101C33"/>
          <w:sz w:val="30"/>
          <w:szCs w:val="30"/>
        </w:rPr>
        <w:t xml:space="preserve">2. Hero</w:t>
      </w:r>
    </w:p>
    <w:p>
      <w:pPr>
        <w:spacing w:after="100"/>
      </w:pPr>
      <w:r>
        <w:rPr>
          <w:b/>
          <w:bCs/>
          <w:i w:val="false"/>
          <w:iCs w:val="false"/>
          <w:color w:val="101C33"/>
          <w:sz w:val="21"/>
          <w:szCs w:val="21"/>
        </w:rPr>
        <w:t xml:space="preserve">Eyebrow:</w:t>
      </w:r>
    </w:p>
    <w:p>
      <w:pPr>
        <w:spacing w:after="90"/>
      </w:pPr>
      <w:r>
        <w:rPr>
          <w:color w:val="101C33"/>
          <w:sz w:val="21"/>
          <w:szCs w:val="21"/>
        </w:rPr>
        <w:t xml:space="preserve">INFORMATICA PLATINUM PARTNER  ·  SALESFORCE PARTNER</w:t>
      </w:r>
      <w:r>
        <w:rPr>
          <w:b/>
          <w:bCs/>
          <w:color w:val="1D7A5F"/>
          <w:sz w:val="16"/>
          <w:szCs w:val="16"/>
        </w:rPr>
        <w:t xml:space="preserve">  [REAL]</w:t>
      </w:r>
    </w:p>
    <w:p>
      <w:pPr>
        <w:spacing w:after="100"/>
      </w:pPr>
      <w:r>
        <w:rPr>
          <w:b/>
          <w:bCs/>
          <w:i w:val="false"/>
          <w:iCs w:val="false"/>
          <w:color w:val="101C33"/>
          <w:sz w:val="21"/>
          <w:szCs w:val="21"/>
        </w:rPr>
        <w:t xml:space="preserve">Headline:</w:t>
      </w:r>
    </w:p>
    <w:p>
      <w:pPr>
        <w:spacing w:after="90"/>
      </w:pPr>
      <w:r>
        <w:rPr>
          <w:color w:val="101C33"/>
          <w:sz w:val="21"/>
          <w:szCs w:val="21"/>
        </w:rPr>
        <w:t xml:space="preserve">Make Enterprise Data Your Engine for Growth</w:t>
      </w:r>
      <w:r>
        <w:rPr>
          <w:b/>
          <w:bCs/>
          <w:color w:val="1D7A5F"/>
          <w:sz w:val="16"/>
          <w:szCs w:val="16"/>
        </w:rPr>
        <w:t xml:space="preserve">  [REAL]</w:t>
      </w:r>
    </w:p>
    <w:p>
      <w:pPr>
        <w:spacing w:after="100"/>
      </w:pPr>
      <w:r>
        <w:rPr>
          <w:b/>
          <w:bCs/>
          <w:i w:val="false"/>
          <w:iCs w:val="false"/>
          <w:color w:val="101C33"/>
          <w:sz w:val="21"/>
          <w:szCs w:val="21"/>
        </w:rPr>
        <w:t xml:space="preserve">Subhead:</w:t>
      </w:r>
    </w:p>
    <w:p>
      <w:pPr>
        <w:spacing w:after="90"/>
      </w:pPr>
      <w:r>
        <w:rPr>
          <w:color w:val="101C33"/>
          <w:sz w:val="21"/>
          <w:szCs w:val="21"/>
        </w:rPr>
        <w:t xml:space="preserve">AI-first data modernization, governance, and management — delivered as a service by an Informatica Platinum &amp; Salesforce partner.</w:t>
      </w:r>
      <w:r>
        <w:rPr>
          <w:b/>
          <w:bCs/>
          <w:color w:val="1D7A5F"/>
          <w:sz w:val="16"/>
          <w:szCs w:val="16"/>
        </w:rPr>
        <w:t xml:space="preserve">  [REAL]</w:t>
      </w:r>
    </w:p>
    <w:p>
      <w:pPr>
        <w:spacing w:after="100"/>
      </w:pPr>
      <w:r>
        <w:rPr>
          <w:b/>
          <w:bCs/>
          <w:i w:val="false"/>
          <w:iCs w:val="false"/>
          <w:color w:val="101C33"/>
          <w:sz w:val="21"/>
          <w:szCs w:val="21"/>
        </w:rPr>
        <w:t xml:space="preserve">CTA row:</w:t>
      </w:r>
    </w:p>
    <w:p>
      <w:pPr>
        <w:pStyle w:val="ListParagraph"/>
        <w:numPr>
          <w:ilvl w:val="0"/>
          <w:numId w:val="2"/>
        </w:numPr>
        <w:spacing w:after="55"/>
      </w:pPr>
      <w:r>
        <w:rPr>
          <w:color w:val="101C33"/>
          <w:sz w:val="20"/>
          <w:szCs w:val="20"/>
        </w:rPr>
        <w:t xml:space="preserve">Primary: “Schedule a Meeting” → calendly.com/aidata-marketing/discovery-with-aidataworks</w:t>
      </w:r>
      <w:r>
        <w:rPr>
          <w:b/>
          <w:bCs/>
          <w:color w:val="1D7A5F"/>
          <w:sz w:val="16"/>
          <w:szCs w:val="16"/>
        </w:rPr>
        <w:t xml:space="preserve">  [REAL]</w:t>
      </w:r>
    </w:p>
    <w:p>
      <w:pPr>
        <w:pStyle w:val="ListParagraph"/>
        <w:numPr>
          <w:ilvl w:val="0"/>
          <w:numId w:val="2"/>
        </w:numPr>
        <w:spacing w:after="55"/>
      </w:pPr>
      <w:r>
        <w:rPr>
          <w:color w:val="101C33"/>
          <w:sz w:val="20"/>
          <w:szCs w:val="20"/>
        </w:rPr>
        <w:t xml:space="preserve">Secondary: “Explore Case Studies”</w:t>
      </w:r>
      <w:r>
        <w:rPr>
          <w:b/>
          <w:bCs/>
          <w:color w:val="B26A00"/>
          <w:sz w:val="16"/>
          <w:szCs w:val="16"/>
        </w:rPr>
        <w:t xml:space="preserve">  [DRAFT]</w:t>
      </w:r>
    </w:p>
    <w:p>
      <w:pPr>
        <w:spacing w:after="100"/>
      </w:pPr>
      <w:r>
        <w:rPr>
          <w:b/>
          <w:bCs/>
          <w:i w:val="false"/>
          <w:iCs w:val="false"/>
          <w:color w:val="101C33"/>
          <w:sz w:val="21"/>
          <w:szCs w:val="21"/>
        </w:rPr>
        <w:t xml:space="preserve">Certification strip — positioned opposite the CTA row (same row, right-aligned):</w:t>
      </w:r>
    </w:p>
    <w:p>
      <w:pPr>
        <w:spacing w:after="90"/>
      </w:pPr>
      <w:r>
        <w:rPr>
          <w:color w:val="101C33"/>
          <w:sz w:val="21"/>
          <w:szCs w:val="21"/>
        </w:rPr>
        <w:t xml:space="preserve">Informatica Platinum Partner   ·   Salesforce Partner   ·   MuleSoft from Salesforce   ·   Salesforce Certified Data 360 Consultant</w:t>
      </w:r>
      <w:r>
        <w:rPr>
          <w:b/>
          <w:bCs/>
          <w:color w:val="1D7A5F"/>
          <w:sz w:val="16"/>
          <w:szCs w:val="16"/>
        </w:rPr>
        <w:t xml:space="preserve">  [REAL]</w:t>
      </w:r>
    </w:p>
    <w:p>
      <w:pPr>
        <w:spacing w:after="100"/>
      </w:pPr>
      <w:r>
        <w:rPr>
          <w:b w:val="false"/>
          <w:bCs w:val="false"/>
          <w:i w:val="false"/>
          <w:iCs w:val="false"/>
          <w:color w:val="101C33"/>
          <w:sz w:val="21"/>
          <w:szCs w:val="21"/>
        </w:rPr>
        <w:t xml:space="preserve">Hero visual: the existing convergence line-draw animation (unchanged).</w:t>
      </w:r>
    </w:p>
    <w:p>
      <w:pPr>
        <w:spacing w:after="100"/>
      </w:pPr>
      <w:r>
        <w:rPr>
          <w:i/>
          <w:iCs/>
          <w:color w:val="6B7689"/>
          <w:sz w:val="19"/>
          <w:szCs w:val="19"/>
        </w:rPr>
        <w:t xml:space="preserve">No structural change — already content-appropriate for a hero. Richness belongs further down the page, not crammed above the fold.</w:t>
      </w:r>
    </w:p>
    <w:p>
      <w:pPr>
        <w:pStyle w:val="Heading1"/>
        <w:pBdr>
          <w:bottom w:val="single" w:color="2450FF" w:sz="12" w:space="4"/>
        </w:pBdr>
        <w:spacing w:after="120" w:before="420"/>
      </w:pPr>
      <w:r>
        <w:rPr>
          <w:b/>
          <w:bCs/>
          <w:color w:val="101C33"/>
          <w:sz w:val="30"/>
          <w:szCs w:val="30"/>
        </w:rPr>
        <w:t xml:space="preserve">3. Metrics Bar</w:t>
      </w:r>
    </w:p>
    <w:p>
      <w:pPr>
        <w:spacing w:after="100"/>
      </w:pPr>
      <w:r>
        <w:rPr>
          <w:i/>
          <w:iCs/>
          <w:color w:val="6B7689"/>
          <w:sz w:val="19"/>
          <w:szCs w:val="19"/>
        </w:rPr>
        <w:t xml:space="preserve">Rebuilt this section entirely with real numbers — the corporate deck gave us enough to drop both placeholder DRAFT figures.</w:t>
      </w:r>
    </w:p>
    <w:p>
      <w:pPr>
        <w:pStyle w:val="ListParagraph"/>
        <w:numPr>
          <w:ilvl w:val="0"/>
          <w:numId w:val="2"/>
        </w:numPr>
        <w:spacing w:after="55"/>
      </w:pPr>
      <w:r>
        <w:rPr>
          <w:color w:val="101C33"/>
          <w:sz w:val="20"/>
          <w:szCs w:val="20"/>
        </w:rPr>
        <w:t xml:space="preserve">12+ Years as an Informatica Partner</w:t>
      </w:r>
      <w:r>
        <w:rPr>
          <w:b/>
          <w:bCs/>
          <w:color w:val="1D7A5F"/>
          <w:sz w:val="16"/>
          <w:szCs w:val="16"/>
        </w:rPr>
        <w:t xml:space="preserve">  [REAL]</w:t>
      </w:r>
    </w:p>
    <w:p>
      <w:pPr>
        <w:pStyle w:val="ListParagraph"/>
        <w:numPr>
          <w:ilvl w:val="0"/>
          <w:numId w:val="2"/>
        </w:numPr>
        <w:spacing w:after="55"/>
      </w:pPr>
      <w:r>
        <w:rPr>
          <w:color w:val="101C33"/>
          <w:sz w:val="20"/>
          <w:szCs w:val="20"/>
        </w:rPr>
        <w:t xml:space="preserve">10× Productivity Uplift</w:t>
      </w:r>
      <w:r>
        <w:rPr>
          <w:b/>
          <w:bCs/>
          <w:color w:val="1D7A5F"/>
          <w:sz w:val="16"/>
          <w:szCs w:val="16"/>
        </w:rPr>
        <w:t xml:space="preserve">  [REAL]</w:t>
      </w:r>
    </w:p>
    <w:p>
      <w:pPr>
        <w:spacing w:after="100"/>
      </w:pPr>
      <w:r>
        <w:rPr>
          <w:i/>
          <w:iCs/>
          <w:color w:val="6B7689"/>
          <w:sz w:val="19"/>
          <w:szCs w:val="19"/>
        </w:rPr>
        <w:t xml:space="preserve">Now corroborated twice — the Executive Brochure's “10× productivity uplift” and the corporate deck's “Enable Organizations to become 10x Productive” are independent real sources agreeing on the same number.</w:t>
      </w:r>
    </w:p>
    <w:p>
      <w:pPr>
        <w:pStyle w:val="ListParagraph"/>
        <w:numPr>
          <w:ilvl w:val="0"/>
          <w:numId w:val="2"/>
        </w:numPr>
        <w:spacing w:after="55"/>
      </w:pPr>
      <w:r>
        <w:rPr>
          <w:color w:val="101C33"/>
          <w:sz w:val="20"/>
          <w:szCs w:val="20"/>
        </w:rPr>
        <w:t xml:space="preserve">24×7 Managed Operations</w:t>
      </w:r>
      <w:r>
        <w:rPr>
          <w:b/>
          <w:bCs/>
          <w:color w:val="1D7A5F"/>
          <w:sz w:val="16"/>
          <w:szCs w:val="16"/>
        </w:rPr>
        <w:t xml:space="preserve">  [REAL]</w:t>
      </w:r>
    </w:p>
    <w:p>
      <w:pPr>
        <w:pStyle w:val="ListParagraph"/>
        <w:numPr>
          <w:ilvl w:val="0"/>
          <w:numId w:val="2"/>
        </w:numPr>
        <w:spacing w:after="55"/>
      </w:pPr>
      <w:r>
        <w:rPr>
          <w:color w:val="101C33"/>
          <w:sz w:val="20"/>
          <w:szCs w:val="20"/>
        </w:rPr>
        <w:t xml:space="preserve">4 Global Delivery Locations (US, India, Philippines, Israel)</w:t>
      </w:r>
      <w:r>
        <w:rPr>
          <w:b/>
          <w:bCs/>
          <w:color w:val="1D7A5F"/>
          <w:sz w:val="16"/>
          <w:szCs w:val="16"/>
        </w:rPr>
        <w:t xml:space="preserve">  [REAL]</w:t>
      </w:r>
    </w:p>
    <w:p>
      <w:pPr>
        <w:spacing w:after="100"/>
      </w:pPr>
      <w:r>
        <w:rPr>
          <w:i/>
          <w:iCs/>
          <w:color w:val="6B7689"/>
          <w:sz w:val="19"/>
          <w:szCs w:val="19"/>
        </w:rPr>
        <w:t xml:space="preserve">Replaces the two invented placeholders (“50+ Enterprise Engagements,” “25+ Certified Consultants”) from v1 — both were guesses; these four are not.</w:t>
      </w:r>
    </w:p>
    <w:p>
      <w:pPr>
        <w:pStyle w:val="Heading1"/>
        <w:pBdr>
          <w:bottom w:val="single" w:color="2450FF" w:sz="12" w:space="4"/>
        </w:pBdr>
        <w:spacing w:after="120" w:before="420"/>
      </w:pPr>
      <w:r>
        <w:rPr>
          <w:b/>
          <w:bCs/>
          <w:color w:val="101C33"/>
          <w:sz w:val="30"/>
          <w:szCs w:val="30"/>
        </w:rPr>
        <w:t xml:space="preserve">4. Client Logo Wall</w:t>
      </w:r>
    </w:p>
    <w:p>
      <w:pPr>
        <w:spacing w:after="100"/>
      </w:pPr>
      <w:r>
        <w:rPr>
          <w:b/>
          <w:bCs/>
          <w:i w:val="false"/>
          <w:iCs w:val="false"/>
          <w:color w:val="101C33"/>
          <w:sz w:val="21"/>
          <w:szCs w:val="21"/>
        </w:rPr>
        <w:t xml:space="preserve">Real clients (confirmed by you):</w:t>
      </w:r>
    </w:p>
    <w:p>
      <w:pPr>
        <w:pStyle w:val="ListParagraph"/>
        <w:numPr>
          <w:ilvl w:val="0"/>
          <w:numId w:val="2"/>
        </w:numPr>
        <w:spacing w:after="55"/>
      </w:pPr>
      <w:r>
        <w:rPr>
          <w:color w:val="101C33"/>
          <w:sz w:val="20"/>
          <w:szCs w:val="20"/>
        </w:rPr>
        <w:t xml:space="preserve">Corewell Health</w:t>
      </w:r>
      <w:r>
        <w:rPr>
          <w:b/>
          <w:bCs/>
          <w:color w:val="1D7A5F"/>
          <w:sz w:val="16"/>
          <w:szCs w:val="16"/>
        </w:rPr>
        <w:t xml:space="preserve">  [REAL]</w:t>
      </w:r>
    </w:p>
    <w:p>
      <w:pPr>
        <w:pStyle w:val="ListParagraph"/>
        <w:numPr>
          <w:ilvl w:val="0"/>
          <w:numId w:val="2"/>
        </w:numPr>
        <w:spacing w:after="55"/>
      </w:pPr>
      <w:r>
        <w:rPr>
          <w:color w:val="101C33"/>
          <w:sz w:val="20"/>
          <w:szCs w:val="20"/>
        </w:rPr>
        <w:t xml:space="preserve">Netgear</w:t>
      </w:r>
      <w:r>
        <w:rPr>
          <w:b/>
          <w:bCs/>
          <w:color w:val="1D7A5F"/>
          <w:sz w:val="16"/>
          <w:szCs w:val="16"/>
        </w:rPr>
        <w:t xml:space="preserve">  [REAL]</w:t>
      </w:r>
    </w:p>
    <w:p>
      <w:pPr>
        <w:pStyle w:val="ListParagraph"/>
        <w:numPr>
          <w:ilvl w:val="0"/>
          <w:numId w:val="2"/>
        </w:numPr>
        <w:spacing w:after="55"/>
      </w:pPr>
      <w:r>
        <w:rPr>
          <w:color w:val="101C33"/>
          <w:sz w:val="20"/>
          <w:szCs w:val="20"/>
        </w:rPr>
        <w:t xml:space="preserve">UPMC</w:t>
      </w:r>
      <w:r>
        <w:rPr>
          <w:b/>
          <w:bCs/>
          <w:color w:val="1D7A5F"/>
          <w:sz w:val="16"/>
          <w:szCs w:val="16"/>
        </w:rPr>
        <w:t xml:space="preserve">  [REAL]</w:t>
      </w:r>
    </w:p>
    <w:p>
      <w:pPr>
        <w:pStyle w:val="ListParagraph"/>
        <w:numPr>
          <w:ilvl w:val="0"/>
          <w:numId w:val="2"/>
        </w:numPr>
        <w:spacing w:after="55"/>
      </w:pPr>
      <w:r>
        <w:rPr>
          <w:color w:val="101C33"/>
          <w:sz w:val="20"/>
          <w:szCs w:val="20"/>
        </w:rPr>
        <w:t xml:space="preserve">MGIC</w:t>
      </w:r>
      <w:r>
        <w:rPr>
          <w:b/>
          <w:bCs/>
          <w:color w:val="1D7A5F"/>
          <w:sz w:val="16"/>
          <w:szCs w:val="16"/>
        </w:rPr>
        <w:t xml:space="preserve">  [REAL]</w:t>
      </w:r>
    </w:p>
    <w:p>
      <w:pPr>
        <w:spacing w:after="100"/>
      </w:pPr>
      <w:r>
        <w:rPr>
          <w:b/>
          <w:bCs/>
          <w:i w:val="false"/>
          <w:iCs w:val="false"/>
          <w:color w:val="101C33"/>
          <w:sz w:val="21"/>
          <w:szCs w:val="21"/>
        </w:rPr>
        <w:t xml:space="preserve">Temporary placeholder logos — replace before launch:</w:t>
      </w:r>
    </w:p>
    <w:p>
      <w:pPr>
        <w:pStyle w:val="ListParagraph"/>
        <w:numPr>
          <w:ilvl w:val="0"/>
          <w:numId w:val="2"/>
        </w:numPr>
        <w:spacing w:after="55"/>
      </w:pPr>
      <w:r>
        <w:rPr>
          <w:color w:val="101C33"/>
          <w:sz w:val="20"/>
          <w:szCs w:val="20"/>
        </w:rPr>
        <w:t xml:space="preserve">Meridian Financial Group</w:t>
      </w:r>
      <w:r>
        <w:rPr>
          <w:b/>
          <w:bCs/>
          <w:color w:val="B26A00"/>
          <w:sz w:val="16"/>
          <w:szCs w:val="16"/>
        </w:rPr>
        <w:t xml:space="preserve">  [DRAFT]</w:t>
      </w:r>
    </w:p>
    <w:p>
      <w:pPr>
        <w:pStyle w:val="ListParagraph"/>
        <w:numPr>
          <w:ilvl w:val="0"/>
          <w:numId w:val="2"/>
        </w:numPr>
        <w:spacing w:after="55"/>
      </w:pPr>
      <w:r>
        <w:rPr>
          <w:color w:val="101C33"/>
          <w:sz w:val="20"/>
          <w:szCs w:val="20"/>
        </w:rPr>
        <w:t xml:space="preserve">Alderbrook Manufacturing</w:t>
      </w:r>
      <w:r>
        <w:rPr>
          <w:b/>
          <w:bCs/>
          <w:color w:val="B26A00"/>
          <w:sz w:val="16"/>
          <w:szCs w:val="16"/>
        </w:rPr>
        <w:t xml:space="preserve">  [DRAFT]</w:t>
      </w:r>
    </w:p>
    <w:p>
      <w:pPr>
        <w:pStyle w:val="ListParagraph"/>
        <w:numPr>
          <w:ilvl w:val="0"/>
          <w:numId w:val="2"/>
        </w:numPr>
        <w:spacing w:after="55"/>
      </w:pPr>
      <w:r>
        <w:rPr>
          <w:color w:val="101C33"/>
          <w:sz w:val="20"/>
          <w:szCs w:val="20"/>
        </w:rPr>
        <w:t xml:space="preserve">Coastline Retail Co.</w:t>
      </w:r>
      <w:r>
        <w:rPr>
          <w:b/>
          <w:bCs/>
          <w:color w:val="B26A00"/>
          <w:sz w:val="16"/>
          <w:szCs w:val="16"/>
        </w:rPr>
        <w:t xml:space="preserve">  [DRAFT]</w:t>
      </w:r>
    </w:p>
    <w:p>
      <w:pPr>
        <w:pStyle w:val="ListParagraph"/>
        <w:numPr>
          <w:ilvl w:val="0"/>
          <w:numId w:val="2"/>
        </w:numPr>
        <w:spacing w:after="55"/>
      </w:pPr>
      <w:r>
        <w:rPr>
          <w:color w:val="101C33"/>
          <w:sz w:val="20"/>
          <w:szCs w:val="20"/>
        </w:rPr>
        <w:t xml:space="preserve">Summit Energy Partners</w:t>
      </w:r>
      <w:r>
        <w:rPr>
          <w:b/>
          <w:bCs/>
          <w:color w:val="B26A00"/>
          <w:sz w:val="16"/>
          <w:szCs w:val="16"/>
        </w:rPr>
        <w:t xml:space="preserve">  [DRAFT]</w:t>
      </w:r>
    </w:p>
    <w:p>
      <w:pPr>
        <w:pStyle w:val="ListParagraph"/>
        <w:numPr>
          <w:ilvl w:val="0"/>
          <w:numId w:val="2"/>
        </w:numPr>
        <w:spacing w:after="55"/>
      </w:pPr>
      <w:r>
        <w:rPr>
          <w:color w:val="101C33"/>
          <w:sz w:val="20"/>
          <w:szCs w:val="20"/>
        </w:rPr>
        <w:t xml:space="preserve">Vantage Logistics</w:t>
      </w:r>
      <w:r>
        <w:rPr>
          <w:b/>
          <w:bCs/>
          <w:color w:val="B26A00"/>
          <w:sz w:val="16"/>
          <w:szCs w:val="16"/>
        </w:rPr>
        <w:t xml:space="preserve">  [DRAFT]</w:t>
      </w:r>
    </w:p>
    <w:p>
      <w:pPr>
        <w:pStyle w:val="ListParagraph"/>
        <w:numPr>
          <w:ilvl w:val="0"/>
          <w:numId w:val="2"/>
        </w:numPr>
        <w:spacing w:after="55"/>
      </w:pPr>
      <w:r>
        <w:rPr>
          <w:color w:val="101C33"/>
          <w:sz w:val="20"/>
          <w:szCs w:val="20"/>
        </w:rPr>
        <w:t xml:space="preserve">BrightPath Insurance</w:t>
      </w:r>
      <w:r>
        <w:rPr>
          <w:b/>
          <w:bCs/>
          <w:color w:val="B26A00"/>
          <w:sz w:val="16"/>
          <w:szCs w:val="16"/>
        </w:rPr>
        <w:t xml:space="preserve">  [DRAFT]</w:t>
      </w:r>
    </w:p>
    <w:p>
      <w:pPr>
        <w:spacing w:after="100"/>
      </w:pPr>
      <w:r>
        <w:rPr>
          <w:i/>
          <w:iCs/>
          <w:color w:val="6B7689"/>
          <w:sz w:val="19"/>
          <w:szCs w:val="19"/>
        </w:rPr>
        <w:t xml:space="preserve">Unchanged from v1 — nothing new surfaced in the corporate deck for this section.</w:t>
      </w:r>
    </w:p>
    <w:p>
      <w:pPr>
        <w:pStyle w:val="Heading1"/>
        <w:pBdr>
          <w:bottom w:val="single" w:color="2450FF" w:sz="12" w:space="4"/>
        </w:pBdr>
        <w:spacing w:after="120" w:before="420"/>
      </w:pPr>
      <w:r>
        <w:rPr>
          <w:b/>
          <w:bCs/>
          <w:color w:val="101C33"/>
          <w:sz w:val="30"/>
          <w:szCs w:val="30"/>
        </w:rPr>
        <w:t xml:space="preserve">5. Services Framework</w:t>
      </w:r>
    </w:p>
    <w:p>
      <w:pPr>
        <w:pBdr>
          <w:left w:val="single" w:color="2450FF" w:sz="12" w:space="8"/>
        </w:pBdr>
        <w:spacing w:after="100"/>
        <w:ind w:left="300"/>
      </w:pPr>
      <w:r>
        <w:rPr>
          <w:i/>
          <w:iCs/>
          <w:color w:val="101C33"/>
          <w:sz w:val="20"/>
          <w:szCs w:val="20"/>
        </w:rPr>
        <w:t xml:space="preserve">"01 Assess — AI-readiness assessment, architecture review, and a target-state roadmap."</w:t>
      </w:r>
      <w:r>
        <w:rPr>
          <w:b/>
          <w:bCs/>
          <w:color w:val="1D7A5F"/>
          <w:sz w:val="16"/>
          <w:szCs w:val="16"/>
        </w:rPr>
        <w:t xml:space="preserve">  [REAL]</w:t>
      </w:r>
    </w:p>
    <w:p>
      <w:pPr>
        <w:pBdr>
          <w:left w:val="single" w:color="2450FF" w:sz="12" w:space="8"/>
        </w:pBdr>
        <w:spacing w:after="100"/>
        <w:ind w:left="300"/>
      </w:pPr>
      <w:r>
        <w:rPr>
          <w:i/>
          <w:iCs/>
          <w:color w:val="101C33"/>
          <w:sz w:val="20"/>
          <w:szCs w:val="20"/>
        </w:rPr>
        <w:t xml:space="preserve">"02 Modernize — Migrate legacy platforms to cloud (DMC) with proven frameworks."</w:t>
      </w:r>
      <w:r>
        <w:rPr>
          <w:b/>
          <w:bCs/>
          <w:color w:val="1D7A5F"/>
          <w:sz w:val="16"/>
          <w:szCs w:val="16"/>
        </w:rPr>
        <w:t xml:space="preserve">  [REAL]</w:t>
      </w:r>
    </w:p>
    <w:p>
      <w:pPr>
        <w:pBdr>
          <w:left w:val="single" w:color="2450FF" w:sz="12" w:space="8"/>
        </w:pBdr>
        <w:spacing w:after="100"/>
        <w:ind w:left="300"/>
      </w:pPr>
      <w:r>
        <w:rPr>
          <w:i/>
          <w:iCs/>
          <w:color w:val="101C33"/>
          <w:sz w:val="20"/>
          <w:szCs w:val="20"/>
        </w:rPr>
        <w:t xml:space="preserve">"03 Govern — Embed quality, MDM, governance &amp; security for trusted, compliant data."</w:t>
      </w:r>
      <w:r>
        <w:rPr>
          <w:b/>
          <w:bCs/>
          <w:color w:val="1D7A5F"/>
          <w:sz w:val="16"/>
          <w:szCs w:val="16"/>
        </w:rPr>
        <w:t xml:space="preserve">  [REAL]</w:t>
      </w:r>
    </w:p>
    <w:p>
      <w:pPr>
        <w:pBdr>
          <w:left w:val="single" w:color="2450FF" w:sz="12" w:space="8"/>
        </w:pBdr>
        <w:spacing w:after="100"/>
        <w:ind w:left="300"/>
      </w:pPr>
      <w:r>
        <w:rPr>
          <w:i/>
          <w:iCs/>
          <w:color w:val="101C33"/>
          <w:sz w:val="20"/>
          <w:szCs w:val="20"/>
        </w:rPr>
        <w:t xml:space="preserve">"04 Activate — Turn governed data into analytics, custom LLMs, and agentic AI."</w:t>
      </w:r>
      <w:r>
        <w:rPr>
          <w:b/>
          <w:bCs/>
          <w:color w:val="1D7A5F"/>
          <w:sz w:val="16"/>
          <w:szCs w:val="16"/>
        </w:rPr>
        <w:t xml:space="preserve">  [REAL]</w:t>
      </w:r>
    </w:p>
    <w:p>
      <w:pPr>
        <w:spacing w:after="100"/>
      </w:pPr>
      <w:r>
        <w:rPr>
          <w:b/>
          <w:bCs/>
          <w:i w:val="false"/>
          <w:iCs w:val="false"/>
          <w:color w:val="101C33"/>
          <w:sz w:val="21"/>
          <w:szCs w:val="21"/>
        </w:rPr>
        <w:t xml:space="preserve">Modernization Accelerators — new supporting detail under “02 Modernize,” addressing your content-richness note:</w:t>
      </w:r>
    </w:p>
    <w:p>
      <w:pPr>
        <w:pStyle w:val="ListParagraph"/>
        <w:numPr>
          <w:ilvl w:val="0"/>
          <w:numId w:val="2"/>
        </w:numPr>
        <w:spacing w:after="55"/>
      </w:pPr>
      <w:r>
        <w:rPr>
          <w:color w:val="101C33"/>
          <w:sz w:val="20"/>
          <w:szCs w:val="20"/>
        </w:rPr>
        <w:t xml:space="preserve">PowerCenter Cloudification &amp; Modernization (CDI-PC to IDMC)</w:t>
      </w:r>
      <w:r>
        <w:rPr>
          <w:b/>
          <w:bCs/>
          <w:color w:val="2450FF"/>
          <w:sz w:val="16"/>
          <w:szCs w:val="16"/>
        </w:rPr>
        <w:t xml:space="preserve">  [NEW]</w:t>
      </w:r>
    </w:p>
    <w:p>
      <w:pPr>
        <w:pStyle w:val="ListParagraph"/>
        <w:numPr>
          <w:ilvl w:val="0"/>
          <w:numId w:val="2"/>
        </w:numPr>
        <w:spacing w:after="55"/>
      </w:pPr>
      <w:r>
        <w:rPr>
          <w:color w:val="101C33"/>
          <w:sz w:val="20"/>
          <w:szCs w:val="20"/>
        </w:rPr>
        <w:t xml:space="preserve">Informatica B2B On-Prem to IDMC Migration Framework</w:t>
      </w:r>
      <w:r>
        <w:rPr>
          <w:b/>
          <w:bCs/>
          <w:color w:val="2450FF"/>
          <w:sz w:val="16"/>
          <w:szCs w:val="16"/>
        </w:rPr>
        <w:t xml:space="preserve">  [NEW]</w:t>
      </w:r>
    </w:p>
    <w:p>
      <w:pPr>
        <w:pStyle w:val="ListParagraph"/>
        <w:numPr>
          <w:ilvl w:val="0"/>
          <w:numId w:val="2"/>
        </w:numPr>
        <w:spacing w:after="55"/>
      </w:pPr>
      <w:r>
        <w:rPr>
          <w:color w:val="101C33"/>
          <w:sz w:val="20"/>
          <w:szCs w:val="20"/>
        </w:rPr>
        <w:t xml:space="preserve">MDM On-Prem &amp; Hosted Modernization to Cloud MDM</w:t>
      </w:r>
      <w:r>
        <w:rPr>
          <w:b/>
          <w:bCs/>
          <w:color w:val="2450FF"/>
          <w:sz w:val="16"/>
          <w:szCs w:val="16"/>
        </w:rPr>
        <w:t xml:space="preserve">  [NEW]</w:t>
      </w:r>
    </w:p>
    <w:p>
      <w:pPr>
        <w:pStyle w:val="ListParagraph"/>
        <w:numPr>
          <w:ilvl w:val="0"/>
          <w:numId w:val="2"/>
        </w:numPr>
        <w:spacing w:after="55"/>
      </w:pPr>
      <w:r>
        <w:rPr>
          <w:color w:val="101C33"/>
          <w:sz w:val="20"/>
          <w:szCs w:val="20"/>
        </w:rPr>
        <w:t xml:space="preserve">SAP Data Services &amp; IBM DataStage Modernization to IDMC</w:t>
      </w:r>
      <w:r>
        <w:rPr>
          <w:b/>
          <w:bCs/>
          <w:color w:val="2450FF"/>
          <w:sz w:val="16"/>
          <w:szCs w:val="16"/>
        </w:rPr>
        <w:t xml:space="preserve">  [NEW]</w:t>
      </w:r>
    </w:p>
    <w:p>
      <w:pPr>
        <w:pStyle w:val="ListParagraph"/>
        <w:numPr>
          <w:ilvl w:val="0"/>
          <w:numId w:val="2"/>
        </w:numPr>
        <w:spacing w:after="55"/>
      </w:pPr>
      <w:r>
        <w:rPr>
          <w:color w:val="101C33"/>
          <w:sz w:val="20"/>
          <w:szCs w:val="20"/>
        </w:rPr>
        <w:t xml:space="preserve">COBOL &amp; Mainframe Informatica Integration</w:t>
      </w:r>
      <w:r>
        <w:rPr>
          <w:b/>
          <w:bCs/>
          <w:color w:val="2450FF"/>
          <w:sz w:val="16"/>
          <w:szCs w:val="16"/>
        </w:rPr>
        <w:t xml:space="preserve">  [NEW]</w:t>
      </w:r>
    </w:p>
    <w:p>
      <w:pPr>
        <w:spacing w:after="100"/>
      </w:pPr>
      <w:r>
        <w:rPr>
          <w:i/>
          <w:iCs/>
          <w:color w:val="6B7689"/>
          <w:sz w:val="19"/>
          <w:szCs w:val="19"/>
        </w:rPr>
        <w:t xml:space="preserve">15 named accelerators exist in total (corporate deck, slide 10) — these 5 are the most illustrative for the homepage; the full list is a natural fit for a dedicated Solutions/Accelerators page.</w:t>
      </w:r>
    </w:p>
    <w:p>
      <w:pPr>
        <w:spacing w:after="100"/>
      </w:pPr>
      <w:r>
        <w:rPr>
          <w:b w:val="false"/>
          <w:bCs w:val="false"/>
          <w:i/>
          <w:iCs/>
          <w:color w:val="101C33"/>
          <w:sz w:val="21"/>
          <w:szCs w:val="21"/>
        </w:rPr>
        <w:t xml:space="preserve">Delivery model: DMaaS — outcome-based, on-demand teams, always-on managed service.</w:t>
      </w:r>
    </w:p>
    <w:p>
      <w:pPr>
        <w:pStyle w:val="Heading1"/>
        <w:pBdr>
          <w:bottom w:val="single" w:color="2450FF" w:sz="12" w:space="4"/>
        </w:pBdr>
        <w:spacing w:after="120" w:before="420"/>
      </w:pPr>
      <w:r>
        <w:rPr>
          <w:b/>
          <w:bCs/>
          <w:color w:val="101C33"/>
          <w:sz w:val="30"/>
          <w:szCs w:val="30"/>
        </w:rPr>
        <w:t xml:space="preserve">6. AI &amp; Automation  [NEW SECTION]</w:t>
      </w:r>
    </w:p>
    <w:p>
      <w:pPr>
        <w:spacing w:after="100"/>
      </w:pPr>
      <w:r>
        <w:rPr>
          <w:i/>
          <w:iCs/>
          <w:color w:val="6B7689"/>
          <w:sz w:val="19"/>
          <w:szCs w:val="19"/>
        </w:rPr>
        <w:t xml:space="preserve">Added in response to “do we need a section like Hoonartek's ClearView™?” — yes, and the corporate deck shows aiDataWorks already has the real material for one.</w:t>
      </w:r>
    </w:p>
    <w:p>
      <w:pPr>
        <w:spacing w:after="100"/>
      </w:pPr>
      <w:r>
        <w:rPr>
          <w:b/>
          <w:bCs/>
          <w:i w:val="false"/>
          <w:iCs w:val="false"/>
          <w:color w:val="101C33"/>
          <w:sz w:val="21"/>
          <w:szCs w:val="21"/>
        </w:rPr>
        <w:t xml:space="preserve">Spotlight copy:</w:t>
      </w:r>
    </w:p>
    <w:p>
      <w:pPr>
        <w:pBdr>
          <w:left w:val="single" w:color="2450FF" w:sz="12" w:space="8"/>
        </w:pBdr>
        <w:spacing w:after="100"/>
        <w:ind w:left="300"/>
      </w:pPr>
      <w:r>
        <w:rPr>
          <w:i/>
          <w:iCs/>
          <w:color w:val="101C33"/>
          <w:sz w:val="20"/>
          <w:szCs w:val="20"/>
        </w:rPr>
        <w:t xml:space="preserve">"AI isn't bolted onto our delivery — it's built into it. Our Agentic AI Copilot for Informatica &amp; Snowflake, custom LLMs, and agent flows turn governed data into action, while purpose-built platforms bring AI directly to the factory floor."</w:t>
      </w:r>
      <w:r>
        <w:rPr>
          <w:b/>
          <w:bCs/>
          <w:color w:val="B26A00"/>
          <w:sz w:val="16"/>
          <w:szCs w:val="16"/>
        </w:rPr>
        <w:t xml:space="preserve">  [DRAFT]</w:t>
      </w:r>
    </w:p>
    <w:p>
      <w:pPr>
        <w:spacing w:after="100"/>
      </w:pPr>
      <w:r>
        <w:rPr>
          <w:b/>
          <w:bCs/>
          <w:i w:val="false"/>
          <w:iCs w:val="false"/>
          <w:color w:val="101C33"/>
          <w:sz w:val="21"/>
          <w:szCs w:val="21"/>
        </w:rPr>
        <w:t xml:space="preserve">Supporting facts behind that spotlight (all real):</w:t>
      </w:r>
    </w:p>
    <w:p>
      <w:pPr>
        <w:pStyle w:val="ListParagraph"/>
        <w:numPr>
          <w:ilvl w:val="0"/>
          <w:numId w:val="2"/>
        </w:numPr>
        <w:spacing w:after="55"/>
      </w:pPr>
      <w:r>
        <w:rPr>
          <w:color w:val="101C33"/>
          <w:sz w:val="20"/>
          <w:szCs w:val="20"/>
        </w:rPr>
        <w:t xml:space="preserve">Agentic AI Copilot for Informatica &amp; Snowflake — a named modernization accelerator</w:t>
      </w:r>
      <w:r>
        <w:rPr>
          <w:b/>
          <w:bCs/>
          <w:color w:val="1D7A5F"/>
          <w:sz w:val="16"/>
          <w:szCs w:val="16"/>
        </w:rPr>
        <w:t xml:space="preserve">  [REAL]</w:t>
      </w:r>
    </w:p>
    <w:p>
      <w:pPr>
        <w:pStyle w:val="ListParagraph"/>
        <w:numPr>
          <w:ilvl w:val="0"/>
          <w:numId w:val="2"/>
        </w:numPr>
        <w:spacing w:after="55"/>
      </w:pPr>
      <w:r>
        <w:rPr>
          <w:color w:val="101C33"/>
          <w:sz w:val="20"/>
          <w:szCs w:val="20"/>
        </w:rPr>
        <w:t xml:space="preserve">Custom LLMs, Agent Flows, and AI Readiness Assessments as standing service lines</w:t>
      </w:r>
      <w:r>
        <w:rPr>
          <w:b/>
          <w:bCs/>
          <w:color w:val="1D7A5F"/>
          <w:sz w:val="16"/>
          <w:szCs w:val="16"/>
        </w:rPr>
        <w:t xml:space="preserve">  [REAL]</w:t>
      </w:r>
    </w:p>
    <w:p>
      <w:pPr>
        <w:pStyle w:val="ListParagraph"/>
        <w:numPr>
          <w:ilvl w:val="0"/>
          <w:numId w:val="2"/>
        </w:numPr>
        <w:spacing w:after="55"/>
      </w:pPr>
      <w:r>
        <w:rPr>
          <w:color w:val="101C33"/>
          <w:sz w:val="20"/>
          <w:szCs w:val="20"/>
        </w:rPr>
        <w:t xml:space="preserve">AI Driven Manufacturing Copilot (via GEM) — real-time insights, alerts, and optimization guidance integrated with factory MES/sensor data, for Factory Ops Managers, Test Engineers, and Shift Supervisors</w:t>
      </w:r>
      <w:r>
        <w:rPr>
          <w:b/>
          <w:bCs/>
          <w:color w:val="1D7A5F"/>
          <w:sz w:val="16"/>
          <w:szCs w:val="16"/>
        </w:rPr>
        <w:t xml:space="preserve">  [REAL]</w:t>
      </w:r>
    </w:p>
    <w:p>
      <w:pPr>
        <w:pStyle w:val="ListParagraph"/>
        <w:numPr>
          <w:ilvl w:val="0"/>
          <w:numId w:val="2"/>
        </w:numPr>
        <w:spacing w:after="55"/>
      </w:pPr>
      <w:r>
        <w:rPr>
          <w:color w:val="101C33"/>
          <w:sz w:val="20"/>
          <w:szCs w:val="20"/>
        </w:rPr>
        <w:t xml:space="preserve">Precare SaaS AI/ML Analytics Platform (via GEM) — site dashboards, predictive analytics, real-time downtime/yield/defect tracking, and a built-in ROI calculator</w:t>
      </w:r>
      <w:r>
        <w:rPr>
          <w:b/>
          <w:bCs/>
          <w:color w:val="1D7A5F"/>
          <w:sz w:val="16"/>
          <w:szCs w:val="16"/>
        </w:rPr>
        <w:t xml:space="preserve">  [REAL]</w:t>
      </w:r>
    </w:p>
    <w:p>
      <w:pPr>
        <w:spacing w:after="100"/>
      </w:pPr>
      <w:r>
        <w:rPr>
          <w:i/>
          <w:iCs/>
          <w:color w:val="6B7689"/>
          <w:sz w:val="19"/>
          <w:szCs w:val="19"/>
        </w:rPr>
        <w:t xml:space="preserve">These two GEM platforms are aiDataWorks' closest equivalent to Hoonartek's ClearView™ — real, named, productized IP, currently under-surfaced on the homepage. Recommend a visual card treatment here (icon + name + one-line outcome per platform), not a wall of text.</w:t>
      </w:r>
    </w:p>
    <w:p>
      <w:pPr>
        <w:pStyle w:val="Heading1"/>
        <w:pBdr>
          <w:bottom w:val="single" w:color="2450FF" w:sz="12" w:space="4"/>
        </w:pBdr>
        <w:spacing w:after="120" w:before="420"/>
      </w:pPr>
      <w:r>
        <w:rPr>
          <w:b/>
          <w:bCs/>
          <w:color w:val="101C33"/>
          <w:sz w:val="30"/>
          <w:szCs w:val="30"/>
        </w:rPr>
        <w:t xml:space="preserve">7. Flagship Proof Story</w:t>
      </w:r>
    </w:p>
    <w:p>
      <w:pPr>
        <w:spacing w:after="100"/>
      </w:pPr>
      <w:r>
        <w:rPr>
          <w:b/>
          <w:bCs/>
          <w:i w:val="false"/>
          <w:iCs w:val="false"/>
          <w:color w:val="101C33"/>
          <w:sz w:val="21"/>
          <w:szCs w:val="21"/>
        </w:rPr>
        <w:t xml:space="preserve">Chosen story — built from real B2B brochure data:</w:t>
      </w:r>
    </w:p>
    <w:p>
      <w:pPr>
        <w:pBdr>
          <w:left w:val="single" w:color="2450FF" w:sz="12" w:space="8"/>
        </w:pBdr>
        <w:spacing w:after="100"/>
        <w:ind w:left="300"/>
      </w:pPr>
      <w:r>
        <w:rPr>
          <w:i/>
          <w:iCs/>
          <w:color w:val="101C33"/>
          <w:sz w:val="20"/>
          <w:szCs w:val="20"/>
        </w:rPr>
        <w:t xml:space="preserve">"A Tier-1 mortgage insurer needed to move off a brittle, on-premise Informatica B2B stack — PowerCenter, B2B Data Exchange, and Managed File Transfer — without disrupting EDI, X12, and MISMO trading-partner traffic. aiDataWorks re-engineered the estate onto Informatica's Cloud B2B Gateway, CDI, and CAI, modernizing 100+ data transformation services under a tight SLA — re-architected for cloud scale, not simply lifted and shifted."</w:t>
      </w:r>
      <w:r>
        <w:rPr>
          <w:b/>
          <w:bCs/>
          <w:color w:val="B26A00"/>
          <w:sz w:val="16"/>
          <w:szCs w:val="16"/>
        </w:rPr>
        <w:t xml:space="preserve">  [DRAFT]</w:t>
      </w:r>
    </w:p>
    <w:p>
      <w:pPr>
        <w:pStyle w:val="ListParagraph"/>
        <w:numPr>
          <w:ilvl w:val="0"/>
          <w:numId w:val="2"/>
        </w:numPr>
        <w:spacing w:after="55"/>
      </w:pPr>
      <w:r>
        <w:rPr>
          <w:color w:val="101C33"/>
          <w:sz w:val="20"/>
          <w:szCs w:val="20"/>
        </w:rPr>
        <w:t xml:space="preserve">Headline number: “100+ DT services modernized”</w:t>
      </w:r>
      <w:r>
        <w:rPr>
          <w:b/>
          <w:bCs/>
          <w:color w:val="1D7A5F"/>
          <w:sz w:val="16"/>
          <w:szCs w:val="16"/>
        </w:rPr>
        <w:t xml:space="preserve">  [REAL]</w:t>
      </w:r>
    </w:p>
    <w:p>
      <w:pPr>
        <w:pStyle w:val="ListParagraph"/>
        <w:numPr>
          <w:ilvl w:val="0"/>
          <w:numId w:val="2"/>
        </w:numPr>
        <w:spacing w:after="55"/>
      </w:pPr>
      <w:r>
        <w:rPr>
          <w:color w:val="101C33"/>
          <w:sz w:val="20"/>
          <w:szCs w:val="20"/>
        </w:rPr>
        <w:t xml:space="preserve">Client reference: anonymized as “a Tier-1 mortgage insurer”</w:t>
      </w:r>
      <w:r>
        <w:rPr>
          <w:b/>
          <w:bCs/>
          <w:color w:val="1D7A5F"/>
          <w:sz w:val="16"/>
          <w:szCs w:val="16"/>
        </w:rPr>
        <w:t xml:space="preserve">  [REAL]</w:t>
      </w:r>
    </w:p>
    <w:p>
      <w:pPr>
        <w:spacing w:after="120"/>
      </w:pPr>
      <w:r>
        <w:rPr>
          <w:b/>
          <w:bCs/>
          <w:color w:val="C0392B"/>
          <w:sz w:val="20"/>
          <w:szCs w:val="20"/>
        </w:rPr>
        <w:t xml:space="preserve">See the open lead on the cover page — the referenced “Customer References” deck may replace this whole section with a real, named story.</w:t>
      </w:r>
    </w:p>
    <w:p>
      <w:pPr>
        <w:pStyle w:val="Heading1"/>
        <w:pBdr>
          <w:bottom w:val="single" w:color="2450FF" w:sz="12" w:space="4"/>
        </w:pBdr>
        <w:spacing w:after="120" w:before="420"/>
      </w:pPr>
      <w:r>
        <w:rPr>
          <w:b/>
          <w:bCs/>
          <w:color w:val="101C33"/>
          <w:sz w:val="30"/>
          <w:szCs w:val="30"/>
        </w:rPr>
        <w:t xml:space="preserve">8. Pain-Led Narrative Band</w:t>
      </w:r>
    </w:p>
    <w:p>
      <w:pPr>
        <w:pBdr>
          <w:left w:val="single" w:color="2450FF" w:sz="12" w:space="8"/>
        </w:pBdr>
        <w:spacing w:after="100"/>
        <w:ind w:left="300"/>
      </w:pPr>
      <w:r>
        <w:rPr>
          <w:i/>
          <w:iCs/>
          <w:color w:val="101C33"/>
          <w:sz w:val="20"/>
          <w:szCs w:val="20"/>
        </w:rPr>
        <w:t xml:space="preserve">"Most enterprise data programs stall for the same reasons: fragmented data estates, stalled AI initiatives, rising cost, and governance risk. We fix the foundation, then activate it — faster innovation, lower cost, stronger governance, AI-ready data."</w:t>
      </w:r>
      <w:r>
        <w:rPr>
          <w:b/>
          <w:bCs/>
          <w:color w:val="1D7A5F"/>
          <w:sz w:val="16"/>
          <w:szCs w:val="16"/>
        </w:rPr>
        <w:t xml:space="preserve">  [REAL]</w:t>
      </w:r>
    </w:p>
    <w:p>
      <w:pPr>
        <w:spacing w:after="100"/>
      </w:pPr>
      <w:r>
        <w:rPr>
          <w:i/>
          <w:iCs/>
          <w:color w:val="6B7689"/>
          <w:sz w:val="19"/>
          <w:szCs w:val="19"/>
        </w:rPr>
        <w:t xml:space="preserve">Unchanged — fully real, no updates from the corporate deck.</w:t>
      </w:r>
    </w:p>
    <w:p>
      <w:pPr>
        <w:pStyle w:val="Heading1"/>
        <w:pBdr>
          <w:bottom w:val="single" w:color="2450FF" w:sz="12" w:space="4"/>
        </w:pBdr>
        <w:spacing w:after="120" w:before="420"/>
      </w:pPr>
      <w:r>
        <w:rPr>
          <w:b/>
          <w:bCs/>
          <w:color w:val="101C33"/>
          <w:sz w:val="30"/>
          <w:szCs w:val="30"/>
        </w:rPr>
        <w:t xml:space="preserve">9. Industries</w:t>
      </w:r>
    </w:p>
    <w:p>
      <w:pPr>
        <w:pStyle w:val="ListParagraph"/>
        <w:numPr>
          <w:ilvl w:val="0"/>
          <w:numId w:val="2"/>
        </w:numPr>
        <w:spacing w:after="55"/>
      </w:pPr>
      <w:r>
        <w:rPr>
          <w:color w:val="101C33"/>
          <w:sz w:val="20"/>
          <w:szCs w:val="20"/>
        </w:rPr>
        <w:t xml:space="preserve">Healthcare — KPI-powered dashboards for diagnosis, clinical data, patient care quality, and business management</w:t>
      </w:r>
      <w:r>
        <w:rPr>
          <w:b/>
          <w:bCs/>
          <w:color w:val="1D7A5F"/>
          <w:sz w:val="16"/>
          <w:szCs w:val="16"/>
        </w:rPr>
        <w:t xml:space="preserve">  [REAL]</w:t>
      </w:r>
    </w:p>
    <w:p>
      <w:pPr>
        <w:pStyle w:val="ListParagraph"/>
        <w:numPr>
          <w:ilvl w:val="0"/>
          <w:numId w:val="2"/>
        </w:numPr>
        <w:spacing w:after="55"/>
      </w:pPr>
      <w:r>
        <w:rPr>
          <w:color w:val="101C33"/>
          <w:sz w:val="20"/>
          <w:szCs w:val="20"/>
        </w:rPr>
        <w:t xml:space="preserve">Financial Services — custom manager diagnostic dashboards for deeper market insights and portfolio management, plus BI advisory</w:t>
      </w:r>
      <w:r>
        <w:rPr>
          <w:b/>
          <w:bCs/>
          <w:color w:val="1D7A5F"/>
          <w:sz w:val="16"/>
          <w:szCs w:val="16"/>
        </w:rPr>
        <w:t xml:space="preserve">  [REAL]</w:t>
      </w:r>
    </w:p>
    <w:p>
      <w:pPr>
        <w:pStyle w:val="ListParagraph"/>
        <w:numPr>
          <w:ilvl w:val="0"/>
          <w:numId w:val="2"/>
        </w:numPr>
        <w:spacing w:after="55"/>
      </w:pPr>
      <w:r>
        <w:rPr>
          <w:color w:val="101C33"/>
          <w:sz w:val="20"/>
          <w:szCs w:val="20"/>
        </w:rPr>
        <w:t xml:space="preserve">Insurance — sales performance dashboards collecting data from multiple sources with real-time, interactive analytics</w:t>
      </w:r>
      <w:r>
        <w:rPr>
          <w:b/>
          <w:bCs/>
          <w:color w:val="1D7A5F"/>
          <w:sz w:val="16"/>
          <w:szCs w:val="16"/>
        </w:rPr>
        <w:t xml:space="preserve">  [REAL]</w:t>
      </w:r>
    </w:p>
    <w:p>
      <w:pPr>
        <w:pStyle w:val="ListParagraph"/>
        <w:numPr>
          <w:ilvl w:val="0"/>
          <w:numId w:val="2"/>
        </w:numPr>
        <w:spacing w:after="55"/>
      </w:pPr>
      <w:r>
        <w:rPr>
          <w:color w:val="101C33"/>
          <w:sz w:val="20"/>
          <w:szCs w:val="20"/>
        </w:rPr>
        <w:t xml:space="preserve">Manufacturing — Data Science and Big Data-powered solutions for price optimization, demand forecasting, preventive maintenance, and fault prediction; reinforced by the real AI Manufacturing Copilot (§6)</w:t>
      </w:r>
      <w:r>
        <w:rPr>
          <w:b/>
          <w:bCs/>
          <w:color w:val="1D7A5F"/>
          <w:sz w:val="16"/>
          <w:szCs w:val="16"/>
        </w:rPr>
        <w:t xml:space="preserve">  [REAL]</w:t>
      </w:r>
    </w:p>
    <w:p>
      <w:pPr>
        <w:pStyle w:val="ListParagraph"/>
        <w:numPr>
          <w:ilvl w:val="0"/>
          <w:numId w:val="2"/>
        </w:numPr>
        <w:spacing w:after="55"/>
      </w:pPr>
      <w:r>
        <w:rPr>
          <w:color w:val="101C33"/>
          <w:sz w:val="20"/>
          <w:szCs w:val="20"/>
        </w:rPr>
        <w:t xml:space="preserve">Retail &amp; CPG — recommendation engines tracking cart abandonment, purchase behavior, and cross-selling opportunities</w:t>
      </w:r>
      <w:r>
        <w:rPr>
          <w:b/>
          <w:bCs/>
          <w:color w:val="1D7A5F"/>
          <w:sz w:val="16"/>
          <w:szCs w:val="16"/>
        </w:rPr>
        <w:t xml:space="preserve">  [REAL]</w:t>
      </w:r>
    </w:p>
    <w:p>
      <w:pPr>
        <w:pStyle w:val="ListParagraph"/>
        <w:numPr>
          <w:ilvl w:val="0"/>
          <w:numId w:val="2"/>
        </w:numPr>
        <w:spacing w:after="55"/>
      </w:pPr>
      <w:r>
        <w:rPr>
          <w:color w:val="101C33"/>
          <w:sz w:val="20"/>
          <w:szCs w:val="20"/>
        </w:rPr>
        <w:t xml:space="preserve">Public Sector — modernized case-management and constituent-data platforms so agencies see one citizen record across departments</w:t>
      </w:r>
      <w:r>
        <w:rPr>
          <w:b/>
          <w:bCs/>
          <w:color w:val="B26A00"/>
          <w:sz w:val="16"/>
          <w:szCs w:val="16"/>
        </w:rPr>
        <w:t xml:space="preserve">  [DRAFT]</w:t>
      </w:r>
    </w:p>
    <w:p>
      <w:pPr>
        <w:spacing w:after="100"/>
      </w:pPr>
      <w:r>
        <w:rPr>
          <w:i/>
          <w:iCs/>
          <w:color w:val="6B7689"/>
          <w:sz w:val="19"/>
          <w:szCs w:val="19"/>
        </w:rPr>
        <w:t xml:space="preserve">Manufacturing card strengthened with a cross-reference to the new AI &amp; Automation section — otherwise unchanged.</w:t>
      </w:r>
    </w:p>
    <w:p>
      <w:pPr>
        <w:pStyle w:val="Heading1"/>
        <w:pBdr>
          <w:bottom w:val="single" w:color="2450FF" w:sz="12" w:space="4"/>
        </w:pBdr>
        <w:spacing w:after="120" w:before="420"/>
      </w:pPr>
      <w:r>
        <w:rPr>
          <w:b/>
          <w:bCs/>
          <w:color w:val="101C33"/>
          <w:sz w:val="30"/>
          <w:szCs w:val="30"/>
        </w:rPr>
        <w:t xml:space="preserve">10. Testimonials</w:t>
      </w:r>
    </w:p>
    <w:p>
      <w:pPr>
        <w:spacing w:after="120"/>
      </w:pPr>
      <w:r>
        <w:rPr>
          <w:b/>
          <w:bCs/>
          <w:color w:val="C0392B"/>
          <w:sz w:val="20"/>
          <w:szCs w:val="20"/>
        </w:rPr>
        <w:t xml:space="preserve">Check the “Customer References” deck referenced on the cover page before finalizing this section — it may contain real, attributable quotes.</w:t>
      </w:r>
    </w:p>
    <w:p>
      <w:pPr>
        <w:spacing w:after="100"/>
      </w:pPr>
      <w:r>
        <w:rPr>
          <w:b/>
          <w:bCs/>
          <w:color w:val="C0392B"/>
          <w:sz w:val="20"/>
          <w:szCs w:val="20"/>
        </w:rPr>
        <w:t xml:space="preserve">Until then, the quotes below are DRAFT placeholders only — not written, reviewed, or approved by the named client.</w:t>
      </w:r>
    </w:p>
    <w:p>
      <w:pPr>
        <w:pBdr>
          <w:left w:val="single" w:color="2450FF" w:sz="12" w:space="8"/>
        </w:pBdr>
        <w:spacing w:after="100"/>
        <w:ind w:left="300"/>
      </w:pPr>
      <w:r>
        <w:rPr>
          <w:i/>
          <w:iCs/>
          <w:color w:val="101C33"/>
          <w:sz w:val="20"/>
          <w:szCs w:val="20"/>
        </w:rPr>
        <w:t xml:space="preserve">"Modernizing our data foundation with aiDataWorks gave our teams one reliable view of patient and operational data — something we couldn't get from our legacy integration stack."</w:t>
      </w:r>
      <w:r>
        <w:rPr>
          <w:color w:val="6B7689"/>
          <w:sz w:val="18"/>
          <w:szCs w:val="18"/>
        </w:rPr>
        <w:t xml:space="preserve">  — [Title], Corewell Health</w:t>
      </w:r>
      <w:r>
        <w:rPr>
          <w:b/>
          <w:bCs/>
          <w:color w:val="B26A00"/>
          <w:sz w:val="16"/>
          <w:szCs w:val="16"/>
        </w:rPr>
        <w:t xml:space="preserve">  [DRAFT]</w:t>
      </w:r>
    </w:p>
    <w:p>
      <w:pPr>
        <w:pBdr>
          <w:left w:val="single" w:color="2450FF" w:sz="12" w:space="8"/>
        </w:pBdr>
        <w:spacing w:after="100"/>
        <w:ind w:left="300"/>
      </w:pPr>
      <w:r>
        <w:rPr>
          <w:i/>
          <w:iCs/>
          <w:color w:val="101C33"/>
          <w:sz w:val="20"/>
          <w:szCs w:val="20"/>
        </w:rPr>
        <w:t xml:space="preserve">"aiDataWorks didn't just migrate our systems — they left us with governance and data quality practices our team could run on our own."</w:t>
      </w:r>
      <w:r>
        <w:rPr>
          <w:color w:val="6B7689"/>
          <w:sz w:val="18"/>
          <w:szCs w:val="18"/>
        </w:rPr>
        <w:t xml:space="preserve">  — [Title], UPMC</w:t>
      </w:r>
      <w:r>
        <w:rPr>
          <w:b/>
          <w:bCs/>
          <w:color w:val="B26A00"/>
          <w:sz w:val="16"/>
          <w:szCs w:val="16"/>
        </w:rPr>
        <w:t xml:space="preserve">  [DRAFT]</w:t>
      </w:r>
    </w:p>
    <w:p>
      <w:pPr>
        <w:pBdr>
          <w:left w:val="single" w:color="2450FF" w:sz="12" w:space="8"/>
        </w:pBdr>
        <w:spacing w:after="100"/>
        <w:ind w:left="300"/>
      </w:pPr>
      <w:r>
        <w:rPr>
          <w:i/>
          <w:iCs/>
          <w:color w:val="101C33"/>
          <w:sz w:val="20"/>
          <w:szCs w:val="20"/>
        </w:rPr>
        <w:t xml:space="preserve">"The DMaaS model meant we paid for outcomes, not headcount — that alone changed how we planned the whole program."</w:t>
      </w:r>
      <w:r>
        <w:rPr>
          <w:color w:val="6B7689"/>
          <w:sz w:val="18"/>
          <w:szCs w:val="18"/>
        </w:rPr>
        <w:t xml:space="preserve">  — [Title], MGIC</w:t>
      </w:r>
      <w:r>
        <w:rPr>
          <w:b/>
          <w:bCs/>
          <w:color w:val="B26A00"/>
          <w:sz w:val="16"/>
          <w:szCs w:val="16"/>
        </w:rPr>
        <w:t xml:space="preserve">  [DRAFT]</w:t>
      </w:r>
    </w:p>
    <w:p>
      <w:pPr>
        <w:pStyle w:val="Heading1"/>
        <w:pBdr>
          <w:bottom w:val="single" w:color="2450FF" w:sz="12" w:space="4"/>
        </w:pBdr>
        <w:spacing w:after="120" w:before="420"/>
      </w:pPr>
      <w:r>
        <w:rPr>
          <w:b/>
          <w:bCs/>
          <w:color w:val="101C33"/>
          <w:sz w:val="30"/>
          <w:szCs w:val="30"/>
        </w:rPr>
        <w:t xml:space="preserve">11. Partner Ecosystem</w:t>
      </w:r>
    </w:p>
    <w:p>
      <w:pPr>
        <w:spacing w:after="100"/>
      </w:pPr>
      <w:r>
        <w:rPr>
          <w:b/>
          <w:bCs/>
          <w:i w:val="false"/>
          <w:iCs w:val="false"/>
          <w:color w:val="101C33"/>
          <w:sz w:val="21"/>
          <w:szCs w:val="21"/>
        </w:rPr>
        <w:t xml:space="preserve">Core partners:</w:t>
      </w:r>
    </w:p>
    <w:p>
      <w:pPr>
        <w:pStyle w:val="ListParagraph"/>
        <w:numPr>
          <w:ilvl w:val="0"/>
          <w:numId w:val="2"/>
        </w:numPr>
        <w:spacing w:after="55"/>
      </w:pPr>
      <w:r>
        <w:rPr>
          <w:color w:val="101C33"/>
          <w:sz w:val="20"/>
          <w:szCs w:val="20"/>
        </w:rPr>
        <w:t xml:space="preserve">Informatica — backbone of our data integration, governance, quality, MDM, and automation solutions</w:t>
      </w:r>
      <w:r>
        <w:rPr>
          <w:b/>
          <w:bCs/>
          <w:color w:val="1D7A5F"/>
          <w:sz w:val="16"/>
          <w:szCs w:val="16"/>
        </w:rPr>
        <w:t xml:space="preserve">  [REAL]</w:t>
      </w:r>
    </w:p>
    <w:p>
      <w:pPr>
        <w:pStyle w:val="ListParagraph"/>
        <w:numPr>
          <w:ilvl w:val="0"/>
          <w:numId w:val="2"/>
        </w:numPr>
        <w:spacing w:after="55"/>
      </w:pPr>
      <w:r>
        <w:rPr>
          <w:color w:val="101C33"/>
          <w:sz w:val="20"/>
          <w:szCs w:val="20"/>
        </w:rPr>
        <w:t xml:space="preserve">Databricks — AI/ML engineering, lakehouse architecture, high-scale analytics pipelines</w:t>
      </w:r>
      <w:r>
        <w:rPr>
          <w:b/>
          <w:bCs/>
          <w:color w:val="1D7A5F"/>
          <w:sz w:val="16"/>
          <w:szCs w:val="16"/>
        </w:rPr>
        <w:t xml:space="preserve">  [REAL]</w:t>
      </w:r>
    </w:p>
    <w:p>
      <w:pPr>
        <w:pStyle w:val="ListParagraph"/>
        <w:numPr>
          <w:ilvl w:val="0"/>
          <w:numId w:val="2"/>
        </w:numPr>
        <w:spacing w:after="55"/>
      </w:pPr>
      <w:r>
        <w:rPr>
          <w:color w:val="101C33"/>
          <w:sz w:val="20"/>
          <w:szCs w:val="20"/>
        </w:rPr>
        <w:t xml:space="preserve">Snowflake — cloud data warehouse and data lake engineering, cost governance, analytics modernization</w:t>
      </w:r>
      <w:r>
        <w:rPr>
          <w:b/>
          <w:bCs/>
          <w:color w:val="1D7A5F"/>
          <w:sz w:val="16"/>
          <w:szCs w:val="16"/>
        </w:rPr>
        <w:t xml:space="preserve">  [REAL]</w:t>
      </w:r>
    </w:p>
    <w:p>
      <w:pPr>
        <w:pStyle w:val="ListParagraph"/>
        <w:numPr>
          <w:ilvl w:val="0"/>
          <w:numId w:val="2"/>
        </w:numPr>
        <w:spacing w:after="55"/>
      </w:pPr>
      <w:r>
        <w:rPr>
          <w:color w:val="101C33"/>
          <w:sz w:val="20"/>
          <w:szCs w:val="20"/>
        </w:rPr>
        <w:t xml:space="preserve">Salesforce — Customer 360 / Data 360 insights, real-time data exchange across sales, marketing, and service</w:t>
      </w:r>
      <w:r>
        <w:rPr>
          <w:b/>
          <w:bCs/>
          <w:color w:val="1D7A5F"/>
          <w:sz w:val="16"/>
          <w:szCs w:val="16"/>
        </w:rPr>
        <w:t xml:space="preserve">  [REAL]</w:t>
      </w:r>
    </w:p>
    <w:p>
      <w:pPr>
        <w:pStyle w:val="ListParagraph"/>
        <w:numPr>
          <w:ilvl w:val="0"/>
          <w:numId w:val="2"/>
        </w:numPr>
        <w:spacing w:after="55"/>
      </w:pPr>
      <w:r>
        <w:rPr>
          <w:color w:val="101C33"/>
          <w:sz w:val="20"/>
          <w:szCs w:val="20"/>
        </w:rPr>
        <w:t xml:space="preserve">AWS, Azure, Google Cloud / OCI — cloud-native data lakes, pipelines, and AI workloads across all four</w:t>
      </w:r>
      <w:r>
        <w:rPr>
          <w:b/>
          <w:bCs/>
          <w:color w:val="1D7A5F"/>
          <w:sz w:val="16"/>
          <w:szCs w:val="16"/>
        </w:rPr>
        <w:t xml:space="preserve">  [REAL]</w:t>
      </w:r>
    </w:p>
    <w:p>
      <w:pPr>
        <w:pStyle w:val="ListParagraph"/>
        <w:numPr>
          <w:ilvl w:val="0"/>
          <w:numId w:val="2"/>
        </w:numPr>
        <w:spacing w:after="55"/>
      </w:pPr>
      <w:r>
        <w:rPr>
          <w:color w:val="101C33"/>
          <w:sz w:val="20"/>
          <w:szCs w:val="20"/>
        </w:rPr>
        <w:t xml:space="preserve">Epic — EHR implementation and integration, including EPIC AWS Informatica integration for healthcare data interoperability</w:t>
      </w:r>
      <w:r>
        <w:rPr>
          <w:b/>
          <w:bCs/>
          <w:color w:val="1D7A5F"/>
          <w:sz w:val="16"/>
          <w:szCs w:val="16"/>
        </w:rPr>
        <w:t xml:space="preserve">  [REAL]</w:t>
      </w:r>
    </w:p>
    <w:p>
      <w:pPr>
        <w:spacing w:after="100"/>
      </w:pPr>
      <w:r>
        <w:rPr>
          <w:i/>
          <w:iCs/>
          <w:color w:val="6B7689"/>
          <w:sz w:val="19"/>
          <w:szCs w:val="19"/>
        </w:rPr>
        <w:t xml:space="preserve">Epic upgraded from DRAFT to REAL this pass — it's an explicitly named service line and accelerator in the corporate deck, not something we need to draft language for anymore.</w:t>
      </w:r>
    </w:p>
    <w:p>
      <w:pPr>
        <w:pStyle w:val="ListParagraph"/>
        <w:numPr>
          <w:ilvl w:val="0"/>
          <w:numId w:val="2"/>
        </w:numPr>
        <w:spacing w:after="55"/>
      </w:pPr>
      <w:r>
        <w:rPr>
          <w:color w:val="101C33"/>
          <w:sz w:val="20"/>
          <w:szCs w:val="20"/>
        </w:rPr>
        <w:t xml:space="preserve">GEM — AI Driven Manufacturing Copilot and Precare SaaS AI/ML Analytics Platform for Industry 4.0 and smart manufacturing</w:t>
      </w:r>
      <w:r>
        <w:rPr>
          <w:b/>
          <w:bCs/>
          <w:color w:val="1D7A5F"/>
          <w:sz w:val="16"/>
          <w:szCs w:val="16"/>
        </w:rPr>
        <w:t xml:space="preserve">  [REAL]</w:t>
      </w:r>
    </w:p>
    <w:p>
      <w:pPr>
        <w:spacing w:after="100"/>
      </w:pPr>
      <w:r>
        <w:rPr>
          <w:i/>
          <w:iCs/>
          <w:color w:val="6B7689"/>
          <w:sz w:val="19"/>
          <w:szCs w:val="19"/>
        </w:rPr>
        <w:t xml:space="preserve">GEM promoted into the curated homepage list — previously reserved for a deeper Partners page, but its productized AI platforms (§6) are strong enough to earn homepage placement.</w:t>
      </w:r>
    </w:p>
    <w:p>
      <w:pPr>
        <w:pStyle w:val="ListParagraph"/>
        <w:numPr>
          <w:ilvl w:val="0"/>
          <w:numId w:val="2"/>
        </w:numPr>
        <w:spacing w:after="55"/>
      </w:pPr>
      <w:r>
        <w:rPr>
          <w:color w:val="101C33"/>
          <w:sz w:val="20"/>
          <w:szCs w:val="20"/>
        </w:rPr>
        <w:t xml:space="preserve">Fortra — data security and compliance tooling extending our governance and privacy practice</w:t>
      </w:r>
      <w:r>
        <w:rPr>
          <w:b/>
          <w:bCs/>
          <w:color w:val="B26A00"/>
          <w:sz w:val="16"/>
          <w:szCs w:val="16"/>
        </w:rPr>
        <w:t xml:space="preserve">  [DRAFT]</w:t>
      </w:r>
    </w:p>
    <w:p>
      <w:pPr>
        <w:spacing w:after="100"/>
      </w:pPr>
      <w:r>
        <w:rPr>
          <w:i/>
          <w:iCs/>
          <w:color w:val="6B7689"/>
          <w:sz w:val="19"/>
          <w:szCs w:val="19"/>
        </w:rPr>
        <w:t xml:space="preserve">Fortra still has no source material in either brochure, the old site, or this corporate deck — real per earlier conversations, but needs separate confirmation of exact approved language.</w:t>
      </w:r>
    </w:p>
    <w:p>
      <w:pPr>
        <w:spacing w:after="100"/>
      </w:pPr>
      <w:r>
        <w:rPr>
          <w:b/>
          <w:bCs/>
          <w:i w:val="false"/>
          <w:iCs w:val="false"/>
          <w:color w:val="101C33"/>
          <w:sz w:val="21"/>
          <w:szCs w:val="21"/>
        </w:rPr>
        <w:t xml:space="preserve">Confirmed tier badges and certifications — expanded with new real detail from the corporate deck:</w:t>
      </w:r>
    </w:p>
    <w:p>
      <w:pPr>
        <w:pStyle w:val="ListParagraph"/>
        <w:numPr>
          <w:ilvl w:val="0"/>
          <w:numId w:val="2"/>
        </w:numPr>
        <w:spacing w:after="55"/>
      </w:pPr>
      <w:r>
        <w:rPr>
          <w:color w:val="101C33"/>
          <w:sz w:val="20"/>
          <w:szCs w:val="20"/>
        </w:rPr>
        <w:t xml:space="preserve">Informatica Platinum Partner (since 2014) · Informatica Migration Factory Partner · Implementer, Reseller &amp; Vendor</w:t>
      </w:r>
      <w:r>
        <w:rPr>
          <w:b/>
          <w:bCs/>
          <w:color w:val="1D7A5F"/>
          <w:sz w:val="16"/>
          <w:szCs w:val="16"/>
        </w:rPr>
        <w:t xml:space="preserve">  [REAL]</w:t>
      </w:r>
    </w:p>
    <w:p>
      <w:pPr>
        <w:pStyle w:val="ListParagraph"/>
        <w:numPr>
          <w:ilvl w:val="0"/>
          <w:numId w:val="2"/>
        </w:numPr>
        <w:spacing w:after="55"/>
      </w:pPr>
      <w:r>
        <w:rPr>
          <w:color w:val="101C33"/>
          <w:sz w:val="20"/>
          <w:szCs w:val="20"/>
        </w:rPr>
        <w:t xml:space="preserve">Cloud Data Quality Professional · Data Governance Champion · Cloud MDM &amp; Data Cloud Implementation Practitioner</w:t>
      </w:r>
      <w:r>
        <w:rPr>
          <w:b/>
          <w:bCs/>
          <w:color w:val="1D7A5F"/>
          <w:sz w:val="16"/>
          <w:szCs w:val="16"/>
        </w:rPr>
        <w:t xml:space="preserve">  [REAL]</w:t>
      </w:r>
    </w:p>
    <w:p>
      <w:pPr>
        <w:pStyle w:val="ListParagraph"/>
        <w:numPr>
          <w:ilvl w:val="0"/>
          <w:numId w:val="2"/>
        </w:numPr>
        <w:spacing w:after="55"/>
      </w:pPr>
      <w:r>
        <w:rPr>
          <w:color w:val="101C33"/>
          <w:sz w:val="20"/>
          <w:szCs w:val="20"/>
        </w:rPr>
        <w:t xml:space="preserve">Salesforce Certified Data 360 Consultant · MuleSoft AnyPoint &amp; AgentFabric Practitioner</w:t>
      </w:r>
      <w:r>
        <w:rPr>
          <w:b/>
          <w:bCs/>
          <w:color w:val="1D7A5F"/>
          <w:sz w:val="16"/>
          <w:szCs w:val="16"/>
        </w:rPr>
        <w:t xml:space="preserve">  [REAL]</w:t>
      </w:r>
    </w:p>
    <w:p>
      <w:pPr>
        <w:pStyle w:val="ListParagraph"/>
        <w:numPr>
          <w:ilvl w:val="0"/>
          <w:numId w:val="2"/>
        </w:numPr>
        <w:spacing w:after="55"/>
      </w:pPr>
      <w:r>
        <w:rPr>
          <w:color w:val="101C33"/>
          <w:sz w:val="20"/>
          <w:szCs w:val="20"/>
        </w:rPr>
        <w:t xml:space="preserve">Salesforce &amp; MuleSoft Partner since 2026</w:t>
      </w:r>
      <w:r>
        <w:rPr>
          <w:b/>
          <w:bCs/>
          <w:color w:val="1D7A5F"/>
          <w:sz w:val="16"/>
          <w:szCs w:val="16"/>
        </w:rPr>
        <w:t xml:space="preserve">  [REAL]</w:t>
      </w:r>
    </w:p>
    <w:p>
      <w:pPr>
        <w:spacing w:after="100"/>
      </w:pPr>
      <w:r>
        <w:rPr>
          <w:i/>
          <w:iCs/>
          <w:color w:val="6B7689"/>
          <w:sz w:val="19"/>
          <w:szCs w:val="19"/>
        </w:rPr>
        <w:t xml:space="preserve">This last one is genuinely new and recent — worth reusing as the News item in §13.</w:t>
      </w:r>
    </w:p>
    <w:p>
      <w:pPr>
        <w:pStyle w:val="Heading1"/>
        <w:pBdr>
          <w:bottom w:val="single" w:color="2450FF" w:sz="12" w:space="4"/>
        </w:pBdr>
        <w:spacing w:after="120" w:before="420"/>
      </w:pPr>
      <w:r>
        <w:rPr>
          <w:b/>
          <w:bCs/>
          <w:color w:val="101C33"/>
          <w:sz w:val="30"/>
          <w:szCs w:val="30"/>
        </w:rPr>
        <w:t xml:space="preserve">12. FAQ</w:t>
      </w:r>
    </w:p>
    <w:p>
      <w:pPr>
        <w:spacing w:after="100"/>
      </w:pPr>
      <w:r>
        <w:rPr>
          <w:b/>
          <w:bCs/>
          <w:i w:val="false"/>
          <w:iCs w:val="false"/>
          <w:color w:val="101C33"/>
          <w:sz w:val="21"/>
          <w:szCs w:val="21"/>
        </w:rPr>
        <w:t xml:space="preserve">How is aiDataWorks different from a typical Informatica reseller?</w:t>
      </w:r>
    </w:p>
    <w:p>
      <w:pPr>
        <w:spacing w:after="90"/>
      </w:pPr>
      <w:r>
        <w:rPr>
          <w:color w:val="101C33"/>
          <w:sz w:val="21"/>
          <w:szCs w:val="21"/>
        </w:rPr>
        <w:t xml:space="preserve">We're a Platinum Informatica partner and Informatica Migration Factory partner, but we deliver full lifecycle outcomes — assess, modernize, govern, and activate — not just licensing. Most engagements run as DMaaS, an outcome-based managed service, not time-and-materials staffing.</w:t>
      </w:r>
      <w:r>
        <w:rPr>
          <w:b/>
          <w:bCs/>
          <w:color w:val="B26A00"/>
          <w:sz w:val="16"/>
          <w:szCs w:val="16"/>
        </w:rPr>
        <w:t xml:space="preserve">  [DRAFT]</w:t>
      </w:r>
    </w:p>
    <w:p>
      <w:pPr>
        <w:spacing w:after="100"/>
      </w:pPr>
      <w:r>
        <w:rPr>
          <w:b/>
          <w:bCs/>
          <w:i w:val="false"/>
          <w:iCs w:val="false"/>
          <w:color w:val="101C33"/>
          <w:sz w:val="21"/>
          <w:szCs w:val="21"/>
        </w:rPr>
        <w:t xml:space="preserve">What does the DMaaS engagement model actually include?</w:t>
      </w:r>
    </w:p>
    <w:p>
      <w:pPr>
        <w:spacing w:after="90"/>
      </w:pPr>
      <w:r>
        <w:rPr>
          <w:color w:val="101C33"/>
          <w:sz w:val="21"/>
          <w:szCs w:val="21"/>
        </w:rPr>
        <w:t xml:space="preserve">Data Management as a Service is priced to business results and SLAs, not billable hours or headcount. You get flexible, on-demand expert teams and continuous run-monitor-optimize delivery, so your data platform keeps improving after go-live instead of sitting with whoever built it.</w:t>
      </w:r>
      <w:r>
        <w:rPr>
          <w:b/>
          <w:bCs/>
          <w:color w:val="B26A00"/>
          <w:sz w:val="16"/>
          <w:szCs w:val="16"/>
        </w:rPr>
        <w:t xml:space="preserve">  [DRAFT]</w:t>
      </w:r>
    </w:p>
    <w:p>
      <w:pPr>
        <w:spacing w:after="100"/>
      </w:pPr>
      <w:r>
        <w:rPr>
          <w:b/>
          <w:bCs/>
          <w:i w:val="false"/>
          <w:iCs w:val="false"/>
          <w:color w:val="101C33"/>
          <w:sz w:val="21"/>
          <w:szCs w:val="21"/>
        </w:rPr>
        <w:t xml:space="preserve">How long does a typical modernization or migration engagement take?</w:t>
      </w:r>
    </w:p>
    <w:p>
      <w:pPr>
        <w:spacing w:after="90"/>
      </w:pPr>
      <w:r>
        <w:rPr>
          <w:color w:val="101C33"/>
          <w:sz w:val="21"/>
          <w:szCs w:val="21"/>
        </w:rPr>
        <w:t xml:space="preserve">It depends on scope, but most engagements start with a framework-based proof of concept to validate feasibility and timeline before a full commitment.</w:t>
      </w:r>
      <w:r>
        <w:rPr>
          <w:b/>
          <w:bCs/>
          <w:color w:val="B26A00"/>
          <w:sz w:val="16"/>
          <w:szCs w:val="16"/>
        </w:rPr>
        <w:t xml:space="preserve">  [DRAFT]</w:t>
      </w:r>
    </w:p>
    <w:p>
      <w:pPr>
        <w:spacing w:after="100"/>
      </w:pPr>
      <w:r>
        <w:rPr>
          <w:b/>
          <w:bCs/>
          <w:i w:val="false"/>
          <w:iCs w:val="false"/>
          <w:color w:val="101C33"/>
          <w:sz w:val="21"/>
          <w:szCs w:val="21"/>
        </w:rPr>
        <w:t xml:space="preserve">How do you handle data security and compliance during migration?</w:t>
      </w:r>
    </w:p>
    <w:p>
      <w:pPr>
        <w:spacing w:after="90"/>
      </w:pPr>
      <w:r>
        <w:rPr>
          <w:color w:val="101C33"/>
          <w:sz w:val="21"/>
          <w:szCs w:val="21"/>
        </w:rPr>
        <w:t xml:space="preserve">Governance, quality, and security controls are embedded from the Assess phase onward — audit-ready compliance frameworks and policy/privacy controls are part of the Govern step of every engagement.</w:t>
      </w:r>
      <w:r>
        <w:rPr>
          <w:b/>
          <w:bCs/>
          <w:color w:val="B26A00"/>
          <w:sz w:val="16"/>
          <w:szCs w:val="16"/>
        </w:rPr>
        <w:t xml:space="preserve">  [DRAFT]</w:t>
      </w:r>
    </w:p>
    <w:p>
      <w:pPr>
        <w:spacing w:after="100"/>
      </w:pPr>
      <w:r>
        <w:rPr>
          <w:b/>
          <w:bCs/>
          <w:i w:val="false"/>
          <w:iCs w:val="false"/>
          <w:color w:val="101C33"/>
          <w:sz w:val="21"/>
          <w:szCs w:val="21"/>
        </w:rPr>
        <w:t xml:space="preserve">Do you work with organizations that aren't yet on Informatica?</w:t>
      </w:r>
    </w:p>
    <w:p>
      <w:pPr>
        <w:spacing w:after="90"/>
      </w:pPr>
      <w:r>
        <w:rPr>
          <w:color w:val="101C33"/>
          <w:sz w:val="21"/>
          <w:szCs w:val="21"/>
        </w:rPr>
        <w:t xml:space="preserve">Yes — we also work across Databricks, Snowflake, Salesforce, AWS, Azure, Google Cloud, and OCI, and can advise on the right platform mix before recommending Informatica specifically.</w:t>
      </w:r>
      <w:r>
        <w:rPr>
          <w:b/>
          <w:bCs/>
          <w:color w:val="B26A00"/>
          <w:sz w:val="16"/>
          <w:szCs w:val="16"/>
        </w:rPr>
        <w:t xml:space="preserve">  [DRAFT]</w:t>
      </w:r>
    </w:p>
    <w:p>
      <w:pPr>
        <w:spacing w:after="100"/>
      </w:pPr>
      <w:r>
        <w:rPr>
          <w:b/>
          <w:bCs/>
          <w:i w:val="false"/>
          <w:iCs w:val="false"/>
          <w:color w:val="101C33"/>
          <w:sz w:val="21"/>
          <w:szCs w:val="21"/>
        </w:rPr>
        <w:t xml:space="preserve">Do you offer AI capabilities beyond data management?</w:t>
      </w:r>
    </w:p>
    <w:p>
      <w:pPr>
        <w:spacing w:after="90"/>
      </w:pPr>
      <w:r>
        <w:rPr>
          <w:color w:val="101C33"/>
          <w:sz w:val="21"/>
          <w:szCs w:val="21"/>
        </w:rPr>
        <w:t xml:space="preserve">Yes — our Agentic AI Copilot for Informatica &amp; Snowflake, custom LLM and agent-flow development, and purpose-built platforms like our GEM AI Manufacturing Copilot bring AI directly into daily operations, not just into the data layer.</w:t>
      </w:r>
      <w:r>
        <w:rPr>
          <w:b/>
          <w:bCs/>
          <w:color w:val="2450FF"/>
          <w:sz w:val="16"/>
          <w:szCs w:val="16"/>
        </w:rPr>
        <w:t xml:space="preserve">  [NEW]</w:t>
      </w:r>
    </w:p>
    <w:p>
      <w:pPr>
        <w:spacing w:after="100"/>
      </w:pPr>
      <w:r>
        <w:rPr>
          <w:i/>
          <w:iCs/>
          <w:color w:val="6B7689"/>
          <w:sz w:val="19"/>
          <w:szCs w:val="19"/>
        </w:rPr>
        <w:t xml:space="preserve">New Q&amp;A added this pass, directly reflecting the new AI &amp; Automation section (§6).</w:t>
      </w:r>
    </w:p>
    <w:p>
      <w:pPr>
        <w:pStyle w:val="Heading1"/>
        <w:pBdr>
          <w:bottom w:val="single" w:color="2450FF" w:sz="12" w:space="4"/>
        </w:pBdr>
        <w:spacing w:after="120" w:before="420"/>
      </w:pPr>
      <w:r>
        <w:rPr>
          <w:b/>
          <w:bCs/>
          <w:color w:val="101C33"/>
          <w:sz w:val="30"/>
          <w:szCs w:val="30"/>
        </w:rPr>
        <w:t xml:space="preserve">13. Insights &amp; News</w:t>
      </w:r>
    </w:p>
    <w:p>
      <w:pPr>
        <w:spacing w:after="100"/>
      </w:pPr>
      <w:r>
        <w:rPr>
          <w:i/>
          <w:iCs/>
          <w:color w:val="6B7689"/>
          <w:sz w:val="19"/>
          <w:szCs w:val="19"/>
        </w:rPr>
        <w:t xml:space="preserve">Renamed and restructured this pass — previously just 3 blog cards with no news, press, or newsletter element, unlike Hoonartek's fuller resource hub.</w:t>
      </w:r>
    </w:p>
    <w:p>
      <w:pPr>
        <w:spacing w:after="100"/>
      </w:pPr>
      <w:r>
        <w:rPr>
          <w:b/>
          <w:bCs/>
          <w:i w:val="false"/>
          <w:iCs w:val="false"/>
          <w:color w:val="101C33"/>
          <w:sz w:val="21"/>
          <w:szCs w:val="21"/>
        </w:rPr>
        <w:t xml:space="preserve">News:</w:t>
      </w:r>
    </w:p>
    <w:p>
      <w:pPr>
        <w:pStyle w:val="ListParagraph"/>
        <w:numPr>
          <w:ilvl w:val="0"/>
          <w:numId w:val="2"/>
        </w:numPr>
        <w:spacing w:after="55"/>
      </w:pPr>
      <w:r>
        <w:rPr>
          <w:color w:val="101C33"/>
          <w:sz w:val="20"/>
          <w:szCs w:val="20"/>
        </w:rPr>
        <w:t xml:space="preserve">aiDataWorks Becomes a Certified Salesforce &amp; MuleSoft Partner (2026)</w:t>
      </w:r>
      <w:r>
        <w:rPr>
          <w:b/>
          <w:bCs/>
          <w:color w:val="2450FF"/>
          <w:sz w:val="16"/>
          <w:szCs w:val="16"/>
        </w:rPr>
        <w:t xml:space="preserve">  [NEW]</w:t>
      </w:r>
    </w:p>
    <w:p>
      <w:pPr>
        <w:spacing w:after="100"/>
      </w:pPr>
      <w:r>
        <w:rPr>
          <w:i/>
          <w:iCs/>
          <w:color w:val="6B7689"/>
          <w:sz w:val="19"/>
          <w:szCs w:val="19"/>
        </w:rPr>
        <w:t xml:space="preserve">This is a real, dateable company milestone (corporate deck, slide 6) — a genuine first entry for a News/Press area, not invented.</w:t>
      </w:r>
    </w:p>
    <w:p>
      <w:pPr>
        <w:spacing w:after="100"/>
      </w:pPr>
      <w:r>
        <w:rPr>
          <w:b/>
          <w:bCs/>
          <w:i w:val="false"/>
          <w:iCs w:val="false"/>
          <w:color w:val="101C33"/>
          <w:sz w:val="21"/>
          <w:szCs w:val="21"/>
        </w:rPr>
        <w:t xml:space="preserve">Insights:</w:t>
      </w:r>
    </w:p>
    <w:p>
      <w:pPr>
        <w:pStyle w:val="ListParagraph"/>
        <w:numPr>
          <w:ilvl w:val="0"/>
          <w:numId w:val="2"/>
        </w:numPr>
        <w:spacing w:after="55"/>
      </w:pPr>
      <w:r>
        <w:rPr>
          <w:color w:val="101C33"/>
          <w:sz w:val="20"/>
          <w:szCs w:val="20"/>
        </w:rPr>
        <w:t xml:space="preserve">Choosing a Migration Path off Legacy ETL</w:t>
      </w:r>
      <w:r>
        <w:rPr>
          <w:b/>
          <w:bCs/>
          <w:color w:val="B26A00"/>
          <w:sz w:val="16"/>
          <w:szCs w:val="16"/>
        </w:rPr>
        <w:t xml:space="preserve">  [DRAFT]</w:t>
      </w:r>
    </w:p>
    <w:p>
      <w:pPr>
        <w:pStyle w:val="ListParagraph"/>
        <w:numPr>
          <w:ilvl w:val="0"/>
          <w:numId w:val="2"/>
        </w:numPr>
        <w:spacing w:after="55"/>
      </w:pPr>
      <w:r>
        <w:rPr>
          <w:color w:val="101C33"/>
          <w:sz w:val="20"/>
          <w:szCs w:val="20"/>
        </w:rPr>
        <w:t xml:space="preserve">What Good Data Governance Actually Looks Like</w:t>
      </w:r>
      <w:r>
        <w:rPr>
          <w:b/>
          <w:bCs/>
          <w:color w:val="B26A00"/>
          <w:sz w:val="16"/>
          <w:szCs w:val="16"/>
        </w:rPr>
        <w:t xml:space="preserve">  [DRAFT]</w:t>
      </w:r>
    </w:p>
    <w:p>
      <w:pPr>
        <w:pStyle w:val="ListParagraph"/>
        <w:numPr>
          <w:ilvl w:val="0"/>
          <w:numId w:val="2"/>
        </w:numPr>
        <w:spacing w:after="55"/>
      </w:pPr>
      <w:r>
        <w:rPr>
          <w:color w:val="101C33"/>
          <w:sz w:val="20"/>
          <w:szCs w:val="20"/>
        </w:rPr>
        <w:t xml:space="preserve">Running Informatica in a Multi-Cloud Estate</w:t>
      </w:r>
      <w:r>
        <w:rPr>
          <w:b/>
          <w:bCs/>
          <w:color w:val="B26A00"/>
          <w:sz w:val="16"/>
          <w:szCs w:val="16"/>
        </w:rPr>
        <w:t xml:space="preserve">  [DRAFT]</w:t>
      </w:r>
    </w:p>
    <w:p>
      <w:pPr>
        <w:spacing w:after="100"/>
      </w:pPr>
      <w:r>
        <w:rPr>
          <w:b/>
          <w:bCs/>
          <w:i w:val="false"/>
          <w:iCs w:val="false"/>
          <w:color w:val="101C33"/>
          <w:sz w:val="21"/>
          <w:szCs w:val="21"/>
        </w:rPr>
        <w:t xml:space="preserve">Newsletter signup — new, matching Hoonartek's pattern:</w:t>
      </w:r>
    </w:p>
    <w:p>
      <w:pPr>
        <w:spacing w:after="90"/>
      </w:pPr>
      <w:r>
        <w:rPr>
          <w:color w:val="101C33"/>
          <w:sz w:val="21"/>
          <w:szCs w:val="21"/>
        </w:rPr>
        <w:t xml:space="preserve">“Get modernization insights in your inbox” + email field + Subscribe button</w:t>
      </w:r>
      <w:r>
        <w:rPr>
          <w:b/>
          <w:bCs/>
          <w:color w:val="2450FF"/>
          <w:sz w:val="16"/>
          <w:szCs w:val="16"/>
        </w:rPr>
        <w:t xml:space="preserve">  [NEW]</w:t>
      </w:r>
    </w:p>
    <w:p>
      <w:pPr>
        <w:pStyle w:val="Heading1"/>
        <w:pBdr>
          <w:bottom w:val="single" w:color="2450FF" w:sz="12" w:space="4"/>
        </w:pBdr>
        <w:spacing w:after="120" w:before="420"/>
      </w:pPr>
      <w:r>
        <w:rPr>
          <w:b/>
          <w:bCs/>
          <w:color w:val="101C33"/>
          <w:sz w:val="30"/>
          <w:szCs w:val="30"/>
        </w:rPr>
        <w:t xml:space="preserve">14. Final CTA + Footer</w:t>
      </w:r>
    </w:p>
    <w:p>
      <w:pPr>
        <w:spacing w:after="100"/>
      </w:pPr>
      <w:r>
        <w:rPr>
          <w:b/>
          <w:bCs/>
          <w:i w:val="false"/>
          <w:iCs w:val="false"/>
          <w:color w:val="101C33"/>
          <w:sz w:val="21"/>
          <w:szCs w:val="21"/>
        </w:rPr>
        <w:t xml:space="preserve">Final CTA:</w:t>
      </w:r>
    </w:p>
    <w:p>
      <w:pPr>
        <w:spacing w:after="90"/>
      </w:pPr>
      <w:r>
        <w:rPr>
          <w:color w:val="101C33"/>
          <w:sz w:val="21"/>
          <w:szCs w:val="21"/>
        </w:rPr>
        <w:t xml:space="preserve">Let's build your AI-ready data foundation.</w:t>
      </w:r>
      <w:r>
        <w:rPr>
          <w:b/>
          <w:bCs/>
          <w:color w:val="1D7A5F"/>
          <w:sz w:val="16"/>
          <w:szCs w:val="16"/>
        </w:rPr>
        <w:t xml:space="preserve">  [REAL]</w:t>
      </w:r>
    </w:p>
    <w:p>
      <w:pPr>
        <w:pStyle w:val="ListParagraph"/>
        <w:numPr>
          <w:ilvl w:val="0"/>
          <w:numId w:val="2"/>
        </w:numPr>
        <w:spacing w:after="55"/>
      </w:pPr>
      <w:r>
        <w:rPr>
          <w:color w:val="101C33"/>
          <w:sz w:val="20"/>
          <w:szCs w:val="20"/>
        </w:rPr>
        <w:t xml:space="preserve">Button: “Schedule a Meeting”</w:t>
      </w:r>
      <w:r>
        <w:rPr>
          <w:b/>
          <w:bCs/>
          <w:color w:val="1D7A5F"/>
          <w:sz w:val="16"/>
          <w:szCs w:val="16"/>
        </w:rPr>
        <w:t xml:space="preserve">  [REAL]</w:t>
      </w:r>
    </w:p>
    <w:p>
      <w:pPr>
        <w:pStyle w:val="ListParagraph"/>
        <w:numPr>
          <w:ilvl w:val="0"/>
          <w:numId w:val="2"/>
        </w:numPr>
        <w:spacing w:after="55"/>
      </w:pPr>
      <w:r>
        <w:rPr>
          <w:color w:val="101C33"/>
          <w:sz w:val="20"/>
          <w:szCs w:val="20"/>
        </w:rPr>
        <w:t xml:space="preserve">Contact: marketing@aidata.works</w:t>
      </w:r>
      <w:r>
        <w:rPr>
          <w:b/>
          <w:bCs/>
          <w:color w:val="1D7A5F"/>
          <w:sz w:val="16"/>
          <w:szCs w:val="16"/>
        </w:rPr>
        <w:t xml:space="preserve">  [REAL]</w:t>
      </w:r>
    </w:p>
    <w:p>
      <w:pPr>
        <w:spacing w:after="100"/>
      </w:pPr>
      <w:r>
        <w:rPr>
          <w:b/>
          <w:bCs/>
          <w:i w:val="false"/>
          <w:iCs w:val="false"/>
          <w:color w:val="101C33"/>
          <w:sz w:val="21"/>
          <w:szCs w:val="21"/>
        </w:rPr>
        <w:t xml:space="preserve">Footer — substantially enriched this pass to address the “looks empty” feedback:</w:t>
      </w:r>
    </w:p>
    <w:p>
      <w:pPr>
        <w:spacing w:after="100"/>
      </w:pPr>
      <w:r>
        <w:rPr>
          <w:b w:val="false"/>
          <w:bCs w:val="false"/>
          <w:i/>
          <w:iCs/>
          <w:color w:val="101C33"/>
          <w:sz w:val="21"/>
          <w:szCs w:val="21"/>
        </w:rPr>
        <w:t xml:space="preserve">Column 1 — Services:</w:t>
      </w:r>
    </w:p>
    <w:p>
      <w:pPr>
        <w:pStyle w:val="ListParagraph"/>
        <w:numPr>
          <w:ilvl w:val="0"/>
          <w:numId w:val="2"/>
        </w:numPr>
        <w:spacing w:after="55"/>
      </w:pPr>
      <w:r>
        <w:rPr>
          <w:color w:val="101C33"/>
          <w:sz w:val="20"/>
          <w:szCs w:val="20"/>
        </w:rPr>
        <w:t xml:space="preserve">Consulting Services · Informatica Implementation · Salesforce Implementation · AWS/Azure/GCP Implementation · Training &amp; Enablement</w:t>
      </w:r>
      <w:r>
        <w:rPr>
          <w:b/>
          <w:bCs/>
          <w:color w:val="1D7A5F"/>
          <w:sz w:val="16"/>
          <w:szCs w:val="16"/>
        </w:rPr>
        <w:t xml:space="preserve">  [REAL]</w:t>
      </w:r>
    </w:p>
    <w:p>
      <w:pPr>
        <w:spacing w:after="100"/>
      </w:pPr>
      <w:r>
        <w:rPr>
          <w:b w:val="false"/>
          <w:bCs w:val="false"/>
          <w:i/>
          <w:iCs/>
          <w:color w:val="101C33"/>
          <w:sz w:val="21"/>
          <w:szCs w:val="21"/>
        </w:rPr>
        <w:t xml:space="preserve">Column 2 — Solutions:</w:t>
      </w:r>
    </w:p>
    <w:p>
      <w:pPr>
        <w:pStyle w:val="ListParagraph"/>
        <w:numPr>
          <w:ilvl w:val="0"/>
          <w:numId w:val="2"/>
        </w:numPr>
        <w:spacing w:after="55"/>
      </w:pPr>
      <w:r>
        <w:rPr>
          <w:color w:val="101C33"/>
          <w:sz w:val="20"/>
          <w:szCs w:val="20"/>
        </w:rPr>
        <w:t xml:space="preserve">AI &amp; Automation · Master Data Management · Data Quality &amp; Governance · Modernization Accelerators</w:t>
      </w:r>
      <w:r>
        <w:rPr>
          <w:b/>
          <w:bCs/>
          <w:color w:val="1D7A5F"/>
          <w:sz w:val="16"/>
          <w:szCs w:val="16"/>
        </w:rPr>
        <w:t xml:space="preserve">  [REAL]</w:t>
      </w:r>
    </w:p>
    <w:p>
      <w:pPr>
        <w:spacing w:after="100"/>
      </w:pPr>
      <w:r>
        <w:rPr>
          <w:b w:val="false"/>
          <w:bCs w:val="false"/>
          <w:i/>
          <w:iCs/>
          <w:color w:val="101C33"/>
          <w:sz w:val="21"/>
          <w:szCs w:val="21"/>
        </w:rPr>
        <w:t xml:space="preserve">Column 3 — Company:</w:t>
      </w:r>
    </w:p>
    <w:p>
      <w:pPr>
        <w:pStyle w:val="ListParagraph"/>
        <w:numPr>
          <w:ilvl w:val="0"/>
          <w:numId w:val="2"/>
        </w:numPr>
        <w:spacing w:after="55"/>
      </w:pPr>
      <w:r>
        <w:rPr>
          <w:color w:val="101C33"/>
          <w:sz w:val="20"/>
          <w:szCs w:val="20"/>
        </w:rPr>
        <w:t xml:space="preserve">About · Partners · Careers · News</w:t>
      </w:r>
      <w:r>
        <w:rPr>
          <w:b/>
          <w:bCs/>
          <w:color w:val="1D7A5F"/>
          <w:sz w:val="16"/>
          <w:szCs w:val="16"/>
        </w:rPr>
        <w:t xml:space="preserve">  [REAL]</w:t>
      </w:r>
    </w:p>
    <w:p>
      <w:pPr>
        <w:spacing w:after="100"/>
      </w:pPr>
      <w:r>
        <w:rPr>
          <w:b w:val="false"/>
          <w:bCs w:val="false"/>
          <w:i/>
          <w:iCs/>
          <w:color w:val="101C33"/>
          <w:sz w:val="21"/>
          <w:szCs w:val="21"/>
        </w:rPr>
        <w:t xml:space="preserve">Column 4 — Resources:</w:t>
      </w:r>
    </w:p>
    <w:p>
      <w:pPr>
        <w:pStyle w:val="ListParagraph"/>
        <w:numPr>
          <w:ilvl w:val="0"/>
          <w:numId w:val="2"/>
        </w:numPr>
        <w:spacing w:after="55"/>
      </w:pPr>
      <w:r>
        <w:rPr>
          <w:color w:val="101C33"/>
          <w:sz w:val="20"/>
          <w:szCs w:val="20"/>
        </w:rPr>
        <w:t xml:space="preserve">Insights · Case Studies · Contact</w:t>
      </w:r>
      <w:r>
        <w:rPr>
          <w:b/>
          <w:bCs/>
          <w:color w:val="1D7A5F"/>
          <w:sz w:val="16"/>
          <w:szCs w:val="16"/>
        </w:rPr>
        <w:t xml:space="preserve">  [REAL]</w:t>
      </w:r>
    </w:p>
    <w:p>
      <w:pPr>
        <w:spacing w:after="100"/>
      </w:pPr>
      <w:r>
        <w:rPr>
          <w:b w:val="false"/>
          <w:bCs w:val="false"/>
          <w:i/>
          <w:iCs/>
          <w:color w:val="101C33"/>
          <w:sz w:val="21"/>
          <w:szCs w:val="21"/>
        </w:rPr>
        <w:t xml:space="preserve">Newsletter signup (new):</w:t>
      </w:r>
    </w:p>
    <w:p>
      <w:pPr>
        <w:spacing w:after="90"/>
      </w:pPr>
      <w:r>
        <w:rPr>
          <w:color w:val="101C33"/>
          <w:sz w:val="21"/>
          <w:szCs w:val="21"/>
        </w:rPr>
        <w:t xml:space="preserve">“Get modernization insights in your inbox” + email field</w:t>
      </w:r>
      <w:r>
        <w:rPr>
          <w:b/>
          <w:bCs/>
          <w:color w:val="2450FF"/>
          <w:sz w:val="16"/>
          <w:szCs w:val="16"/>
        </w:rPr>
        <w:t xml:space="preserve">  [NEW]</w:t>
      </w:r>
    </w:p>
    <w:p>
      <w:pPr>
        <w:spacing w:after="100"/>
      </w:pPr>
      <w:r>
        <w:rPr>
          <w:b w:val="false"/>
          <w:bCs w:val="false"/>
          <w:i/>
          <w:iCs/>
          <w:color w:val="101C33"/>
          <w:sz w:val="21"/>
          <w:szCs w:val="21"/>
        </w:rPr>
        <w:t xml:space="preserve">Social (new — structural only, needs a real URL):</w:t>
      </w:r>
    </w:p>
    <w:p>
      <w:pPr>
        <w:spacing w:after="90"/>
      </w:pPr>
      <w:r>
        <w:rPr>
          <w:color w:val="101C33"/>
          <w:sz w:val="21"/>
          <w:szCs w:val="21"/>
        </w:rPr>
        <w:t xml:space="preserve">LinkedIn icon linking to the aiDataWorks company page</w:t>
      </w:r>
      <w:r>
        <w:rPr>
          <w:b/>
          <w:bCs/>
          <w:color w:val="C0392B"/>
          <w:sz w:val="16"/>
          <w:szCs w:val="16"/>
        </w:rPr>
        <w:t xml:space="preserve">  [STILL NEEDED]</w:t>
      </w:r>
    </w:p>
    <w:p>
      <w:pPr>
        <w:spacing w:after="100"/>
      </w:pPr>
      <w:r>
        <w:rPr>
          <w:b w:val="false"/>
          <w:bCs w:val="false"/>
          <w:i/>
          <w:iCs/>
          <w:color w:val="101C33"/>
          <w:sz w:val="21"/>
          <w:szCs w:val="21"/>
        </w:rPr>
        <w:t xml:space="preserve">Certification badge row — expanded with new real detail:</w:t>
      </w:r>
    </w:p>
    <w:p>
      <w:pPr>
        <w:pStyle w:val="ListParagraph"/>
        <w:numPr>
          <w:ilvl w:val="0"/>
          <w:numId w:val="2"/>
        </w:numPr>
        <w:spacing w:after="55"/>
      </w:pPr>
      <w:r>
        <w:rPr>
          <w:color w:val="101C33"/>
          <w:sz w:val="20"/>
          <w:szCs w:val="20"/>
        </w:rPr>
        <w:t xml:space="preserve">Informatica Platinum Partner (since 2014) · Informatica Migration Factory Partner</w:t>
      </w:r>
      <w:r>
        <w:rPr>
          <w:b/>
          <w:bCs/>
          <w:color w:val="1D7A5F"/>
          <w:sz w:val="16"/>
          <w:szCs w:val="16"/>
        </w:rPr>
        <w:t xml:space="preserve">  [REAL]</w:t>
      </w:r>
    </w:p>
    <w:p>
      <w:pPr>
        <w:pStyle w:val="ListParagraph"/>
        <w:numPr>
          <w:ilvl w:val="0"/>
          <w:numId w:val="2"/>
        </w:numPr>
        <w:spacing w:after="55"/>
      </w:pPr>
      <w:r>
        <w:rPr>
          <w:color w:val="101C33"/>
          <w:sz w:val="20"/>
          <w:szCs w:val="20"/>
        </w:rPr>
        <w:t xml:space="preserve">Cloud Data Quality Professional · Data Governance Champion · Cloud MDM/Data Cloud Practitioner</w:t>
      </w:r>
      <w:r>
        <w:rPr>
          <w:b/>
          <w:bCs/>
          <w:color w:val="1D7A5F"/>
          <w:sz w:val="16"/>
          <w:szCs w:val="16"/>
        </w:rPr>
        <w:t xml:space="preserve">  [REAL]</w:t>
      </w:r>
    </w:p>
    <w:p>
      <w:pPr>
        <w:pStyle w:val="ListParagraph"/>
        <w:numPr>
          <w:ilvl w:val="0"/>
          <w:numId w:val="2"/>
        </w:numPr>
        <w:spacing w:after="55"/>
      </w:pPr>
      <w:r>
        <w:rPr>
          <w:color w:val="101C33"/>
          <w:sz w:val="20"/>
          <w:szCs w:val="20"/>
        </w:rPr>
        <w:t xml:space="preserve">Salesforce Certified Data 360 Consultant · MuleSoft AnyPoint/AgentFabric Practitioner</w:t>
      </w:r>
      <w:r>
        <w:rPr>
          <w:b/>
          <w:bCs/>
          <w:color w:val="1D7A5F"/>
          <w:sz w:val="16"/>
          <w:szCs w:val="16"/>
        </w:rPr>
        <w:t xml:space="preserve">  [REAL]</w:t>
      </w:r>
    </w:p>
    <w:p>
      <w:pPr>
        <w:spacing w:after="100"/>
      </w:pPr>
      <w:r>
        <w:rPr>
          <w:b w:val="false"/>
          <w:bCs w:val="false"/>
          <w:i/>
          <w:iCs/>
          <w:color w:val="101C33"/>
          <w:sz w:val="21"/>
          <w:szCs w:val="21"/>
        </w:rPr>
        <w:t xml:space="preserve">Legal:</w:t>
      </w:r>
    </w:p>
    <w:p>
      <w:pPr>
        <w:pStyle w:val="ListParagraph"/>
        <w:numPr>
          <w:ilvl w:val="0"/>
          <w:numId w:val="2"/>
        </w:numPr>
        <w:spacing w:after="55"/>
      </w:pPr>
      <w:r>
        <w:rPr>
          <w:color w:val="101C33"/>
          <w:sz w:val="20"/>
          <w:szCs w:val="20"/>
        </w:rPr>
        <w:t xml:space="preserve">Privacy (now a real page, not /blank) · Terms</w:t>
      </w:r>
      <w:r>
        <w:rPr>
          <w:b/>
          <w:bCs/>
          <w:color w:val="B26A00"/>
          <w:sz w:val="16"/>
          <w:szCs w:val="16"/>
        </w:rPr>
        <w:t xml:space="preserve">  [DRAFT]</w:t>
      </w:r>
    </w:p>
    <w:p>
      <w:pPr>
        <w:spacing w:after="100"/>
      </w:pPr>
      <w:r>
        <w:rPr>
          <w:b/>
          <w:bCs/>
          <w:i w:val="false"/>
          <w:iCs w:val="false"/>
          <w:color w:val="101C33"/>
          <w:sz w:val="21"/>
          <w:szCs w:val="21"/>
        </w:rPr>
        <w:t xml:space="preserve">Phone number:</w:t>
      </w:r>
    </w:p>
    <w:p>
      <w:pPr>
        <w:spacing w:after="100"/>
      </w:pPr>
      <w:r>
        <w:rPr>
          <w:b/>
          <w:bCs/>
          <w:color w:val="C0392B"/>
          <w:sz w:val="20"/>
          <w:szCs w:val="20"/>
        </w:rPr>
        <w:t xml:space="preserve">Still left blank</w:t>
      </w:r>
      <w:r>
        <w:rPr>
          <w:color w:val="101C33"/>
          <w:sz w:val="20"/>
          <w:szCs w:val="20"/>
        </w:rPr>
        <w:t xml:space="preserve"> — not in the corporate deck either. A wrong number is worse than no number, so this stays open until you supply it.</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2026-07-20T18:32:22.436Z</dcterms:created>
  <dcterms:modified xsi:type="dcterms:W3CDTF">2026-07-20T18:32:22.449Z</dcterms:modified>
</cp:coreProperties>
</file>

<file path=docProps/custom.xml><?xml version="1.0" encoding="utf-8"?>
<Properties xmlns="http://schemas.openxmlformats.org/officeDocument/2006/custom-properties" xmlns:vt="http://schemas.openxmlformats.org/officeDocument/2006/docPropsVTypes"/>
</file>