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5"/>
      </w:tblGrid>
      <w:tr>
        <w:tc>
          <w:tcPr>
            <w:tcW w:type="dxa" w:w="9524"/>
            <w:shd w:fill="EAF2FD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246BCE"/>
                <w:sz w:val="18"/>
              </w:rPr>
              <w:t>PROJECT DOCUMENT</w:t>
            </w:r>
          </w:p>
        </w:tc>
      </w:tr>
    </w:tbl>
    <w:p>
      <w:pPr>
        <w:pStyle w:val="Title"/>
        <w:jc w:val="left"/>
      </w:pPr>
      <w:r>
        <w:rPr>
          <w:rFonts w:ascii="Noto Sans CJK SC" w:hAnsi="Noto Sans CJK SC" w:eastAsia="Noto Sans CJK SC"/>
          <w:b/>
          <w:color w:val="17324D"/>
          <w:sz w:val="56"/>
        </w:rPr>
        <w:t>多协议 API 调试工具</w:t>
      </w:r>
    </w:p>
    <w:p>
      <w:pPr>
        <w:pStyle w:val="Subtitle"/>
      </w:pPr>
      <w:r>
        <w:rPr>
          <w:rFonts w:ascii="Noto Sans CJK SC" w:hAnsi="Noto Sans CJK SC" w:eastAsia="Noto Sans CJK SC"/>
          <w:color w:val="5D7185"/>
          <w:sz w:val="26"/>
        </w:rPr>
        <w:t>技术架构与研发设计文档</w:t>
      </w:r>
    </w:p>
    <w:p>
      <w:pPr>
        <w:spacing w:before="360"/>
      </w:pPr>
      <w:r>
        <w:rPr>
          <w:rFonts w:ascii="Noto Serif CJK SC" w:hAnsi="Noto Serif CJK SC" w:eastAsia="Noto Serif CJK SC"/>
          <w:color w:val="40566C"/>
          <w:sz w:val="24"/>
        </w:rPr>
        <w:t>React + Tauri + Rust 协议内核 + Java 协作后端 + WASM 插件体系</w:t>
      </w:r>
    </w:p>
    <w:p>
      <w:r>
        <w:br/>
        <w:br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14"/>
        <w:gridCol w:w="5386"/>
      </w:tblGrid>
      <w:tr>
        <w:tc>
          <w:tcPr>
            <w:tcW w:type="dxa" w:w="4762"/>
            <w:shd w:fill="F3F5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</w:tcBorders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9"/>
              </w:rPr>
              <w:t>文档版本</w:t>
            </w:r>
          </w:p>
        </w:tc>
        <w:tc>
          <w:tcPr>
            <w:tcW w:type="dxa" w:w="476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</w:tcBorders>
          </w:tcPr>
          <w:p>
            <w:r>
              <w:rPr>
                <w:rFonts w:ascii="Noto Sans CJK SC" w:hAnsi="Noto Sans CJK SC" w:eastAsia="Noto Sans CJK SC"/>
                <w:color w:val="24313F"/>
                <w:sz w:val="19"/>
              </w:rPr>
              <w:t>V1.0</w:t>
            </w:r>
          </w:p>
        </w:tc>
      </w:tr>
      <w:tr>
        <w:tc>
          <w:tcPr>
            <w:tcW w:type="dxa" w:w="4762"/>
            <w:shd w:fill="F3F5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</w:tcBorders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9"/>
              </w:rPr>
              <w:t>编制日期</w:t>
            </w:r>
          </w:p>
        </w:tc>
        <w:tc>
          <w:tcPr>
            <w:tcW w:type="dxa" w:w="476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</w:tcBorders>
          </w:tcPr>
          <w:p>
            <w:r>
              <w:rPr>
                <w:rFonts w:ascii="Noto Sans CJK SC" w:hAnsi="Noto Sans CJK SC" w:eastAsia="Noto Sans CJK SC"/>
                <w:color w:val="24313F"/>
                <w:sz w:val="19"/>
              </w:rPr>
              <w:t>2026-08-05</w:t>
            </w:r>
          </w:p>
        </w:tc>
      </w:tr>
      <w:tr>
        <w:tc>
          <w:tcPr>
            <w:tcW w:type="dxa" w:w="4762"/>
            <w:shd w:fill="F3F5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</w:tcBorders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9"/>
              </w:rPr>
              <w:t>文档状态</w:t>
            </w:r>
          </w:p>
        </w:tc>
        <w:tc>
          <w:tcPr>
            <w:tcW w:type="dxa" w:w="476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</w:tcBorders>
          </w:tcPr>
          <w:p>
            <w:r>
              <w:rPr>
                <w:rFonts w:ascii="Noto Sans CJK SC" w:hAnsi="Noto Sans CJK SC" w:eastAsia="Noto Sans CJK SC"/>
                <w:color w:val="24313F"/>
                <w:sz w:val="19"/>
              </w:rPr>
              <w:t>评审稿</w:t>
            </w:r>
          </w:p>
        </w:tc>
      </w:tr>
      <w:tr>
        <w:tc>
          <w:tcPr>
            <w:tcW w:type="dxa" w:w="4762"/>
            <w:shd w:fill="F3F5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</w:tcBorders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9"/>
              </w:rPr>
              <w:t>适用范围</w:t>
            </w:r>
          </w:p>
        </w:tc>
        <w:tc>
          <w:tcPr>
            <w:tcW w:type="dxa" w:w="476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</w:tcBorders>
          </w:tcPr>
          <w:p>
            <w:r>
              <w:rPr>
                <w:rFonts w:ascii="Noto Sans CJK SC" w:hAnsi="Noto Sans CJK SC" w:eastAsia="Noto Sans CJK SC"/>
                <w:color w:val="24313F"/>
                <w:sz w:val="19"/>
              </w:rPr>
              <w:t>Windows / macOS / Linux；桌面端与 Web 端</w:t>
            </w:r>
          </w:p>
        </w:tc>
      </w:tr>
    </w:tbl>
    <w:p>
      <w:pPr>
        <w:spacing w:before="560"/>
      </w:pPr>
      <w:r>
        <w:rPr>
          <w:rFonts w:ascii="Noto Sans CJK SC" w:hAnsi="Noto Sans CJK SC" w:eastAsia="Noto Sans CJK SC"/>
          <w:color w:val="6C7A89"/>
          <w:sz w:val="18"/>
        </w:rPr>
        <w:t>说明：项目名称暂未最终确定，本文统一使用“多协议 API 调试工具”作为产品代称。</w:t>
      </w:r>
    </w:p>
    <w:p>
      <w:r>
        <w:br w:type="page"/>
      </w:r>
    </w:p>
    <w:p>
      <w:pPr>
        <w:pStyle w:val="Heading1"/>
      </w:pPr>
      <w:r>
        <w:t>文档控制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2381"/>
            <w:shd w:fill="17324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2381"/>
            <w:shd w:fill="17324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2381"/>
            <w:shd w:fill="17324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变更类型</w:t>
            </w:r>
          </w:p>
        </w:tc>
        <w:tc>
          <w:tcPr>
            <w:tcW w:type="dxa" w:w="2381"/>
            <w:shd w:fill="17324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变更说明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V0.9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2026-08-05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技术预研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形成技术栈选型和总体架构建议。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V1.0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2026-08-05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本次落版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补齐协议内核、Local Agent、插件、数据、安全、测试与发布设计。</w:t>
            </w:r>
          </w:p>
        </w:tc>
      </w:tr>
    </w:tbl>
    <w:p/>
    <w:p>
      <w:pPr>
        <w:pStyle w:val="Callout"/>
      </w:pPr>
      <w:r>
        <w:rPr>
          <w:rFonts w:ascii="Noto Sans CJK SC" w:hAnsi="Noto Sans CJK SC" w:eastAsia="Noto Sans CJK SC"/>
          <w:color w:val="17324D"/>
          <w:sz w:val="20"/>
        </w:rPr>
        <w:t>本版本用于产品立项、方案评审和研发拆解。协议支持范围按阶段推进，不以首版一次性实现“所有协议”为目标，而是通过统一内核与插件机制持续扩展。</w:t>
      </w:r>
    </w:p>
    <w:p>
      <w:pPr>
        <w:pStyle w:val="Heading1"/>
      </w:pPr>
      <w:r>
        <w:t>目录</w:t>
      </w:r>
    </w:p>
    <w:p>
      <w:pPr>
        <w:spacing w:after="80"/>
        <w:ind w:left="170"/>
      </w:pPr>
      <w:r>
        <w:rPr>
          <w:rFonts w:ascii="Noto Sans CJK SC" w:hAnsi="Noto Sans CJK SC" w:eastAsia="Noto Sans CJK SC"/>
          <w:b/>
          <w:color w:val="17324D"/>
          <w:sz w:val="21"/>
        </w:rPr>
        <w:t>1  技术目标与原则</w:t>
      </w:r>
    </w:p>
    <w:p>
      <w:pPr>
        <w:spacing w:after="80"/>
        <w:ind w:left="170"/>
      </w:pPr>
      <w:r>
        <w:rPr>
          <w:rFonts w:ascii="Noto Sans CJK SC" w:hAnsi="Noto Sans CJK SC" w:eastAsia="Noto Sans CJK SC"/>
          <w:b/>
          <w:color w:val="17324D"/>
          <w:sz w:val="21"/>
        </w:rPr>
        <w:t>2  总体架构</w:t>
      </w:r>
    </w:p>
    <w:p>
      <w:pPr>
        <w:spacing w:after="80"/>
        <w:ind w:left="170"/>
      </w:pPr>
      <w:r>
        <w:rPr>
          <w:rFonts w:ascii="Noto Sans CJK SC" w:hAnsi="Noto Sans CJK SC" w:eastAsia="Noto Sans CJK SC"/>
          <w:b/>
          <w:color w:val="17324D"/>
          <w:sz w:val="21"/>
        </w:rPr>
        <w:t>3  技术栈选型</w:t>
      </w:r>
    </w:p>
    <w:p>
      <w:pPr>
        <w:spacing w:after="80"/>
        <w:ind w:left="170"/>
      </w:pPr>
      <w:r>
        <w:rPr>
          <w:rFonts w:ascii="Noto Sans CJK SC" w:hAnsi="Noto Sans CJK SC" w:eastAsia="Noto Sans CJK SC"/>
          <w:b/>
          <w:color w:val="17324D"/>
          <w:sz w:val="21"/>
        </w:rPr>
        <w:t>4  运行拓扑与部署形态</w:t>
      </w:r>
    </w:p>
    <w:p>
      <w:pPr>
        <w:spacing w:after="80"/>
        <w:ind w:left="170"/>
      </w:pPr>
      <w:r>
        <w:rPr>
          <w:rFonts w:ascii="Noto Sans CJK SC" w:hAnsi="Noto Sans CJK SC" w:eastAsia="Noto Sans CJK SC"/>
          <w:b/>
          <w:color w:val="17324D"/>
          <w:sz w:val="21"/>
        </w:rPr>
        <w:t>5  代码仓库与模块边界</w:t>
      </w:r>
    </w:p>
    <w:p>
      <w:pPr>
        <w:spacing w:after="80"/>
        <w:ind w:left="170"/>
      </w:pPr>
      <w:r>
        <w:rPr>
          <w:rFonts w:ascii="Noto Sans CJK SC" w:hAnsi="Noto Sans CJK SC" w:eastAsia="Noto Sans CJK SC"/>
          <w:b/>
          <w:color w:val="17324D"/>
          <w:sz w:val="21"/>
        </w:rPr>
        <w:t>6  统一协议内核</w:t>
      </w:r>
    </w:p>
    <w:p>
      <w:pPr>
        <w:spacing w:after="80"/>
        <w:ind w:left="170"/>
      </w:pPr>
      <w:r>
        <w:rPr>
          <w:rFonts w:ascii="Noto Sans CJK SC" w:hAnsi="Noto Sans CJK SC" w:eastAsia="Noto Sans CJK SC"/>
          <w:b/>
          <w:color w:val="17324D"/>
          <w:sz w:val="21"/>
        </w:rPr>
        <w:t>7  协议驱动实施方案</w:t>
      </w:r>
    </w:p>
    <w:p>
      <w:pPr>
        <w:spacing w:after="80"/>
        <w:ind w:left="170"/>
      </w:pPr>
      <w:r>
        <w:rPr>
          <w:rFonts w:ascii="Noto Sans CJK SC" w:hAnsi="Noto Sans CJK SC" w:eastAsia="Noto Sans CJK SC"/>
          <w:b/>
          <w:color w:val="17324D"/>
          <w:sz w:val="21"/>
        </w:rPr>
        <w:t>8  前端架构</w:t>
      </w:r>
    </w:p>
    <w:p>
      <w:pPr>
        <w:spacing w:after="80"/>
        <w:ind w:left="170"/>
      </w:pPr>
      <w:r>
        <w:rPr>
          <w:rFonts w:ascii="Noto Sans CJK SC" w:hAnsi="Noto Sans CJK SC" w:eastAsia="Noto Sans CJK SC"/>
          <w:b/>
          <w:color w:val="17324D"/>
          <w:sz w:val="21"/>
        </w:rPr>
        <w:t>9  桌面端与 Local Agent</w:t>
      </w:r>
    </w:p>
    <w:p>
      <w:pPr>
        <w:spacing w:after="80"/>
        <w:ind w:left="170"/>
      </w:pPr>
      <w:r>
        <w:rPr>
          <w:rFonts w:ascii="Noto Sans CJK SC" w:hAnsi="Noto Sans CJK SC" w:eastAsia="Noto Sans CJK SC"/>
          <w:b/>
          <w:color w:val="17324D"/>
          <w:sz w:val="21"/>
        </w:rPr>
        <w:t>10  云端协作后端</w:t>
      </w:r>
    </w:p>
    <w:p>
      <w:pPr>
        <w:spacing w:after="80"/>
        <w:ind w:left="170"/>
      </w:pPr>
      <w:r>
        <w:rPr>
          <w:rFonts w:ascii="Noto Sans CJK SC" w:hAnsi="Noto Sans CJK SC" w:eastAsia="Noto Sans CJK SC"/>
          <w:b/>
          <w:color w:val="17324D"/>
          <w:sz w:val="21"/>
        </w:rPr>
        <w:t>11  数据与同步设计</w:t>
      </w:r>
    </w:p>
    <w:p>
      <w:pPr>
        <w:spacing w:after="80"/>
        <w:ind w:left="170"/>
      </w:pPr>
      <w:r>
        <w:rPr>
          <w:rFonts w:ascii="Noto Sans CJK SC" w:hAnsi="Noto Sans CJK SC" w:eastAsia="Noto Sans CJK SC"/>
          <w:b/>
          <w:color w:val="17324D"/>
          <w:sz w:val="21"/>
        </w:rPr>
        <w:t>12  插件与脚本体系</w:t>
      </w:r>
    </w:p>
    <w:p>
      <w:pPr>
        <w:spacing w:after="80"/>
        <w:ind w:left="170"/>
      </w:pPr>
      <w:r>
        <w:rPr>
          <w:rFonts w:ascii="Noto Sans CJK SC" w:hAnsi="Noto Sans CJK SC" w:eastAsia="Noto Sans CJK SC"/>
          <w:b/>
          <w:color w:val="17324D"/>
          <w:sz w:val="21"/>
        </w:rPr>
        <w:t>13  安全设计</w:t>
      </w:r>
    </w:p>
    <w:p>
      <w:pPr>
        <w:spacing w:after="80"/>
        <w:ind w:left="170"/>
      </w:pPr>
      <w:r>
        <w:rPr>
          <w:rFonts w:ascii="Noto Sans CJK SC" w:hAnsi="Noto Sans CJK SC" w:eastAsia="Noto Sans CJK SC"/>
          <w:b/>
          <w:color w:val="17324D"/>
          <w:sz w:val="21"/>
        </w:rPr>
        <w:t>14  可观测性与性能</w:t>
      </w:r>
    </w:p>
    <w:p>
      <w:pPr>
        <w:spacing w:after="80"/>
        <w:ind w:left="170"/>
      </w:pPr>
      <w:r>
        <w:rPr>
          <w:rFonts w:ascii="Noto Sans CJK SC" w:hAnsi="Noto Sans CJK SC" w:eastAsia="Noto Sans CJK SC"/>
          <w:b/>
          <w:color w:val="17324D"/>
          <w:sz w:val="21"/>
        </w:rPr>
        <w:t>15  测试与质量保障</w:t>
      </w:r>
    </w:p>
    <w:p>
      <w:pPr>
        <w:spacing w:after="80"/>
        <w:ind w:left="170"/>
      </w:pPr>
      <w:r>
        <w:rPr>
          <w:rFonts w:ascii="Noto Sans CJK SC" w:hAnsi="Noto Sans CJK SC" w:eastAsia="Noto Sans CJK SC"/>
          <w:b/>
          <w:color w:val="17324D"/>
          <w:sz w:val="21"/>
        </w:rPr>
        <w:t>16  CI/CD 与发布</w:t>
      </w:r>
    </w:p>
    <w:p>
      <w:pPr>
        <w:spacing w:after="80"/>
        <w:ind w:left="170"/>
      </w:pPr>
      <w:r>
        <w:rPr>
          <w:rFonts w:ascii="Noto Sans CJK SC" w:hAnsi="Noto Sans CJK SC" w:eastAsia="Noto Sans CJK SC"/>
          <w:b/>
          <w:color w:val="17324D"/>
          <w:sz w:val="21"/>
        </w:rPr>
        <w:t>17  研发计划与里程碑</w:t>
      </w:r>
    </w:p>
    <w:p>
      <w:pPr>
        <w:spacing w:after="80"/>
        <w:ind w:left="170"/>
      </w:pPr>
      <w:r>
        <w:rPr>
          <w:rFonts w:ascii="Noto Sans CJK SC" w:hAnsi="Noto Sans CJK SC" w:eastAsia="Noto Sans CJK SC"/>
          <w:b/>
          <w:color w:val="17324D"/>
          <w:sz w:val="21"/>
        </w:rPr>
        <w:t>18  架构决策与待验证项</w:t>
      </w:r>
    </w:p>
    <w:p>
      <w:pPr>
        <w:spacing w:after="80"/>
        <w:ind w:left="170"/>
      </w:pPr>
      <w:r>
        <w:rPr>
          <w:rFonts w:ascii="Noto Sans CJK SC" w:hAnsi="Noto Sans CJK SC" w:eastAsia="Noto Sans CJK SC"/>
          <w:b/>
          <w:color w:val="17324D"/>
          <w:sz w:val="21"/>
        </w:rPr>
        <w:t>附录 A  关键接口示例</w:t>
      </w:r>
    </w:p>
    <w:p>
      <w:pPr>
        <w:spacing w:after="80"/>
        <w:ind w:left="170"/>
      </w:pPr>
      <w:r>
        <w:rPr>
          <w:rFonts w:ascii="Noto Sans CJK SC" w:hAnsi="Noto Sans CJK SC" w:eastAsia="Noto Sans CJK SC"/>
          <w:b/>
          <w:color w:val="17324D"/>
          <w:sz w:val="21"/>
        </w:rPr>
        <w:t>附录 B  参考资料</w:t>
      </w:r>
    </w:p>
    <w:p>
      <w:pPr>
        <w:pStyle w:val="Heading1"/>
      </w:pPr>
      <w:r>
        <w:t>1 技术目标与原则</w:t>
      </w:r>
    </w:p>
    <w:p>
      <w:pPr>
        <w:pStyle w:val="ListBullet"/>
        <w:ind w:left="369" w:hanging="142"/>
      </w:pPr>
      <w:r>
        <w:rPr>
          <w:rFonts w:ascii="Noto Sans CJK SC" w:hAnsi="Noto Sans CJK SC" w:eastAsia="Noto Sans CJK SC"/>
          <w:b/>
          <w:color w:val="17324D"/>
          <w:sz w:val="20"/>
        </w:rPr>
        <w:t>单一协议内核：</w:t>
      </w:r>
      <w:r>
        <w:rPr>
          <w:rFonts w:ascii="Noto Sans CJK SC" w:hAnsi="Noto Sans CJK SC" w:eastAsia="Noto Sans CJK SC"/>
          <w:color w:val="24313F"/>
          <w:sz w:val="20"/>
        </w:rPr>
        <w:t>桌面、Web+Agent、CLI、云协议网关复用同一执行模型，避免功能漂移。</w:t>
      </w:r>
    </w:p>
    <w:p>
      <w:pPr>
        <w:pStyle w:val="ListBullet"/>
        <w:ind w:left="369" w:hanging="142"/>
      </w:pPr>
      <w:r>
        <w:rPr>
          <w:rFonts w:ascii="Noto Sans CJK SC" w:hAnsi="Noto Sans CJK SC" w:eastAsia="Noto Sans CJK SC"/>
          <w:b/>
          <w:color w:val="17324D"/>
          <w:sz w:val="20"/>
        </w:rPr>
        <w:t>协议无关：</w:t>
      </w:r>
      <w:r>
        <w:rPr>
          <w:rFonts w:ascii="Noto Sans CJK SC" w:hAnsi="Noto Sans CJK SC" w:eastAsia="Noto Sans CJK SC"/>
          <w:color w:val="24313F"/>
          <w:sz w:val="20"/>
        </w:rPr>
        <w:t>公共域模型、执行管线和 UI 框架不依赖具体协议，协议差异通过能力声明和 Driver 封装。</w:t>
      </w:r>
    </w:p>
    <w:p>
      <w:pPr>
        <w:pStyle w:val="ListBullet"/>
        <w:ind w:left="369" w:hanging="142"/>
      </w:pPr>
      <w:r>
        <w:rPr>
          <w:rFonts w:ascii="Noto Sans CJK SC" w:hAnsi="Noto Sans CJK SC" w:eastAsia="Noto Sans CJK SC"/>
          <w:b/>
          <w:color w:val="17324D"/>
          <w:sz w:val="20"/>
        </w:rPr>
        <w:t>本地优先：</w:t>
      </w:r>
      <w:r>
        <w:rPr>
          <w:rFonts w:ascii="Noto Sans CJK SC" w:hAnsi="Noto Sans CJK SC" w:eastAsia="Noto Sans CJK SC"/>
          <w:color w:val="24313F"/>
          <w:sz w:val="20"/>
        </w:rPr>
        <w:t>默认本地执行、本地存储、本地 Secret；云端只承载用户显式启用的协作与执行。</w:t>
      </w:r>
    </w:p>
    <w:p>
      <w:pPr>
        <w:pStyle w:val="ListBullet"/>
        <w:ind w:left="369" w:hanging="142"/>
      </w:pPr>
      <w:r>
        <w:rPr>
          <w:rFonts w:ascii="Noto Sans CJK SC" w:hAnsi="Noto Sans CJK SC" w:eastAsia="Noto Sans CJK SC"/>
          <w:b/>
          <w:color w:val="17324D"/>
          <w:sz w:val="20"/>
        </w:rPr>
        <w:t>流式优先：</w:t>
      </w:r>
      <w:r>
        <w:rPr>
          <w:rFonts w:ascii="Noto Sans CJK SC" w:hAnsi="Noto Sans CJK SC" w:eastAsia="Noto Sans CJK SC"/>
          <w:color w:val="24313F"/>
          <w:sz w:val="20"/>
        </w:rPr>
        <w:t>所有响应统一建模为事件流，普通请求只是有限事件流，天然支持长连接和大响应。</w:t>
      </w:r>
    </w:p>
    <w:p>
      <w:pPr>
        <w:pStyle w:val="ListBullet"/>
        <w:ind w:left="369" w:hanging="142"/>
      </w:pPr>
      <w:r>
        <w:rPr>
          <w:rFonts w:ascii="Noto Sans CJK SC" w:hAnsi="Noto Sans CJK SC" w:eastAsia="Noto Sans CJK SC"/>
          <w:b/>
          <w:color w:val="17324D"/>
          <w:sz w:val="20"/>
        </w:rPr>
        <w:t>可取消与可恢复：</w:t>
      </w:r>
      <w:r>
        <w:rPr>
          <w:rFonts w:ascii="Noto Sans CJK SC" w:hAnsi="Noto Sans CJK SC" w:eastAsia="Noto Sans CJK SC"/>
          <w:color w:val="24313F"/>
          <w:sz w:val="20"/>
        </w:rPr>
        <w:t>每次执行有唯一 ID、取消令牌、资源预算、重试策略和可观察状态。</w:t>
      </w:r>
    </w:p>
    <w:p>
      <w:pPr>
        <w:pStyle w:val="ListBullet"/>
        <w:ind w:left="369" w:hanging="142"/>
      </w:pPr>
      <w:r>
        <w:rPr>
          <w:rFonts w:ascii="Noto Sans CJK SC" w:hAnsi="Noto Sans CJK SC" w:eastAsia="Noto Sans CJK SC"/>
          <w:b/>
          <w:color w:val="17324D"/>
          <w:sz w:val="20"/>
        </w:rPr>
        <w:t>安全边界清晰：</w:t>
      </w:r>
      <w:r>
        <w:rPr>
          <w:rFonts w:ascii="Noto Sans CJK SC" w:hAnsi="Noto Sans CJK SC" w:eastAsia="Noto Sans CJK SC"/>
          <w:color w:val="24313F"/>
          <w:sz w:val="20"/>
        </w:rPr>
        <w:t>UI、协议执行、插件、脚本和云端服务分层隔离，权限按能力授予。</w:t>
      </w:r>
    </w:p>
    <w:p>
      <w:pPr>
        <w:pStyle w:val="ListBullet"/>
        <w:ind w:left="369" w:hanging="142"/>
      </w:pPr>
      <w:r>
        <w:rPr>
          <w:rFonts w:ascii="Noto Sans CJK SC" w:hAnsi="Noto Sans CJK SC" w:eastAsia="Noto Sans CJK SC"/>
          <w:b/>
          <w:color w:val="17324D"/>
          <w:sz w:val="20"/>
        </w:rPr>
        <w:t>工程质量优先：</w:t>
      </w:r>
      <w:r>
        <w:rPr>
          <w:rFonts w:ascii="Noto Sans CJK SC" w:hAnsi="Noto Sans CJK SC" w:eastAsia="Noto Sans CJK SC"/>
          <w:color w:val="24313F"/>
          <w:sz w:val="20"/>
        </w:rPr>
        <w:t>协议契约测试、跨平台 E2E、依赖治理、SBOM、签名和可回滚更新为发布门槛。</w:t>
      </w:r>
    </w:p>
    <w:p>
      <w:pPr>
        <w:pStyle w:val="Heading2"/>
      </w:pPr>
      <w:r>
        <w:t>1.1 关键约束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  <w:cantSplit/>
        </w:trPr>
        <w:tc>
          <w:tcPr>
            <w:tcW w:type="dxa" w:w="4762"/>
            <w:shd w:fill="17324D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约束</w:t>
            </w:r>
          </w:p>
        </w:tc>
        <w:tc>
          <w:tcPr>
            <w:tcW w:type="dxa" w:w="4762"/>
            <w:shd w:fill="17324D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设计响应</w:t>
            </w:r>
          </w:p>
        </w:tc>
      </w:tr>
      <w:tr>
        <w:trPr>
          <w:cantSplit/>
        </w:trPr>
        <w:tc>
          <w:tcPr>
            <w:tcW w:type="dxa" w:w="476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Windows/macOS/Linux</w:t>
            </w:r>
          </w:p>
        </w:tc>
        <w:tc>
          <w:tcPr>
            <w:tcW w:type="dxa" w:w="476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Tauri 2 统一桌面壳；Rust 内核尽量使用纯 Rust 或成熟跨平台库。</w:t>
            </w:r>
          </w:p>
        </w:tc>
      </w:tr>
      <w:tr>
        <w:trPr>
          <w:cantSplit/>
        </w:trPr>
        <w:tc>
          <w:tcPr>
            <w:tcW w:type="dxa" w:w="4762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桌面 + Web</w:t>
            </w:r>
          </w:p>
        </w:tc>
        <w:tc>
          <w:tcPr>
            <w:tcW w:type="dxa" w:w="4762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Web 受浏览器网络能力限制，采用 Local Agent 和可选云协议网关补齐。</w:t>
            </w:r>
          </w:p>
        </w:tc>
      </w:tr>
      <w:tr>
        <w:trPr>
          <w:cantSplit/>
        </w:trPr>
        <w:tc>
          <w:tcPr>
            <w:tcW w:type="dxa" w:w="476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轻量级</w:t>
            </w:r>
          </w:p>
        </w:tc>
        <w:tc>
          <w:tcPr>
            <w:tcW w:type="dxa" w:w="476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Tauri + 系统 WebView；协议按需加载；插件独立安装；避免内置所有驱动。</w:t>
            </w:r>
          </w:p>
        </w:tc>
      </w:tr>
      <w:tr>
        <w:trPr>
          <w:cantSplit/>
        </w:trPr>
        <w:tc>
          <w:tcPr>
            <w:tcW w:type="dxa" w:w="4762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兼容多协议</w:t>
            </w:r>
          </w:p>
        </w:tc>
        <w:tc>
          <w:tcPr>
            <w:tcW w:type="dxa" w:w="4762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统一 Driver 接口、能力模型、WASM 插件和受控 Sidecar。</w:t>
            </w:r>
          </w:p>
        </w:tc>
      </w:tr>
      <w:tr>
        <w:trPr>
          <w:cantSplit/>
        </w:trPr>
        <w:tc>
          <w:tcPr>
            <w:tcW w:type="dxa" w:w="476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Java 团队能力</w:t>
            </w:r>
          </w:p>
        </w:tc>
        <w:tc>
          <w:tcPr>
            <w:tcW w:type="dxa" w:w="476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协作后端采用 Java 21 + Spring Boot 3；协议核心使用 Rust。</w:t>
            </w:r>
          </w:p>
        </w:tc>
      </w:tr>
      <w:tr>
        <w:trPr>
          <w:cantSplit/>
        </w:trPr>
        <w:tc>
          <w:tcPr>
            <w:tcW w:type="dxa" w:w="4762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安全与私有化</w:t>
            </w:r>
          </w:p>
        </w:tc>
        <w:tc>
          <w:tcPr>
            <w:tcW w:type="dxa" w:w="4762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Secret 本地 Keychain；云服务组件可拆分部署；敏感数据可完全不出内网。</w:t>
            </w:r>
          </w:p>
        </w:tc>
      </w:tr>
    </w:tbl>
    <w:p>
      <w:pPr>
        <w:spacing w:after="40"/>
      </w:pPr>
    </w:p>
    <w:p>
      <w:pPr>
        <w:pStyle w:val="Heading1"/>
      </w:pPr>
      <w:r>
        <w:t>2 总体架构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3628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6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 1  总体技术架构</w:t>
      </w:r>
      <w:r>
        <w:rPr>
          <w:rFonts w:ascii="Noto Sans CJK SC" w:hAnsi="Noto Sans CJK SC" w:eastAsia="Noto Sans CJK SC"/>
          <w:color w:val="6C7A89"/>
          <w:sz w:val="18"/>
        </w:rPr>
      </w:r>
    </w:p>
    <w:p>
      <w:pPr>
        <w:pStyle w:val="Heading2"/>
      </w:pPr>
      <w:r>
        <w:t>2.1 分层说明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  <w:cantSplit/>
        </w:trPr>
        <w:tc>
          <w:tcPr>
            <w:tcW w:type="dxa" w:w="1701"/>
            <w:shd w:fill="17324D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层级</w:t>
            </w:r>
          </w:p>
        </w:tc>
        <w:tc>
          <w:tcPr>
            <w:tcW w:type="dxa" w:w="3969"/>
            <w:shd w:fill="17324D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职责</w:t>
            </w:r>
          </w:p>
        </w:tc>
        <w:tc>
          <w:tcPr>
            <w:tcW w:type="dxa" w:w="3855"/>
            <w:shd w:fill="17324D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主要技术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客户端 UI</w:t>
            </w:r>
          </w:p>
        </w:tc>
        <w:tc>
          <w:tcPr>
            <w:tcW w:type="dxa" w:w="396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请求编辑、响应展示、项目管理、团队协作、插件配置</w:t>
            </w:r>
          </w:p>
        </w:tc>
        <w:tc>
          <w:tcPr>
            <w:tcW w:type="dxa" w:w="385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React、TypeScript、Vite、TanStack Query、Zustand、Monaco、xterm.js。</w:t>
            </w:r>
          </w:p>
        </w:tc>
      </w:tr>
      <w:tr>
        <w:trPr>
          <w:cantSplit/>
        </w:trPr>
        <w:tc>
          <w:tcPr>
            <w:tcW w:type="dxa" w:w="1701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桌面壳</w:t>
            </w:r>
          </w:p>
        </w:tc>
        <w:tc>
          <w:tcPr>
            <w:tcW w:type="dxa" w:w="3969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窗口、菜单、文件、更新、系统托盘、协议内核调用</w:t>
            </w:r>
          </w:p>
        </w:tc>
        <w:tc>
          <w:tcPr>
            <w:tcW w:type="dxa" w:w="3855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Tauri 2、Rust Commands、Capabilities。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本地执行层</w:t>
            </w:r>
          </w:p>
        </w:tc>
        <w:tc>
          <w:tcPr>
            <w:tcW w:type="dxa" w:w="396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协议连接、证书、Secret、脚本、插件、流式事件</w:t>
            </w:r>
          </w:p>
        </w:tc>
        <w:tc>
          <w:tcPr>
            <w:tcW w:type="dxa" w:w="385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Rust、Tokio、Tower、rustls、Wasmtime、SQLite。</w:t>
            </w:r>
          </w:p>
        </w:tc>
      </w:tr>
      <w:tr>
        <w:trPr>
          <w:cantSplit/>
        </w:trPr>
        <w:tc>
          <w:tcPr>
            <w:tcW w:type="dxa" w:w="1701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Web 执行桥</w:t>
            </w:r>
          </w:p>
        </w:tc>
        <w:tc>
          <w:tcPr>
            <w:tcW w:type="dxa" w:w="3969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浏览器与本机内核之间的安全通道</w:t>
            </w:r>
          </w:p>
        </w:tc>
        <w:tc>
          <w:tcPr>
            <w:tcW w:type="dxa" w:w="3855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Local Agent、localhost HTTPS/WebSocket、配对令牌、Origin 校验。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云端协作层</w:t>
            </w:r>
          </w:p>
        </w:tc>
        <w:tc>
          <w:tcPr>
            <w:tcW w:type="dxa" w:w="396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身份、工作区、同步、审计、Mock、自动化、对象存储</w:t>
            </w:r>
          </w:p>
        </w:tc>
        <w:tc>
          <w:tcPr>
            <w:tcW w:type="dxa" w:w="385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Java 21、Spring Boot 3、PostgreSQL、Redis、MinIO/S3、MQ。</w:t>
            </w:r>
          </w:p>
        </w:tc>
      </w:tr>
      <w:tr>
        <w:trPr>
          <w:cantSplit/>
        </w:trPr>
        <w:tc>
          <w:tcPr>
            <w:tcW w:type="dxa" w:w="1701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云协议网关</w:t>
            </w:r>
          </w:p>
        </w:tc>
        <w:tc>
          <w:tcPr>
            <w:tcW w:type="dxa" w:w="3969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远程执行、定时任务、CI Runner（可选）</w:t>
            </w:r>
          </w:p>
        </w:tc>
        <w:tc>
          <w:tcPr>
            <w:tcW w:type="dxa" w:w="3855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Rust Gateway 或容器化 Runner；隔离网络与租户资源。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扩展层</w:t>
            </w:r>
          </w:p>
        </w:tc>
        <w:tc>
          <w:tcPr>
            <w:tcW w:type="dxa" w:w="396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新协议、认证、转换、导入导出、UI Schema</w:t>
            </w:r>
          </w:p>
        </w:tc>
        <w:tc>
          <w:tcPr>
            <w:tcW w:type="dxa" w:w="385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WASM/WASI Component Model、WIT；必要时受控 Sidecar。</w:t>
            </w:r>
          </w:p>
        </w:tc>
      </w:tr>
    </w:tbl>
    <w:p>
      <w:pPr>
        <w:spacing w:after="40"/>
      </w:pPr>
    </w:p>
    <w:p>
      <w:pPr>
        <w:pStyle w:val="Heading2"/>
      </w:pPr>
      <w:r>
        <w:t>2.2 请求执行时序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12000" cy="3607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360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 2  请求执行统一时序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EAF2FD"/>
            <w:tcBorders>
              <w:top w:val="single" w:sz="4" w:color="EAF2FD"/>
              <w:left w:val="single" w:sz="18" w:color="246BCE"/>
              <w:bottom w:val="single" w:sz="4" w:color="EAF2FD"/>
              <w:right w:val="single" w:sz="4" w:color="EAF2FD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246BCE"/>
                <w:sz w:val="20"/>
              </w:rPr>
              <w:t xml:space="preserve">核心边界  </w:t>
            </w:r>
            <w:r>
              <w:rPr>
                <w:rFonts w:ascii="Noto Sans CJK SC" w:hAnsi="Noto Sans CJK SC" w:eastAsia="Noto Sans CJK SC"/>
                <w:color w:val="17324D"/>
                <w:sz w:val="20"/>
              </w:rPr>
              <w:t>UI 只处理标准化命令和事件，不直接持有协议连接。这样可使桌面、Agent、CLI 和云端 Runner 共享行为，并降低插件导致 UI 崩溃的风险。</w:t>
            </w:r>
          </w:p>
        </w:tc>
      </w:tr>
    </w:tbl>
    <w:p>
      <w:pPr>
        <w:spacing w:after="0"/>
      </w:pPr>
    </w:p>
    <w:p>
      <w:pPr>
        <w:pStyle w:val="Heading1"/>
      </w:pPr>
      <w:r>
        <w:t>3 技术栈选型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  <w:cantSplit/>
        </w:trPr>
        <w:tc>
          <w:tcPr>
            <w:tcW w:type="dxa" w:w="1814"/>
            <w:shd w:fill="17324D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领域</w:t>
            </w:r>
          </w:p>
        </w:tc>
        <w:tc>
          <w:tcPr>
            <w:tcW w:type="dxa" w:w="3005"/>
            <w:shd w:fill="17324D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推荐技术</w:t>
            </w:r>
          </w:p>
        </w:tc>
        <w:tc>
          <w:tcPr>
            <w:tcW w:type="dxa" w:w="4706"/>
            <w:shd w:fill="17324D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理由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前端</w:t>
            </w:r>
          </w:p>
        </w:tc>
        <w:tc>
          <w:tcPr>
            <w:tcW w:type="dxa" w:w="300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React 19 / TypeScript / Vite</w:t>
            </w:r>
          </w:p>
        </w:tc>
        <w:tc>
          <w:tcPr>
            <w:tcW w:type="dxa" w:w="470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生态成熟、组件与编辑器集成能力强、桌面与 Web 复用。</w:t>
            </w:r>
          </w:p>
        </w:tc>
      </w:tr>
      <w:tr>
        <w:trPr>
          <w:cantSplit/>
        </w:trPr>
        <w:tc>
          <w:tcPr>
            <w:tcW w:type="dxa" w:w="1814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状态与请求</w:t>
            </w:r>
          </w:p>
        </w:tc>
        <w:tc>
          <w:tcPr>
            <w:tcW w:type="dxa" w:w="3005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TanStack Query + Zustand</w:t>
            </w:r>
          </w:p>
        </w:tc>
        <w:tc>
          <w:tcPr>
            <w:tcW w:type="dxa" w:w="4706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服务端状态与本地交互状态分离，避免单一全局 Store 膨胀。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UI</w:t>
            </w:r>
          </w:p>
        </w:tc>
        <w:tc>
          <w:tcPr>
            <w:tcW w:type="dxa" w:w="300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Radix UI / shadcn 风格组件 + Tailwind CSS</w:t>
            </w:r>
          </w:p>
        </w:tc>
        <w:tc>
          <w:tcPr>
            <w:tcW w:type="dxa" w:w="470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无障碍基础好、可定制、适合开发者工具。</w:t>
            </w:r>
          </w:p>
        </w:tc>
      </w:tr>
      <w:tr>
        <w:trPr>
          <w:cantSplit/>
        </w:trPr>
        <w:tc>
          <w:tcPr>
            <w:tcW w:type="dxa" w:w="1814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编辑器</w:t>
            </w:r>
          </w:p>
        </w:tc>
        <w:tc>
          <w:tcPr>
            <w:tcW w:type="dxa" w:w="3005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Monaco Editor</w:t>
            </w:r>
          </w:p>
        </w:tc>
        <w:tc>
          <w:tcPr>
            <w:tcW w:type="dxa" w:w="4706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请求正文、脚本、SQL、Proto、JSON/XML 编辑。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终端/日志</w:t>
            </w:r>
          </w:p>
        </w:tc>
        <w:tc>
          <w:tcPr>
            <w:tcW w:type="dxa" w:w="300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xterm.js + 虚拟列表</w:t>
            </w:r>
          </w:p>
        </w:tc>
        <w:tc>
          <w:tcPr>
            <w:tcW w:type="dxa" w:w="470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实时日志、长消息和命令输出。</w:t>
            </w:r>
          </w:p>
        </w:tc>
      </w:tr>
      <w:tr>
        <w:trPr>
          <w:cantSplit/>
        </w:trPr>
        <w:tc>
          <w:tcPr>
            <w:tcW w:type="dxa" w:w="1814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桌面</w:t>
            </w:r>
          </w:p>
        </w:tc>
        <w:tc>
          <w:tcPr>
            <w:tcW w:type="dxa" w:w="3005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Tauri 2</w:t>
            </w:r>
          </w:p>
        </w:tc>
        <w:tc>
          <w:tcPr>
            <w:tcW w:type="dxa" w:w="4706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跨平台、系统 WebView、Rust 后端、较小安装体积。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协议运行时</w:t>
            </w:r>
          </w:p>
        </w:tc>
        <w:tc>
          <w:tcPr>
            <w:tcW w:type="dxa" w:w="300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Rust stable + Tokio</w:t>
            </w:r>
          </w:p>
        </w:tc>
        <w:tc>
          <w:tcPr>
            <w:tcW w:type="dxa" w:w="470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高并发异步 I/O、内存安全、适合长连接和二进制协议。</w:t>
            </w:r>
          </w:p>
        </w:tc>
      </w:tr>
      <w:tr>
        <w:trPr>
          <w:cantSplit/>
        </w:trPr>
        <w:tc>
          <w:tcPr>
            <w:tcW w:type="dxa" w:w="1814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中间件抽象</w:t>
            </w:r>
          </w:p>
        </w:tc>
        <w:tc>
          <w:tcPr>
            <w:tcW w:type="dxa" w:w="3005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Tower / tower-service</w:t>
            </w:r>
          </w:p>
        </w:tc>
        <w:tc>
          <w:tcPr>
            <w:tcW w:type="dxa" w:w="4706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超时、重试、限流、Tracing 等中间件可组合。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TLS</w:t>
            </w:r>
          </w:p>
        </w:tc>
        <w:tc>
          <w:tcPr>
            <w:tcW w:type="dxa" w:w="300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rustls + native roots</w:t>
            </w:r>
          </w:p>
        </w:tc>
        <w:tc>
          <w:tcPr>
            <w:tcW w:type="dxa" w:w="470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减少平台差异；支持自定义 CA、客户端证书和 TLS 诊断。</w:t>
            </w:r>
          </w:p>
        </w:tc>
      </w:tr>
      <w:tr>
        <w:trPr>
          <w:cantSplit/>
        </w:trPr>
        <w:tc>
          <w:tcPr>
            <w:tcW w:type="dxa" w:w="1814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本地存储</w:t>
            </w:r>
          </w:p>
        </w:tc>
        <w:tc>
          <w:tcPr>
            <w:tcW w:type="dxa" w:w="3005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SQLite + SQLx</w:t>
            </w:r>
          </w:p>
        </w:tc>
        <w:tc>
          <w:tcPr>
            <w:tcW w:type="dxa" w:w="4706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事务、迁移、索引与跨平台一致性。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本地密钥</w:t>
            </w:r>
          </w:p>
        </w:tc>
        <w:tc>
          <w:tcPr>
            <w:tcW w:type="dxa" w:w="300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OS Keychain/Keyring</w:t>
            </w:r>
          </w:p>
        </w:tc>
        <w:tc>
          <w:tcPr>
            <w:tcW w:type="dxa" w:w="470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不在 SQLite/项目文件中保存 Secret 明文。</w:t>
            </w:r>
          </w:p>
        </w:tc>
      </w:tr>
      <w:tr>
        <w:trPr>
          <w:cantSplit/>
        </w:trPr>
        <w:tc>
          <w:tcPr>
            <w:tcW w:type="dxa" w:w="1814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插件</w:t>
            </w:r>
          </w:p>
        </w:tc>
        <w:tc>
          <w:tcPr>
            <w:tcW w:type="dxa" w:w="3005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Wasmtime + WASI Component Model + WIT</w:t>
            </w:r>
          </w:p>
        </w:tc>
        <w:tc>
          <w:tcPr>
            <w:tcW w:type="dxa" w:w="4706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沙箱、可移植、能力化接口和多语言插件。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脚本</w:t>
            </w:r>
          </w:p>
        </w:tc>
        <w:tc>
          <w:tcPr>
            <w:tcW w:type="dxa" w:w="300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QuickJS/QuickJS-NG（候选）</w:t>
            </w:r>
          </w:p>
        </w:tc>
        <w:tc>
          <w:tcPr>
            <w:tcW w:type="dxa" w:w="470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嵌入式、可限制资源；最终需通过安全与性能 PoC。</w:t>
            </w:r>
          </w:p>
        </w:tc>
      </w:tr>
      <w:tr>
        <w:trPr>
          <w:cantSplit/>
        </w:trPr>
        <w:tc>
          <w:tcPr>
            <w:tcW w:type="dxa" w:w="1814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协作后端</w:t>
            </w:r>
          </w:p>
        </w:tc>
        <w:tc>
          <w:tcPr>
            <w:tcW w:type="dxa" w:w="3005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Java 21 + Spring Boot 3</w:t>
            </w:r>
          </w:p>
        </w:tc>
        <w:tc>
          <w:tcPr>
            <w:tcW w:type="dxa" w:w="4706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与团队现有 Java 能力匹配，适合权限、同步、审计和企业集成。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云端数据</w:t>
            </w:r>
          </w:p>
        </w:tc>
        <w:tc>
          <w:tcPr>
            <w:tcW w:type="dxa" w:w="300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PostgreSQL + Redis + MinIO/S3</w:t>
            </w:r>
          </w:p>
        </w:tc>
        <w:tc>
          <w:tcPr>
            <w:tcW w:type="dxa" w:w="470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结构化元数据、缓存/锁、对象产物分层存储。</w:t>
            </w:r>
          </w:p>
        </w:tc>
      </w:tr>
      <w:tr>
        <w:trPr>
          <w:cantSplit/>
        </w:trPr>
        <w:tc>
          <w:tcPr>
            <w:tcW w:type="dxa" w:w="1814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消息系统</w:t>
            </w:r>
          </w:p>
        </w:tc>
        <w:tc>
          <w:tcPr>
            <w:tcW w:type="dxa" w:w="3005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RocketMQ 或 Kafka</w:t>
            </w:r>
          </w:p>
        </w:tc>
        <w:tc>
          <w:tcPr>
            <w:tcW w:type="dxa" w:w="4706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运行任务、审计与异步事件；按部署环境选择。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测试</w:t>
            </w:r>
          </w:p>
        </w:tc>
        <w:tc>
          <w:tcPr>
            <w:tcW w:type="dxa" w:w="300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Vitest / Playwright / cargo nextest / JUnit / Testcontainers</w:t>
            </w:r>
          </w:p>
        </w:tc>
        <w:tc>
          <w:tcPr>
            <w:tcW w:type="dxa" w:w="470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覆盖 UI、协议、跨平台和服务集成。</w:t>
            </w:r>
          </w:p>
        </w:tc>
      </w:tr>
    </w:tbl>
    <w:p>
      <w:pPr>
        <w:spacing w:after="40"/>
      </w:pPr>
    </w:p>
    <w:p>
      <w:pPr>
        <w:pStyle w:val="Heading2"/>
      </w:pPr>
      <w:r>
        <w:t>3.1 不建议方案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  <w:cantSplit/>
        </w:trPr>
        <w:tc>
          <w:tcPr>
            <w:tcW w:type="dxa" w:w="2835"/>
            <w:shd w:fill="17324D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方案</w:t>
            </w:r>
          </w:p>
        </w:tc>
        <w:tc>
          <w:tcPr>
            <w:tcW w:type="dxa" w:w="6690"/>
            <w:shd w:fill="17324D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问题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纯浏览器实现所有协议</w:t>
            </w:r>
          </w:p>
        </w:tc>
        <w:tc>
          <w:tcPr>
            <w:tcW w:type="dxa" w:w="669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浏览器无法直接访问任意 TCP/UDP、串口、数据库和多数 MQ，安全模型也不允许。</w:t>
            </w:r>
          </w:p>
        </w:tc>
      </w:tr>
      <w:tr>
        <w:trPr>
          <w:cantSplit/>
        </w:trPr>
        <w:tc>
          <w:tcPr>
            <w:tcW w:type="dxa" w:w="2835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所有协议全部由 Java 后端执行</w:t>
            </w:r>
          </w:p>
        </w:tc>
        <w:tc>
          <w:tcPr>
            <w:tcW w:type="dxa" w:w="6690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桌面本地能力和安装体积不理想，长连接与跨平台原生集成成本较高。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核心直接内置所有协议</w:t>
            </w:r>
          </w:p>
        </w:tc>
        <w:tc>
          <w:tcPr>
            <w:tcW w:type="dxa" w:w="669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依赖膨胀、启动变慢、许可证复杂、维护与测试不可控。</w:t>
            </w:r>
          </w:p>
        </w:tc>
      </w:tr>
      <w:tr>
        <w:trPr>
          <w:cantSplit/>
        </w:trPr>
        <w:tc>
          <w:tcPr>
            <w:tcW w:type="dxa" w:w="2835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插件直接加载原生动态库</w:t>
            </w:r>
          </w:p>
        </w:tc>
        <w:tc>
          <w:tcPr>
            <w:tcW w:type="dxa" w:w="6690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崩溃和供应链风险高，跨平台分发困难；仅作为受控高级扩展。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Electron + Node 作为唯一内核</w:t>
            </w:r>
          </w:p>
        </w:tc>
        <w:tc>
          <w:tcPr>
            <w:tcW w:type="dxa" w:w="669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可行但体积与资源占用较高；本项目“轻量”目标下优先 Tauri + Rust。</w:t>
            </w:r>
          </w:p>
        </w:tc>
      </w:tr>
    </w:tbl>
    <w:p>
      <w:pPr>
        <w:spacing w:after="40"/>
      </w:pPr>
    </w:p>
    <w:p>
      <w:pPr>
        <w:pStyle w:val="Heading1"/>
      </w:pPr>
      <w:r>
        <w:t>4 运行拓扑与部署形态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  <w:cantSplit/>
        </w:trPr>
        <w:tc>
          <w:tcPr>
            <w:tcW w:type="dxa" w:w="1701"/>
            <w:shd w:fill="17324D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模式</w:t>
            </w:r>
          </w:p>
        </w:tc>
        <w:tc>
          <w:tcPr>
            <w:tcW w:type="dxa" w:w="2835"/>
            <w:shd w:fill="17324D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调用路径</w:t>
            </w:r>
          </w:p>
        </w:tc>
        <w:tc>
          <w:tcPr>
            <w:tcW w:type="dxa" w:w="2551"/>
            <w:shd w:fill="17324D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数据位置</w:t>
            </w:r>
          </w:p>
        </w:tc>
        <w:tc>
          <w:tcPr>
            <w:tcW w:type="dxa" w:w="2438"/>
            <w:shd w:fill="17324D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适用范围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桌面本地</w:t>
            </w:r>
          </w:p>
        </w:tc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React UI → Tauri Command → Rust Core → Target</w:t>
            </w:r>
          </w:p>
        </w:tc>
        <w:tc>
          <w:tcPr>
            <w:tcW w:type="dxa" w:w="255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本机 SQLite/Keychain；可选同步</w:t>
            </w:r>
          </w:p>
        </w:tc>
        <w:tc>
          <w:tcPr>
            <w:tcW w:type="dxa" w:w="243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完整能力，默认模式。</w:t>
            </w:r>
          </w:p>
        </w:tc>
      </w:tr>
      <w:tr>
        <w:trPr>
          <w:cantSplit/>
        </w:trPr>
        <w:tc>
          <w:tcPr>
            <w:tcW w:type="dxa" w:w="1701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Web 直连</w:t>
            </w:r>
          </w:p>
        </w:tc>
        <w:tc>
          <w:tcPr>
            <w:tcW w:type="dxa" w:w="2835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Browser → Target</w:t>
            </w:r>
          </w:p>
        </w:tc>
        <w:tc>
          <w:tcPr>
            <w:tcW w:type="dxa" w:w="2551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浏览器内存/IndexedDB + 云元数据</w:t>
            </w:r>
          </w:p>
        </w:tc>
        <w:tc>
          <w:tcPr>
            <w:tcW w:type="dxa" w:w="2438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HTTP/WebSocket 等浏览器允许能力。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Web + Agent</w:t>
            </w:r>
          </w:p>
        </w:tc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Browser → localhost Agent → Rust Core → Target</w:t>
            </w:r>
          </w:p>
        </w:tc>
        <w:tc>
          <w:tcPr>
            <w:tcW w:type="dxa" w:w="255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项目可在云端，执行与 Secret 在本机</w:t>
            </w:r>
          </w:p>
        </w:tc>
        <w:tc>
          <w:tcPr>
            <w:tcW w:type="dxa" w:w="243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内网、TCP/UDP、DB、MQ、证书。</w:t>
            </w:r>
          </w:p>
        </w:tc>
      </w:tr>
      <w:tr>
        <w:trPr>
          <w:cantSplit/>
        </w:trPr>
        <w:tc>
          <w:tcPr>
            <w:tcW w:type="dxa" w:w="1701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Web + Cloud Gateway</w:t>
            </w:r>
          </w:p>
        </w:tc>
        <w:tc>
          <w:tcPr>
            <w:tcW w:type="dxa" w:w="2835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Browser → Java API → Runner/Gateway → Target</w:t>
            </w:r>
          </w:p>
        </w:tc>
        <w:tc>
          <w:tcPr>
            <w:tcW w:type="dxa" w:w="2551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云端或私有化环境</w:t>
            </w:r>
          </w:p>
        </w:tc>
        <w:tc>
          <w:tcPr>
            <w:tcW w:type="dxa" w:w="2438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团队定时、CI、共享 Mock、远程网络。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CLI/CI</w:t>
            </w:r>
          </w:p>
        </w:tc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CLI → Rust Core → Target</w:t>
            </w:r>
          </w:p>
        </w:tc>
        <w:tc>
          <w:tcPr>
            <w:tcW w:type="dxa" w:w="255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本地文件或 CI Secret</w:t>
            </w:r>
          </w:p>
        </w:tc>
        <w:tc>
          <w:tcPr>
            <w:tcW w:type="dxa" w:w="243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自动化回归与流水线。</w:t>
            </w:r>
          </w:p>
        </w:tc>
      </w:tr>
    </w:tbl>
    <w:p>
      <w:pPr>
        <w:spacing w:after="40"/>
      </w:pPr>
    </w:p>
    <w:p>
      <w:pPr>
        <w:pStyle w:val="Heading2"/>
      </w:pPr>
      <w:r>
        <w:t>4.1 Local Agent 安全握手</w:t>
      </w:r>
    </w:p>
    <w:p>
      <w:pPr>
        <w:ind w:left="397" w:hanging="255"/>
      </w:pPr>
      <w:r>
        <w:rPr>
          <w:rFonts w:ascii="Noto Sans CJK SC" w:hAnsi="Noto Sans CJK SC" w:eastAsia="Noto Sans CJK SC"/>
          <w:b/>
          <w:color w:val="17324D"/>
          <w:sz w:val="20"/>
        </w:rPr>
        <w:t xml:space="preserve">1.  </w:t>
      </w:r>
      <w:r>
        <w:rPr>
          <w:rFonts w:ascii="Noto Sans CJK SC" w:hAnsi="Noto Sans CJK SC" w:eastAsia="Noto Sans CJK SC"/>
          <w:color w:val="24313F"/>
          <w:sz w:val="20"/>
        </w:rPr>
        <w:t>Agent 只监听 127.0.0.1/::1，默认随机端口。</w:t>
      </w:r>
    </w:p>
    <w:p>
      <w:pPr>
        <w:ind w:left="397" w:hanging="255"/>
      </w:pPr>
      <w:r>
        <w:rPr>
          <w:rFonts w:ascii="Noto Sans CJK SC" w:hAnsi="Noto Sans CJK SC" w:eastAsia="Noto Sans CJK SC"/>
          <w:b/>
          <w:color w:val="17324D"/>
          <w:sz w:val="20"/>
        </w:rPr>
        <w:t xml:space="preserve">2.  </w:t>
      </w:r>
      <w:r>
        <w:rPr>
          <w:rFonts w:ascii="Noto Sans CJK SC" w:hAnsi="Noto Sans CJK SC" w:eastAsia="Noto Sans CJK SC"/>
          <w:color w:val="24313F"/>
          <w:sz w:val="20"/>
        </w:rPr>
        <w:t>首次连接由用户确认配对码，生成短期会话令牌。</w:t>
      </w:r>
    </w:p>
    <w:p>
      <w:pPr>
        <w:ind w:left="397" w:hanging="255"/>
      </w:pPr>
      <w:r>
        <w:rPr>
          <w:rFonts w:ascii="Noto Sans CJK SC" w:hAnsi="Noto Sans CJK SC" w:eastAsia="Noto Sans CJK SC"/>
          <w:b/>
          <w:color w:val="17324D"/>
          <w:sz w:val="20"/>
        </w:rPr>
        <w:t xml:space="preserve">3.  </w:t>
      </w:r>
      <w:r>
        <w:rPr>
          <w:rFonts w:ascii="Noto Sans CJK SC" w:hAnsi="Noto Sans CJK SC" w:eastAsia="Noto Sans CJK SC"/>
          <w:color w:val="24313F"/>
          <w:sz w:val="20"/>
        </w:rPr>
        <w:t>每次请求校验 Origin、Agent 实例 ID、会话令牌和请求时间戳。</w:t>
      </w:r>
    </w:p>
    <w:p>
      <w:pPr>
        <w:ind w:left="397" w:hanging="255"/>
      </w:pPr>
      <w:r>
        <w:rPr>
          <w:rFonts w:ascii="Noto Sans CJK SC" w:hAnsi="Noto Sans CJK SC" w:eastAsia="Noto Sans CJK SC"/>
          <w:b/>
          <w:color w:val="17324D"/>
          <w:sz w:val="20"/>
        </w:rPr>
        <w:t xml:space="preserve">4.  </w:t>
      </w:r>
      <w:r>
        <w:rPr>
          <w:rFonts w:ascii="Noto Sans CJK SC" w:hAnsi="Noto Sans CJK SC" w:eastAsia="Noto Sans CJK SC"/>
          <w:color w:val="24313F"/>
          <w:sz w:val="20"/>
        </w:rPr>
        <w:t>敏感能力（文件、证书、生产写操作、插件权限）可再次弹出确认。</w:t>
      </w:r>
    </w:p>
    <w:p>
      <w:pPr>
        <w:ind w:left="397" w:hanging="255"/>
      </w:pPr>
      <w:r>
        <w:rPr>
          <w:rFonts w:ascii="Noto Sans CJK SC" w:hAnsi="Noto Sans CJK SC" w:eastAsia="Noto Sans CJK SC"/>
          <w:b/>
          <w:color w:val="17324D"/>
          <w:sz w:val="20"/>
        </w:rPr>
        <w:t xml:space="preserve">5.  </w:t>
      </w:r>
      <w:r>
        <w:rPr>
          <w:rFonts w:ascii="Noto Sans CJK SC" w:hAnsi="Noto Sans CJK SC" w:eastAsia="Noto Sans CJK SC"/>
          <w:color w:val="24313F"/>
          <w:sz w:val="20"/>
        </w:rPr>
        <w:t>页面关闭、长时间空闲或 Agent 重启后令牌失效。</w:t>
      </w:r>
    </w:p>
    <w:p>
      <w:pPr>
        <w:pStyle w:val="Heading1"/>
      </w:pPr>
      <w:r>
        <w:t>5 代码仓库与模块边界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F6F8FA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1F2937"/>
                <w:sz w:val="16"/>
              </w:rPr>
              <w:t>repo/</w:t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6"/>
              </w:rPr>
              <w:t>├─ apps/</w:t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6"/>
              </w:rPr>
              <w:t>│  ├─ desktop/                 # Tauri + React</w:t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6"/>
              </w:rPr>
              <w:t>│  ├─ web/                     # Web 工作台</w:t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6"/>
              </w:rPr>
              <w:t>│  ├─ local-agent/             # 本地安全桥</w:t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6"/>
              </w:rPr>
              <w:t>│  ├─ cli/                     # 集合运行器</w:t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6"/>
              </w:rPr>
              <w:t>│  ├─ protocol-gateway/        # 可选云执行网关</w:t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6"/>
              </w:rPr>
              <w:t>│  └─ collaboration-server/    # Java Spring Boot</w:t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6"/>
              </w:rPr>
              <w:t>├─ packages/</w:t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6"/>
              </w:rPr>
              <w:t>│  ├─ ui/                      # 共享 UI 组件</w:t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6"/>
              </w:rPr>
              <w:t>│  ├─ request-model/           # TypeScript DTO / schema</w:t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6"/>
              </w:rPr>
              <w:t>│  ├─ protocol-ui-sdk/         # 协议 UI Schema 与插件 SDK</w:t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6"/>
              </w:rPr>
              <w:t>│  ├─ scripting-sdk/           # 脚本类型定义</w:t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6"/>
              </w:rPr>
              <w:t>│  └─ import-export/           # OpenAPI/Postman/cURL/HAR</w:t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6"/>
              </w:rPr>
              <w:t>├─ crates/</w:t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6"/>
              </w:rPr>
              <w:t>│  ├─ core-domain/</w:t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6"/>
              </w:rPr>
              <w:t>│  ├─ execution-engine/</w:t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6"/>
              </w:rPr>
              <w:t>│  ├─ event-stream/</w:t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6"/>
              </w:rPr>
              <w:t>│  ├─ secret-store/</w:t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6"/>
              </w:rPr>
              <w:t>│  ├─ plugin-runtime/</w:t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6"/>
              </w:rPr>
              <w:t>│  ├─ driver-http/</w:t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6"/>
              </w:rPr>
              <w:t>│  ├─ driver-websocket/</w:t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6"/>
              </w:rPr>
              <w:t>│  ├─ driver-grpc/</w:t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6"/>
              </w:rPr>
              <w:t>│  ├─ driver-tcp-udp/</w:t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6"/>
              </w:rPr>
              <w:t>│  └─ ...</w:t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6"/>
              </w:rPr>
              <w:t>├─ services/</w:t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6"/>
              </w:rPr>
              <w:t>│  ├─ identity-service/</w:t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6"/>
              </w:rPr>
              <w:t>│  ├─ workspace-service/</w:t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6"/>
              </w:rPr>
              <w:t>│  ├─ sync-service/</w:t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6"/>
              </w:rPr>
              <w:t>│  ├─ audit-service/</w:t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6"/>
              </w:rPr>
              <w:t>│  ├─ mock-service/</w:t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6"/>
              </w:rPr>
              <w:t>│  └─ automation-service/</w:t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6"/>
              </w:rPr>
              <w:t>├─ plugins/</w:t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6"/>
              </w:rPr>
              <w:t>│  ├─ examples/</w:t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6"/>
              </w:rPr>
              <w:t>│  └─ sdk/</w:t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6"/>
              </w:rPr>
              <w:t>└─ docs/</w:t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6"/>
              </w:rPr>
              <w:t xml:space="preserve">   ├─ adr/</w:t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6"/>
              </w:rPr>
              <w:t xml:space="preserve">   ├─ protocol-contracts/</w:t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6"/>
              </w:rPr>
              <w:t xml:space="preserve">   └─ security/</w:t>
              <w:br/>
            </w:r>
          </w:p>
        </w:tc>
      </w:tr>
    </w:tbl>
    <w:p>
      <w:pPr>
        <w:spacing w:after="0"/>
      </w:pPr>
    </w:p>
    <w:p>
      <w:pPr>
        <w:pStyle w:val="Heading2"/>
      </w:pPr>
      <w:r>
        <w:t>5.1 依赖规则</w:t>
      </w:r>
    </w:p>
    <w:p>
      <w:pPr>
        <w:pStyle w:val="ListBullet"/>
        <w:ind w:left="369" w:hanging="142"/>
      </w:pPr>
      <w:r>
        <w:rPr>
          <w:rFonts w:ascii="Noto Sans CJK SC" w:hAnsi="Noto Sans CJK SC" w:eastAsia="Noto Sans CJK SC"/>
          <w:color w:val="24313F"/>
          <w:sz w:val="20"/>
        </w:rPr>
        <w:t>core-domain 不依赖任何具体协议实现。</w:t>
      </w:r>
    </w:p>
    <w:p>
      <w:pPr>
        <w:pStyle w:val="ListBullet"/>
        <w:ind w:left="369" w:hanging="142"/>
      </w:pPr>
      <w:r>
        <w:rPr>
          <w:rFonts w:ascii="Noto Sans CJK SC" w:hAnsi="Noto Sans CJK SC" w:eastAsia="Noto Sans CJK SC"/>
          <w:color w:val="24313F"/>
          <w:sz w:val="20"/>
        </w:rPr>
        <w:t>driver-* 依赖 core-domain 和 execution-spi，不反向依赖 UI。</w:t>
      </w:r>
    </w:p>
    <w:p>
      <w:pPr>
        <w:pStyle w:val="ListBullet"/>
        <w:ind w:left="369" w:hanging="142"/>
      </w:pPr>
      <w:r>
        <w:rPr>
          <w:rFonts w:ascii="Noto Sans CJK SC" w:hAnsi="Noto Sans CJK SC" w:eastAsia="Noto Sans CJK SC"/>
          <w:color w:val="24313F"/>
          <w:sz w:val="20"/>
        </w:rPr>
        <w:t>前端通过生成的 Schema/DTO 与 Command Bus 通信，不直接调用驱动。</w:t>
      </w:r>
    </w:p>
    <w:p>
      <w:pPr>
        <w:pStyle w:val="ListBullet"/>
        <w:ind w:left="369" w:hanging="142"/>
      </w:pPr>
      <w:r>
        <w:rPr>
          <w:rFonts w:ascii="Noto Sans CJK SC" w:hAnsi="Noto Sans CJK SC" w:eastAsia="Noto Sans CJK SC"/>
          <w:color w:val="24313F"/>
          <w:sz w:val="20"/>
        </w:rPr>
        <w:t>Java 服务不参与桌面本地请求的默认执行。</w:t>
      </w:r>
    </w:p>
    <w:p>
      <w:pPr>
        <w:pStyle w:val="ListBullet"/>
        <w:ind w:left="369" w:hanging="142"/>
      </w:pPr>
      <w:r>
        <w:rPr>
          <w:rFonts w:ascii="Noto Sans CJK SC" w:hAnsi="Noto Sans CJK SC" w:eastAsia="Noto Sans CJK SC"/>
          <w:color w:val="24313F"/>
          <w:sz w:val="20"/>
        </w:rPr>
        <w:t>插件 SDK 版本化，核心通过适配层兼容至少一个主版本。</w:t>
      </w:r>
    </w:p>
    <w:p>
      <w:pPr>
        <w:pStyle w:val="Heading1"/>
      </w:pPr>
      <w:r>
        <w:t>6 统一协议内核</w:t>
      </w:r>
    </w:p>
    <w:p>
      <w:pPr>
        <w:pStyle w:val="Heading2"/>
      </w:pPr>
      <w:r>
        <w:t>6.1 标准化请求模型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F6F8FA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1F2937"/>
                <w:sz w:val="16"/>
              </w:rPr>
              <w:t>RequestEnvelope {</w:t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6"/>
              </w:rPr>
              <w:t xml:space="preserve">  id, protocol_id, name,</w:t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6"/>
              </w:rPr>
              <w:t xml:space="preserve">  target, environment_ref,</w:t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6"/>
              </w:rPr>
              <w:t xml:space="preserve">  auth_ref, timeout, retry_policy,</w:t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6"/>
              </w:rPr>
              <w:t xml:space="preserve">  proxy, tls, metadata,</w:t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6"/>
              </w:rPr>
              <w:t xml:space="preserve">  payload: ProtocolPayload,</w:t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6"/>
              </w:rPr>
              <w:t xml:space="preserve">  pre_scripts[], post_scripts[], assertions[]</w:t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6"/>
              </w:rPr>
              <w:t>}</w:t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6"/>
              </w:rPr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6"/>
              </w:rPr>
              <w:t>ExecutionEvent =</w:t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6"/>
              </w:rPr>
              <w:t xml:space="preserve">  StateChanged | Log | Metric | OutboundFrame | InboundFrame |</w:t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6"/>
              </w:rPr>
              <w:t xml:space="preserve">  ResponseMeta | ResponseChunk | Message | AssertionResult |</w:t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6"/>
              </w:rPr>
              <w:t xml:space="preserve">  VariableChanged | Warning | Completed | Failed | Cancelled</w:t>
              <w:br/>
            </w:r>
          </w:p>
        </w:tc>
      </w:tr>
    </w:tbl>
    <w:p>
      <w:pPr>
        <w:spacing w:after="0"/>
      </w:pPr>
    </w:p>
    <w:p>
      <w:pPr>
        <w:pStyle w:val="Heading2"/>
      </w:pPr>
      <w:r>
        <w:t>6.2 Driver 能力模型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F6F8FA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1F2937"/>
                <w:sz w:val="16"/>
              </w:rPr>
              <w:t>#[async_trait]</w:t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6"/>
              </w:rPr>
              <w:t>pub trait ProtocolDriver: Send + Sync {</w:t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6"/>
              </w:rPr>
              <w:t xml:space="preserve">    fn descriptor(&amp;self) -&gt; DriverDescriptor;</w:t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6"/>
              </w:rPr>
              <w:t xml:space="preserve">    fn validate(&amp;self, request: &amp;RequestEnvelope) -&gt; ValidationReport;</w:t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6"/>
              </w:rPr>
              <w:t xml:space="preserve">    async fn execute(</w:t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6"/>
              </w:rPr>
              <w:t xml:space="preserve">        &amp;self,</w:t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6"/>
              </w:rPr>
              <w:t xml:space="preserve">        ctx: ExecutionContext,</w:t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6"/>
              </w:rPr>
              <w:t xml:space="preserve">        request: RequestEnvelope,</w:t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6"/>
              </w:rPr>
              <w:t xml:space="preserve">        events: EventSink,</w:t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6"/>
              </w:rPr>
              <w:t xml:space="preserve">        cancel: CancellationToken,</w:t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6"/>
              </w:rPr>
              <w:t xml:space="preserve">    ) -&gt; Result&lt;ExecutionSummary, DriverError&gt;;</w:t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6"/>
              </w:rPr>
              <w:t>}</w:t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6"/>
              </w:rPr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6"/>
              </w:rPr>
              <w:t>DriverDescriptor {</w:t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6"/>
              </w:rPr>
              <w:t xml:space="preserve">  protocol_id, version,</w:t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6"/>
              </w:rPr>
              <w:t xml:space="preserve">  capabilities: [streaming, connection_reuse, binary, tls, proxy, ...],</w:t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6"/>
              </w:rPr>
              <w:t xml:space="preserve">  request_schema, response_renderers, secret_fields,</w:t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6"/>
              </w:rPr>
              <w:t xml:space="preserve">  importers, exporters</w:t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6"/>
              </w:rPr>
              <w:t>}</w:t>
              <w:br/>
            </w:r>
          </w:p>
        </w:tc>
      </w:tr>
    </w:tbl>
    <w:p>
      <w:pPr>
        <w:spacing w:after="0"/>
      </w:pPr>
    </w:p>
    <w:p>
      <w:pPr>
        <w:pStyle w:val="Heading2"/>
      </w:pPr>
      <w:r>
        <w:t>6.3 执行管线</w:t>
      </w:r>
    </w:p>
    <w:p>
      <w:pPr>
        <w:ind w:left="397" w:hanging="255"/>
      </w:pPr>
      <w:r>
        <w:rPr>
          <w:rFonts w:ascii="Noto Sans CJK SC" w:hAnsi="Noto Sans CJK SC" w:eastAsia="Noto Sans CJK SC"/>
          <w:b/>
          <w:color w:val="17324D"/>
          <w:sz w:val="20"/>
        </w:rPr>
        <w:t xml:space="preserve">1.  </w:t>
      </w:r>
      <w:r>
        <w:rPr>
          <w:rFonts w:ascii="Noto Sans CJK SC" w:hAnsi="Noto Sans CJK SC" w:eastAsia="Noto Sans CJK SC"/>
          <w:color w:val="24313F"/>
          <w:sz w:val="20"/>
        </w:rPr>
        <w:t>Schema 校验与必填项检查。</w:t>
      </w:r>
    </w:p>
    <w:p>
      <w:pPr>
        <w:ind w:left="397" w:hanging="255"/>
      </w:pPr>
      <w:r>
        <w:rPr>
          <w:rFonts w:ascii="Noto Sans CJK SC" w:hAnsi="Noto Sans CJK SC" w:eastAsia="Noto Sans CJK SC"/>
          <w:b/>
          <w:color w:val="17324D"/>
          <w:sz w:val="20"/>
        </w:rPr>
        <w:t xml:space="preserve">2.  </w:t>
      </w:r>
      <w:r>
        <w:rPr>
          <w:rFonts w:ascii="Noto Sans CJK SC" w:hAnsi="Noto Sans CJK SC" w:eastAsia="Noto Sans CJK SC"/>
          <w:color w:val="24313F"/>
          <w:sz w:val="20"/>
        </w:rPr>
        <w:t>解析变量、动态值和 Secret 引用。</w:t>
      </w:r>
    </w:p>
    <w:p>
      <w:pPr>
        <w:ind w:left="397" w:hanging="255"/>
      </w:pPr>
      <w:r>
        <w:rPr>
          <w:rFonts w:ascii="Noto Sans CJK SC" w:hAnsi="Noto Sans CJK SC" w:eastAsia="Noto Sans CJK SC"/>
          <w:b/>
          <w:color w:val="17324D"/>
          <w:sz w:val="20"/>
        </w:rPr>
        <w:t xml:space="preserve">3.  </w:t>
      </w:r>
      <w:r>
        <w:rPr>
          <w:rFonts w:ascii="Noto Sans CJK SC" w:hAnsi="Noto Sans CJK SC" w:eastAsia="Noto Sans CJK SC"/>
          <w:color w:val="24313F"/>
          <w:sz w:val="20"/>
        </w:rPr>
        <w:t>执行前置脚本；限制 CPU、内存、时间和能力。</w:t>
      </w:r>
    </w:p>
    <w:p>
      <w:pPr>
        <w:ind w:left="397" w:hanging="255"/>
      </w:pPr>
      <w:r>
        <w:rPr>
          <w:rFonts w:ascii="Noto Sans CJK SC" w:hAnsi="Noto Sans CJK SC" w:eastAsia="Noto Sans CJK SC"/>
          <w:b/>
          <w:color w:val="17324D"/>
          <w:sz w:val="20"/>
        </w:rPr>
        <w:t xml:space="preserve">4.  </w:t>
      </w:r>
      <w:r>
        <w:rPr>
          <w:rFonts w:ascii="Noto Sans CJK SC" w:hAnsi="Noto Sans CJK SC" w:eastAsia="Noto Sans CJK SC"/>
          <w:color w:val="24313F"/>
          <w:sz w:val="20"/>
        </w:rPr>
        <w:t>应用认证、签名、代理、TLS 和协议编码。</w:t>
      </w:r>
    </w:p>
    <w:p>
      <w:pPr>
        <w:ind w:left="397" w:hanging="255"/>
      </w:pPr>
      <w:r>
        <w:rPr>
          <w:rFonts w:ascii="Noto Sans CJK SC" w:hAnsi="Noto Sans CJK SC" w:eastAsia="Noto Sans CJK SC"/>
          <w:b/>
          <w:color w:val="17324D"/>
          <w:sz w:val="20"/>
        </w:rPr>
        <w:t xml:space="preserve">5.  </w:t>
      </w:r>
      <w:r>
        <w:rPr>
          <w:rFonts w:ascii="Noto Sans CJK SC" w:hAnsi="Noto Sans CJK SC" w:eastAsia="Noto Sans CJK SC"/>
          <w:color w:val="24313F"/>
          <w:sz w:val="20"/>
        </w:rPr>
        <w:t>通过 Driver 执行并持续发布 ExecutionEvent。</w:t>
      </w:r>
    </w:p>
    <w:p>
      <w:pPr>
        <w:ind w:left="397" w:hanging="255"/>
      </w:pPr>
      <w:r>
        <w:rPr>
          <w:rFonts w:ascii="Noto Sans CJK SC" w:hAnsi="Noto Sans CJK SC" w:eastAsia="Noto Sans CJK SC"/>
          <w:b/>
          <w:color w:val="17324D"/>
          <w:sz w:val="20"/>
        </w:rPr>
        <w:t xml:space="preserve">6.  </w:t>
      </w:r>
      <w:r>
        <w:rPr>
          <w:rFonts w:ascii="Noto Sans CJK SC" w:hAnsi="Noto Sans CJK SC" w:eastAsia="Noto Sans CJK SC"/>
          <w:color w:val="24313F"/>
          <w:sz w:val="20"/>
        </w:rPr>
        <w:t>应用超时、重试、限流、取消和资源预算。</w:t>
      </w:r>
    </w:p>
    <w:p>
      <w:pPr>
        <w:ind w:left="397" w:hanging="255"/>
      </w:pPr>
      <w:r>
        <w:rPr>
          <w:rFonts w:ascii="Noto Sans CJK SC" w:hAnsi="Noto Sans CJK SC" w:eastAsia="Noto Sans CJK SC"/>
          <w:b/>
          <w:color w:val="17324D"/>
          <w:sz w:val="20"/>
        </w:rPr>
        <w:t xml:space="preserve">7.  </w:t>
      </w:r>
      <w:r>
        <w:rPr>
          <w:rFonts w:ascii="Noto Sans CJK SC" w:hAnsi="Noto Sans CJK SC" w:eastAsia="Noto Sans CJK SC"/>
          <w:color w:val="24313F"/>
          <w:sz w:val="20"/>
        </w:rPr>
        <w:t>执行后置脚本和断言，生成摘要。</w:t>
      </w:r>
    </w:p>
    <w:p>
      <w:pPr>
        <w:ind w:left="397" w:hanging="255"/>
      </w:pPr>
      <w:r>
        <w:rPr>
          <w:rFonts w:ascii="Noto Sans CJK SC" w:hAnsi="Noto Sans CJK SC" w:eastAsia="Noto Sans CJK SC"/>
          <w:b/>
          <w:color w:val="17324D"/>
          <w:sz w:val="20"/>
        </w:rPr>
        <w:t xml:space="preserve">8.  </w:t>
      </w:r>
      <w:r>
        <w:rPr>
          <w:rFonts w:ascii="Noto Sans CJK SC" w:hAnsi="Noto Sans CJK SC" w:eastAsia="Noto Sans CJK SC"/>
          <w:color w:val="24313F"/>
          <w:sz w:val="20"/>
        </w:rPr>
        <w:t>脱敏后写入历史、报告与可选云同步。</w:t>
      </w:r>
    </w:p>
    <w:p>
      <w:pPr>
        <w:pStyle w:val="Heading2"/>
      </w:pPr>
      <w:r>
        <w:t>6.4 错误模型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  <w:cantSplit/>
        </w:trPr>
        <w:tc>
          <w:tcPr>
            <w:tcW w:type="dxa" w:w="1701"/>
            <w:shd w:fill="17324D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错误类别</w:t>
            </w:r>
          </w:p>
        </w:tc>
        <w:tc>
          <w:tcPr>
            <w:tcW w:type="dxa" w:w="3402"/>
            <w:shd w:fill="17324D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示例</w:t>
            </w:r>
          </w:p>
        </w:tc>
        <w:tc>
          <w:tcPr>
            <w:tcW w:type="dxa" w:w="4422"/>
            <w:shd w:fill="17324D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统一字段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Validation</w:t>
            </w:r>
          </w:p>
        </w:tc>
        <w:tc>
          <w:tcPr>
            <w:tcW w:type="dxa" w:w="340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URL/Topic/Proto/SQL 参数无效</w:t>
            </w:r>
          </w:p>
        </w:tc>
        <w:tc>
          <w:tcPr>
            <w:tcW w:type="dxa" w:w="442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code、field_path、message、suggestion。</w:t>
            </w:r>
          </w:p>
        </w:tc>
      </w:tr>
      <w:tr>
        <w:trPr>
          <w:cantSplit/>
        </w:trPr>
        <w:tc>
          <w:tcPr>
            <w:tcW w:type="dxa" w:w="1701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Resolution</w:t>
            </w:r>
          </w:p>
        </w:tc>
        <w:tc>
          <w:tcPr>
            <w:tcW w:type="dxa" w:w="3402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变量不存在、Secret 不可用</w:t>
            </w:r>
          </w:p>
        </w:tc>
        <w:tc>
          <w:tcPr>
            <w:tcW w:type="dxa" w:w="4422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scope、reference、recoverable。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Connection</w:t>
            </w:r>
          </w:p>
        </w:tc>
        <w:tc>
          <w:tcPr>
            <w:tcW w:type="dxa" w:w="340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DNS、拒绝、超时、代理失败</w:t>
            </w:r>
          </w:p>
        </w:tc>
        <w:tc>
          <w:tcPr>
            <w:tcW w:type="dxa" w:w="442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phase、endpoint、os_error。</w:t>
            </w:r>
          </w:p>
        </w:tc>
      </w:tr>
      <w:tr>
        <w:trPr>
          <w:cantSplit/>
        </w:trPr>
        <w:tc>
          <w:tcPr>
            <w:tcW w:type="dxa" w:w="1701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TLS</w:t>
            </w:r>
          </w:p>
        </w:tc>
        <w:tc>
          <w:tcPr>
            <w:tcW w:type="dxa" w:w="3402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证书链、域名、协议版本、客户端证书</w:t>
            </w:r>
          </w:p>
        </w:tc>
        <w:tc>
          <w:tcPr>
            <w:tcW w:type="dxa" w:w="4422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certificate_summary、diagnostic。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Protocol</w:t>
            </w:r>
          </w:p>
        </w:tc>
        <w:tc>
          <w:tcPr>
            <w:tcW w:type="dxa" w:w="340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解码失败、非法帧、服务端状态</w:t>
            </w:r>
          </w:p>
        </w:tc>
        <w:tc>
          <w:tcPr>
            <w:tcW w:type="dxa" w:w="442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protocol_code、raw_excerpt。</w:t>
            </w:r>
          </w:p>
        </w:tc>
      </w:tr>
      <w:tr>
        <w:trPr>
          <w:cantSplit/>
        </w:trPr>
        <w:tc>
          <w:tcPr>
            <w:tcW w:type="dxa" w:w="1701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Script/Assertion</w:t>
            </w:r>
          </w:p>
        </w:tc>
        <w:tc>
          <w:tcPr>
            <w:tcW w:type="dxa" w:w="3402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超时、异常、断言失败</w:t>
            </w:r>
          </w:p>
        </w:tc>
        <w:tc>
          <w:tcPr>
            <w:tcW w:type="dxa" w:w="4422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script_id、line、expected、actual。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Permission</w:t>
            </w:r>
          </w:p>
        </w:tc>
        <w:tc>
          <w:tcPr>
            <w:tcW w:type="dxa" w:w="340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插件/Agent/组织策略拒绝</w:t>
            </w:r>
          </w:p>
        </w:tc>
        <w:tc>
          <w:tcPr>
            <w:tcW w:type="dxa" w:w="442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capability、policy_id。</w:t>
            </w:r>
          </w:p>
        </w:tc>
      </w:tr>
      <w:tr>
        <w:trPr>
          <w:cantSplit/>
        </w:trPr>
        <w:tc>
          <w:tcPr>
            <w:tcW w:type="dxa" w:w="1701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Resource</w:t>
            </w:r>
          </w:p>
        </w:tc>
        <w:tc>
          <w:tcPr>
            <w:tcW w:type="dxa" w:w="3402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内存、磁盘、消息数量达到预算</w:t>
            </w:r>
          </w:p>
        </w:tc>
        <w:tc>
          <w:tcPr>
            <w:tcW w:type="dxa" w:w="4422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limit、observed、truncated。</w:t>
            </w:r>
          </w:p>
        </w:tc>
      </w:tr>
    </w:tbl>
    <w:p>
      <w:pPr>
        <w:spacing w:after="40"/>
      </w:pPr>
    </w:p>
    <w:p>
      <w:pPr>
        <w:pStyle w:val="Heading2"/>
      </w:pPr>
      <w:r>
        <w:t>6.5 流式与背压</w:t>
      </w:r>
    </w:p>
    <w:p>
      <w:pPr>
        <w:pStyle w:val="ListBullet"/>
        <w:ind w:left="369" w:hanging="142"/>
      </w:pPr>
      <w:r>
        <w:rPr>
          <w:rFonts w:ascii="Noto Sans CJK SC" w:hAnsi="Noto Sans CJK SC" w:eastAsia="Noto Sans CJK SC"/>
          <w:color w:val="24313F"/>
          <w:sz w:val="20"/>
        </w:rPr>
        <w:t>Driver 不直接更新 UI，只向有界 EventSink 写事件。</w:t>
      </w:r>
    </w:p>
    <w:p>
      <w:pPr>
        <w:pStyle w:val="ListBullet"/>
        <w:ind w:left="369" w:hanging="142"/>
      </w:pPr>
      <w:r>
        <w:rPr>
          <w:rFonts w:ascii="Noto Sans CJK SC" w:hAnsi="Noto Sans CJK SC" w:eastAsia="Noto Sans CJK SC"/>
          <w:color w:val="24313F"/>
          <w:sz w:val="20"/>
        </w:rPr>
        <w:t>大响应分块写入临时文件或分段存储，UI 按需读取。</w:t>
      </w:r>
    </w:p>
    <w:p>
      <w:pPr>
        <w:pStyle w:val="ListBullet"/>
        <w:ind w:left="369" w:hanging="142"/>
      </w:pPr>
      <w:r>
        <w:rPr>
          <w:rFonts w:ascii="Noto Sans CJK SC" w:hAnsi="Noto Sans CJK SC" w:eastAsia="Noto Sans CJK SC"/>
          <w:color w:val="24313F"/>
          <w:sz w:val="20"/>
        </w:rPr>
        <w:t>消息速率过高时采用批量事件、采样或磁盘滚动，必须显示丢弃/采样计数。</w:t>
      </w:r>
    </w:p>
    <w:p>
      <w:pPr>
        <w:pStyle w:val="ListBullet"/>
        <w:ind w:left="369" w:hanging="142"/>
      </w:pPr>
      <w:r>
        <w:rPr>
          <w:rFonts w:ascii="Noto Sans CJK SC" w:hAnsi="Noto Sans CJK SC" w:eastAsia="Noto Sans CJK SC"/>
          <w:color w:val="24313F"/>
          <w:sz w:val="20"/>
        </w:rPr>
        <w:t>取消信号向连接、脚本、插件和后处理传播，确保资源及时释放。</w:t>
      </w:r>
    </w:p>
    <w:p>
      <w:pPr>
        <w:pStyle w:val="ListBullet"/>
        <w:ind w:left="369" w:hanging="142"/>
      </w:pPr>
      <w:r>
        <w:rPr>
          <w:rFonts w:ascii="Noto Sans CJK SC" w:hAnsi="Noto Sans CJK SC" w:eastAsia="Noto Sans CJK SC"/>
          <w:color w:val="24313F"/>
          <w:sz w:val="20"/>
        </w:rPr>
        <w:t>连接池按项目和连接配置隔离，生产环境可禁用复用。</w:t>
      </w:r>
    </w:p>
    <w:p>
      <w:pPr>
        <w:pStyle w:val="Heading1"/>
      </w:pPr>
      <w:r>
        <w:t>7 协议驱动实施方案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  <w:cantSplit/>
        </w:trPr>
        <w:tc>
          <w:tcPr>
            <w:tcW w:type="dxa" w:w="1701"/>
            <w:shd w:fill="17324D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协议</w:t>
            </w:r>
          </w:p>
        </w:tc>
        <w:tc>
          <w:tcPr>
            <w:tcW w:type="dxa" w:w="2551"/>
            <w:shd w:fill="17324D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候选实现</w:t>
            </w:r>
          </w:p>
        </w:tc>
        <w:tc>
          <w:tcPr>
            <w:tcW w:type="dxa" w:w="5272"/>
            <w:shd w:fill="17324D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关键关注点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HTTP/HTTPS</w:t>
            </w:r>
          </w:p>
        </w:tc>
        <w:tc>
          <w:tcPr>
            <w:tcW w:type="dxa" w:w="255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reqwest/hyper + rustls</w:t>
            </w:r>
          </w:p>
        </w:tc>
        <w:tc>
          <w:tcPr>
            <w:tcW w:type="dxa" w:w="52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连接池、重定向、代理、Cookie、multipart、压缩、流式、HTTP/2；HTTP/3 后续评估。</w:t>
            </w:r>
          </w:p>
        </w:tc>
      </w:tr>
      <w:tr>
        <w:trPr>
          <w:cantSplit/>
        </w:trPr>
        <w:tc>
          <w:tcPr>
            <w:tcW w:type="dxa" w:w="1701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WebSocket</w:t>
            </w:r>
          </w:p>
        </w:tc>
        <w:tc>
          <w:tcPr>
            <w:tcW w:type="dxa" w:w="2551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tokio-tungstenite</w:t>
            </w:r>
          </w:p>
        </w:tc>
        <w:tc>
          <w:tcPr>
            <w:tcW w:type="dxa" w:w="5272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握手、子协议、文本/二进制、Ping/Pong、帧时间线、重连。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SSE</w:t>
            </w:r>
          </w:p>
        </w:tc>
        <w:tc>
          <w:tcPr>
            <w:tcW w:type="dxa" w:w="255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HTTP 流解析器</w:t>
            </w:r>
          </w:p>
        </w:tc>
        <w:tc>
          <w:tcPr>
            <w:tcW w:type="dxa" w:w="52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event/id/retry/data；断线重连和 Last-Event-ID。</w:t>
            </w:r>
          </w:p>
        </w:tc>
      </w:tr>
      <w:tr>
        <w:trPr>
          <w:cantSplit/>
        </w:trPr>
        <w:tc>
          <w:tcPr>
            <w:tcW w:type="dxa" w:w="1701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GraphQL</w:t>
            </w:r>
          </w:p>
        </w:tc>
        <w:tc>
          <w:tcPr>
            <w:tcW w:type="dxa" w:w="2551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HTTP + WebSocket 协议适配</w:t>
            </w:r>
          </w:p>
        </w:tc>
        <w:tc>
          <w:tcPr>
            <w:tcW w:type="dxa" w:w="5272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Schema、Variables、Introspection、graphql-transport-ws。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gRPC</w:t>
            </w:r>
          </w:p>
        </w:tc>
        <w:tc>
          <w:tcPr>
            <w:tcW w:type="dxa" w:w="255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tonic/prost</w:t>
            </w:r>
          </w:p>
        </w:tc>
        <w:tc>
          <w:tcPr>
            <w:tcW w:type="dxa" w:w="52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Proto 编译缓存、反射、四类流、Metadata、压缩、TLS。</w:t>
            </w:r>
          </w:p>
        </w:tc>
      </w:tr>
      <w:tr>
        <w:trPr>
          <w:cantSplit/>
        </w:trPr>
        <w:tc>
          <w:tcPr>
            <w:tcW w:type="dxa" w:w="1701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TCP/UDP</w:t>
            </w:r>
          </w:p>
        </w:tc>
        <w:tc>
          <w:tcPr>
            <w:tcW w:type="dxa" w:w="2551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tokio::net</w:t>
            </w:r>
          </w:p>
        </w:tc>
        <w:tc>
          <w:tcPr>
            <w:tcW w:type="dxa" w:w="5272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文本/二进制、编码、分帧器、TLS、心跳、定时发送、组播后置。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MQTT</w:t>
            </w:r>
          </w:p>
        </w:tc>
        <w:tc>
          <w:tcPr>
            <w:tcW w:type="dxa" w:w="255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rumqttc</w:t>
            </w:r>
          </w:p>
        </w:tc>
        <w:tc>
          <w:tcPr>
            <w:tcW w:type="dxa" w:w="52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QoS、KeepAlive、订阅、Retain、Session、TLS。</w:t>
            </w:r>
          </w:p>
        </w:tc>
      </w:tr>
      <w:tr>
        <w:trPr>
          <w:cantSplit/>
        </w:trPr>
        <w:tc>
          <w:tcPr>
            <w:tcW w:type="dxa" w:w="1701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AMQP</w:t>
            </w:r>
          </w:p>
        </w:tc>
        <w:tc>
          <w:tcPr>
            <w:tcW w:type="dxa" w:w="2551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lapin</w:t>
            </w:r>
          </w:p>
        </w:tc>
        <w:tc>
          <w:tcPr>
            <w:tcW w:type="dxa" w:w="5272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Exchange/Queue/Binding、Confirm、Ack/Nack、消费。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Kafka</w:t>
            </w:r>
          </w:p>
        </w:tc>
        <w:tc>
          <w:tcPr>
            <w:tcW w:type="dxa" w:w="255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rdkafka</w:t>
            </w:r>
          </w:p>
        </w:tc>
        <w:tc>
          <w:tcPr>
            <w:tcW w:type="dxa" w:w="52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Producer/Consumer、SASL/TLS、分区、Offset、Header、Schema 插件后置。</w:t>
            </w:r>
          </w:p>
        </w:tc>
      </w:tr>
      <w:tr>
        <w:trPr>
          <w:cantSplit/>
        </w:trPr>
        <w:tc>
          <w:tcPr>
            <w:tcW w:type="dxa" w:w="1701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Redis</w:t>
            </w:r>
          </w:p>
        </w:tc>
        <w:tc>
          <w:tcPr>
            <w:tcW w:type="dxa" w:w="2551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redis-rs</w:t>
            </w:r>
          </w:p>
        </w:tc>
        <w:tc>
          <w:tcPr>
            <w:tcW w:type="dxa" w:w="5272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Standalone/Sentinel/Cluster、Pub/Sub、Stream、Pipeline。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SQL</w:t>
            </w:r>
          </w:p>
        </w:tc>
        <w:tc>
          <w:tcPr>
            <w:tcW w:type="dxa" w:w="255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SQLx + 必要的原生驱动</w:t>
            </w:r>
          </w:p>
        </w:tc>
        <w:tc>
          <w:tcPr>
            <w:tcW w:type="dxa" w:w="52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连接池、参数化、事务、结果分页、只读保护。</w:t>
            </w:r>
          </w:p>
        </w:tc>
      </w:tr>
      <w:tr>
        <w:trPr>
          <w:cantSplit/>
        </w:trPr>
        <w:tc>
          <w:tcPr>
            <w:tcW w:type="dxa" w:w="1701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Dubbo</w:t>
            </w:r>
          </w:p>
        </w:tc>
        <w:tc>
          <w:tcPr>
            <w:tcW w:type="dxa" w:w="2551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dubbo-rust 或 Java Sidecar</w:t>
            </w:r>
          </w:p>
        </w:tc>
        <w:tc>
          <w:tcPr>
            <w:tcW w:type="dxa" w:w="5272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优先泛化调用；注册中心与多序列化需 PoC。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Thrift</w:t>
            </w:r>
          </w:p>
        </w:tc>
        <w:tc>
          <w:tcPr>
            <w:tcW w:type="dxa" w:w="255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官方/成熟 Rust 实现</w:t>
            </w:r>
          </w:p>
        </w:tc>
        <w:tc>
          <w:tcPr>
            <w:tcW w:type="dxa" w:w="52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IDL 生成、传输与协议配置。</w:t>
            </w:r>
          </w:p>
        </w:tc>
      </w:tr>
      <w:tr>
        <w:trPr>
          <w:cantSplit/>
        </w:trPr>
        <w:tc>
          <w:tcPr>
            <w:tcW w:type="dxa" w:w="1701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IoT/长尾</w:t>
            </w:r>
          </w:p>
        </w:tc>
        <w:tc>
          <w:tcPr>
            <w:tcW w:type="dxa" w:w="2551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WASM 插件或受控 Sidecar</w:t>
            </w:r>
          </w:p>
        </w:tc>
        <w:tc>
          <w:tcPr>
            <w:tcW w:type="dxa" w:w="5272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CoAP、Modbus、串口及私有协议按插件交付。</w:t>
            </w:r>
          </w:p>
        </w:tc>
      </w:tr>
    </w:tbl>
    <w:p>
      <w:pPr>
        <w:spacing w:after="40"/>
      </w:pPr>
    </w:p>
    <w:p>
      <w:pPr>
        <w:pStyle w:val="Heading2"/>
      </w:pPr>
      <w:r>
        <w:t>7.1 分帧器抽象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F6F8FA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1F2937"/>
                <w:sz w:val="16"/>
              </w:rPr>
              <w:t>FrameDecoder modes:</w:t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6"/>
              </w:rPr>
              <w:t>- FixedLength(n)</w:t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6"/>
              </w:rPr>
              <w:t>- Delimiter(bytes)</w:t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6"/>
              </w:rPr>
              <w:t>- LengthField(offset, size, endian, adjustment)</w:t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6"/>
              </w:rPr>
              <w:t>- Regex/TextLine</w:t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6"/>
              </w:rPr>
              <w:t>- CustomPlugin(decoder_id)</w:t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6"/>
              </w:rPr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6"/>
              </w:rPr>
              <w:t>输出：Frame { timestamp, direction, raw_bytes, decoded_fields, warnings }</w:t>
              <w:br/>
            </w:r>
          </w:p>
        </w:tc>
      </w:tr>
    </w:tbl>
    <w:p>
      <w:pPr>
        <w:spacing w:after="0"/>
      </w:pPr>
    </w:p>
    <w:p>
      <w:pPr>
        <w:pStyle w:val="Heading2"/>
      </w:pPr>
      <w:r>
        <w:t>7.2 协议契约测试</w:t>
      </w:r>
    </w:p>
    <w:p>
      <w:pPr>
        <w:pStyle w:val="ListBullet"/>
        <w:ind w:left="369" w:hanging="142"/>
      </w:pPr>
      <w:r>
        <w:rPr>
          <w:rFonts w:ascii="Noto Sans CJK SC" w:hAnsi="Noto Sans CJK SC" w:eastAsia="Noto Sans CJK SC"/>
          <w:color w:val="24313F"/>
          <w:sz w:val="20"/>
        </w:rPr>
        <w:t>每个驱动使用相同测试清单：成功、认证、TLS、超时、取消、重试、代理、错误映射、大响应、并发和资源释放。</w:t>
      </w:r>
    </w:p>
    <w:p>
      <w:pPr>
        <w:pStyle w:val="ListBullet"/>
        <w:ind w:left="369" w:hanging="142"/>
      </w:pPr>
      <w:r>
        <w:rPr>
          <w:rFonts w:ascii="Noto Sans CJK SC" w:hAnsi="Noto Sans CJK SC" w:eastAsia="Noto Sans CJK SC"/>
          <w:color w:val="24313F"/>
          <w:sz w:val="20"/>
        </w:rPr>
        <w:t>测试服务通过 Docker Compose/Testcontainers 启动，版本固定并记录。</w:t>
      </w:r>
    </w:p>
    <w:p>
      <w:pPr>
        <w:pStyle w:val="ListBullet"/>
        <w:ind w:left="369" w:hanging="142"/>
      </w:pPr>
      <w:r>
        <w:rPr>
          <w:rFonts w:ascii="Noto Sans CJK SC" w:hAnsi="Noto Sans CJK SC" w:eastAsia="Noto Sans CJK SC"/>
          <w:color w:val="24313F"/>
          <w:sz w:val="20"/>
        </w:rPr>
        <w:t>协议 Driver 必须提供 capability snapshot，防止升级意外改变功能。</w:t>
      </w:r>
    </w:p>
    <w:p>
      <w:pPr>
        <w:pStyle w:val="Heading1"/>
      </w:pPr>
      <w:r>
        <w:t>8 前端架构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  <w:cantSplit/>
        </w:trPr>
        <w:tc>
          <w:tcPr>
            <w:tcW w:type="dxa" w:w="2381"/>
            <w:shd w:fill="17324D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模块</w:t>
            </w:r>
          </w:p>
        </w:tc>
        <w:tc>
          <w:tcPr>
            <w:tcW w:type="dxa" w:w="7143"/>
            <w:shd w:fill="17324D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职责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App Shell</w:t>
            </w:r>
          </w:p>
        </w:tc>
        <w:tc>
          <w:tcPr>
            <w:tcW w:type="dxa" w:w="714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路由、布局、命令面板、快捷键、主题、国际化。</w:t>
            </w:r>
          </w:p>
        </w:tc>
      </w:tr>
      <w:tr>
        <w:trPr>
          <w:cantSplit/>
        </w:trPr>
        <w:tc>
          <w:tcPr>
            <w:tcW w:type="dxa" w:w="2381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Workspace Explorer</w:t>
            </w:r>
          </w:p>
        </w:tc>
        <w:tc>
          <w:tcPr>
            <w:tcW w:type="dxa" w:w="7143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项目/集合/请求树、搜索、拖拽、版本状态。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Protocol Editor Host</w:t>
            </w:r>
          </w:p>
        </w:tc>
        <w:tc>
          <w:tcPr>
            <w:tcW w:type="dxa" w:w="714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根据 Driver Descriptor 加载协议表单和定制编辑器。</w:t>
            </w:r>
          </w:p>
        </w:tc>
      </w:tr>
      <w:tr>
        <w:trPr>
          <w:cantSplit/>
        </w:trPr>
        <w:tc>
          <w:tcPr>
            <w:tcW w:type="dxa" w:w="2381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Execution Console</w:t>
            </w:r>
          </w:p>
        </w:tc>
        <w:tc>
          <w:tcPr>
            <w:tcW w:type="dxa" w:w="7143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发送、取消、连接状态、事件流、日志、断言和指标。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Variable Inspector</w:t>
            </w:r>
          </w:p>
        </w:tc>
        <w:tc>
          <w:tcPr>
            <w:tcW w:type="dxa" w:w="714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作用域解析、最终值预览、Secret 引用和变更追踪。</w:t>
            </w:r>
          </w:p>
        </w:tc>
      </w:tr>
      <w:tr>
        <w:trPr>
          <w:cantSplit/>
        </w:trPr>
        <w:tc>
          <w:tcPr>
            <w:tcW w:type="dxa" w:w="2381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History/Compare</w:t>
            </w:r>
          </w:p>
        </w:tc>
        <w:tc>
          <w:tcPr>
            <w:tcW w:type="dxa" w:w="7143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历史筛选、重放、结构化差异和最小复现。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Plugin Center</w:t>
            </w:r>
          </w:p>
        </w:tc>
        <w:tc>
          <w:tcPr>
            <w:tcW w:type="dxa" w:w="714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插件安装、权限、升级、兼容性和崩溃状态。</w:t>
            </w:r>
          </w:p>
        </w:tc>
      </w:tr>
      <w:tr>
        <w:trPr>
          <w:cantSplit/>
        </w:trPr>
        <w:tc>
          <w:tcPr>
            <w:tcW w:type="dxa" w:w="2381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Collaboration</w:t>
            </w:r>
          </w:p>
        </w:tc>
        <w:tc>
          <w:tcPr>
            <w:tcW w:type="dxa" w:w="7143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成员、评论、同步状态、冲突和审计入口。</w:t>
            </w:r>
          </w:p>
        </w:tc>
      </w:tr>
    </w:tbl>
    <w:p>
      <w:pPr>
        <w:spacing w:after="40"/>
      </w:pPr>
    </w:p>
    <w:p>
      <w:pPr>
        <w:pStyle w:val="Heading2"/>
      </w:pPr>
      <w:r>
        <w:t>8.1 状态管理边界</w:t>
      </w:r>
    </w:p>
    <w:p>
      <w:pPr>
        <w:pStyle w:val="ListBullet"/>
        <w:ind w:left="369" w:hanging="142"/>
      </w:pPr>
      <w:r>
        <w:rPr>
          <w:rFonts w:ascii="Noto Sans CJK SC" w:hAnsi="Noto Sans CJK SC" w:eastAsia="Noto Sans CJK SC"/>
          <w:color w:val="24313F"/>
          <w:sz w:val="20"/>
        </w:rPr>
        <w:t>TanStack Query 管理服务端/异步数据：项目、同步、插件目录、运行摘要。</w:t>
      </w:r>
    </w:p>
    <w:p>
      <w:pPr>
        <w:pStyle w:val="ListBullet"/>
        <w:ind w:left="369" w:hanging="142"/>
      </w:pPr>
      <w:r>
        <w:rPr>
          <w:rFonts w:ascii="Noto Sans CJK SC" w:hAnsi="Noto Sans CJK SC" w:eastAsia="Noto Sans CJK SC"/>
          <w:color w:val="24313F"/>
          <w:sz w:val="20"/>
        </w:rPr>
        <w:t>Zustand 管理 UI 状态：当前标签页、布局、临时草稿、筛选条件。</w:t>
      </w:r>
    </w:p>
    <w:p>
      <w:pPr>
        <w:pStyle w:val="ListBullet"/>
        <w:ind w:left="369" w:hanging="142"/>
      </w:pPr>
      <w:r>
        <w:rPr>
          <w:rFonts w:ascii="Noto Sans CJK SC" w:hAnsi="Noto Sans CJK SC" w:eastAsia="Noto Sans CJK SC"/>
          <w:color w:val="24313F"/>
          <w:sz w:val="20"/>
        </w:rPr>
        <w:t>请求正文采用文档模型与增量保存，避免每次键入写全局 Store。</w:t>
      </w:r>
    </w:p>
    <w:p>
      <w:pPr>
        <w:pStyle w:val="ListBullet"/>
        <w:ind w:left="369" w:hanging="142"/>
      </w:pPr>
      <w:r>
        <w:rPr>
          <w:rFonts w:ascii="Noto Sans CJK SC" w:hAnsi="Noto Sans CJK SC" w:eastAsia="Noto Sans CJK SC"/>
          <w:color w:val="24313F"/>
          <w:sz w:val="20"/>
        </w:rPr>
        <w:t>执行事件通过专用 Stream Store 进入有界缓冲，长流使用批量更新和虚拟列表。</w:t>
      </w:r>
    </w:p>
    <w:p>
      <w:pPr>
        <w:pStyle w:val="Heading2"/>
      </w:pPr>
      <w:r>
        <w:t>8.2 协议 UI 扩展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EAF2FD"/>
            <w:tcBorders>
              <w:top w:val="single" w:sz="4" w:color="EAF2FD"/>
              <w:left w:val="single" w:sz="18" w:color="246BCE"/>
              <w:bottom w:val="single" w:sz="4" w:color="EAF2FD"/>
              <w:right w:val="single" w:sz="4" w:color="EAF2FD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246BCE"/>
                <w:sz w:val="20"/>
              </w:rPr>
              <w:t xml:space="preserve">扩展策略  </w:t>
            </w:r>
            <w:r>
              <w:rPr>
                <w:rFonts w:ascii="Noto Sans CJK SC" w:hAnsi="Noto Sans CJK SC" w:eastAsia="Noto Sans CJK SC"/>
                <w:color w:val="17324D"/>
                <w:sz w:val="20"/>
              </w:rPr>
              <w:t>首选“JSON Schema/UI Schema + 标准控件”生成协议配置界面；复杂协议可注册受限的前端扩展，但不能直接访问 Tauri 或 Agent 原生能力。</w:t>
            </w:r>
          </w:p>
        </w:tc>
      </w:tr>
    </w:tbl>
    <w:p>
      <w:pPr>
        <w:spacing w:after="0"/>
      </w:pPr>
    </w:p>
    <w:p>
      <w:pPr>
        <w:pStyle w:val="Heading1"/>
      </w:pPr>
      <w:r>
        <w:t>9 桌面端与 Local Agent</w:t>
      </w:r>
    </w:p>
    <w:p>
      <w:pPr>
        <w:pStyle w:val="Heading2"/>
      </w:pPr>
      <w:r>
        <w:t>9.1 Tauri 端职责</w:t>
      </w:r>
    </w:p>
    <w:p>
      <w:pPr>
        <w:pStyle w:val="ListBullet"/>
        <w:ind w:left="369" w:hanging="142"/>
      </w:pPr>
      <w:r>
        <w:rPr>
          <w:rFonts w:ascii="Noto Sans CJK SC" w:hAnsi="Noto Sans CJK SC" w:eastAsia="Noto Sans CJK SC"/>
          <w:color w:val="24313F"/>
          <w:sz w:val="20"/>
        </w:rPr>
        <w:t>窗口、菜单、快捷键、文件选择、系统托盘、通知、自动更新。</w:t>
      </w:r>
    </w:p>
    <w:p>
      <w:pPr>
        <w:pStyle w:val="ListBullet"/>
        <w:ind w:left="369" w:hanging="142"/>
      </w:pPr>
      <w:r>
        <w:rPr>
          <w:rFonts w:ascii="Noto Sans CJK SC" w:hAnsi="Noto Sans CJK SC" w:eastAsia="Noto Sans CJK SC"/>
          <w:color w:val="24313F"/>
          <w:sz w:val="20"/>
        </w:rPr>
        <w:t>将前端 Command 映射到 execution-engine，返回流式事件通道。</w:t>
      </w:r>
    </w:p>
    <w:p>
      <w:pPr>
        <w:pStyle w:val="ListBullet"/>
        <w:ind w:left="369" w:hanging="142"/>
      </w:pPr>
      <w:r>
        <w:rPr>
          <w:rFonts w:ascii="Noto Sans CJK SC" w:hAnsi="Noto Sans CJK SC" w:eastAsia="Noto Sans CJK SC"/>
          <w:color w:val="24313F"/>
          <w:sz w:val="20"/>
        </w:rPr>
        <w:t>通过 Capabilities 限制文件、Shell、剪贴板和网络等原生能力。</w:t>
      </w:r>
    </w:p>
    <w:p>
      <w:pPr>
        <w:pStyle w:val="ListBullet"/>
        <w:ind w:left="369" w:hanging="142"/>
      </w:pPr>
      <w:r>
        <w:rPr>
          <w:rFonts w:ascii="Noto Sans CJK SC" w:hAnsi="Noto Sans CJK SC" w:eastAsia="Noto Sans CJK SC"/>
          <w:color w:val="24313F"/>
          <w:sz w:val="20"/>
        </w:rPr>
        <w:t>崩溃隔离：高风险插件或原生 Sidecar 独立进程运行。</w:t>
      </w:r>
    </w:p>
    <w:p>
      <w:pPr>
        <w:pStyle w:val="Heading2"/>
      </w:pPr>
      <w:r>
        <w:t>9.2 Agent API 草案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F6F8FA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1F2937"/>
                <w:sz w:val="16"/>
              </w:rPr>
              <w:t>POST /v1/pair                 # 发起配对</w:t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6"/>
              </w:rPr>
              <w:t>POST /v1/session              # 换取短期会话</w:t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6"/>
              </w:rPr>
              <w:t>POST /v1/executions           # 创建执行</w:t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6"/>
              </w:rPr>
              <w:t>GET  /v1/executions/{id}/events   # SSE/WebSocket 事件流</w:t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6"/>
              </w:rPr>
              <w:t>POST /v1/executions/{id}/cancel</w:t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6"/>
              </w:rPr>
              <w:t>GET  /v1/capabilities</w:t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6"/>
              </w:rPr>
              <w:t>POST /v1/plugins/{id}/authorize</w:t>
              <w:br/>
            </w:r>
          </w:p>
        </w:tc>
      </w:tr>
    </w:tbl>
    <w:p>
      <w:pPr>
        <w:spacing w:after="0"/>
      </w:pPr>
    </w:p>
    <w:p>
      <w:pPr>
        <w:pStyle w:val="Heading2"/>
      </w:pPr>
      <w:r>
        <w:t>9.3 Agent 防护</w:t>
      </w:r>
    </w:p>
    <w:p>
      <w:pPr>
        <w:pStyle w:val="ListBullet"/>
        <w:ind w:left="369" w:hanging="142"/>
      </w:pPr>
      <w:r>
        <w:rPr>
          <w:rFonts w:ascii="Noto Sans CJK SC" w:hAnsi="Noto Sans CJK SC" w:eastAsia="Noto Sans CJK SC"/>
          <w:color w:val="24313F"/>
          <w:sz w:val="20"/>
        </w:rPr>
        <w:t>仅本机监听，禁止 0.0.0.0 默认暴露。</w:t>
      </w:r>
    </w:p>
    <w:p>
      <w:pPr>
        <w:pStyle w:val="ListBullet"/>
        <w:ind w:left="369" w:hanging="142"/>
      </w:pPr>
      <w:r>
        <w:rPr>
          <w:rFonts w:ascii="Noto Sans CJK SC" w:hAnsi="Noto Sans CJK SC" w:eastAsia="Noto Sans CJK SC"/>
          <w:color w:val="24313F"/>
          <w:sz w:val="20"/>
        </w:rPr>
        <w:t>严格 CORS/Origin 列表，不允许通配符。</w:t>
      </w:r>
    </w:p>
    <w:p>
      <w:pPr>
        <w:pStyle w:val="ListBullet"/>
        <w:ind w:left="369" w:hanging="142"/>
      </w:pPr>
      <w:r>
        <w:rPr>
          <w:rFonts w:ascii="Noto Sans CJK SC" w:hAnsi="Noto Sans CJK SC" w:eastAsia="Noto Sans CJK SC"/>
          <w:color w:val="24313F"/>
          <w:sz w:val="20"/>
        </w:rPr>
        <w:t>请求体大小、执行并发、连接数量和速率限制。</w:t>
      </w:r>
    </w:p>
    <w:p>
      <w:pPr>
        <w:pStyle w:val="ListBullet"/>
        <w:ind w:left="369" w:hanging="142"/>
      </w:pPr>
      <w:r>
        <w:rPr>
          <w:rFonts w:ascii="Noto Sans CJK SC" w:hAnsi="Noto Sans CJK SC" w:eastAsia="Noto Sans CJK SC"/>
          <w:color w:val="24313F"/>
          <w:sz w:val="20"/>
        </w:rPr>
        <w:t>Agent 不返回 Secret 明文，只允许驱动内部使用。</w:t>
      </w:r>
    </w:p>
    <w:p>
      <w:pPr>
        <w:pStyle w:val="ListBullet"/>
        <w:ind w:left="369" w:hanging="142"/>
      </w:pPr>
      <w:r>
        <w:rPr>
          <w:rFonts w:ascii="Noto Sans CJK SC" w:hAnsi="Noto Sans CJK SC" w:eastAsia="Noto Sans CJK SC"/>
          <w:color w:val="24313F"/>
          <w:sz w:val="20"/>
        </w:rPr>
        <w:t>对目标地址执行 SSRF/内网策略检查由组织策略配置；桌面个人模式以显式用户操作为授权。</w:t>
      </w:r>
    </w:p>
    <w:p>
      <w:pPr>
        <w:pStyle w:val="Heading1"/>
      </w:pPr>
      <w:r>
        <w:t>10 云端协作后端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  <w:cantSplit/>
        </w:trPr>
        <w:tc>
          <w:tcPr>
            <w:tcW w:type="dxa" w:w="1701"/>
            <w:shd w:fill="17324D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服务</w:t>
            </w:r>
          </w:p>
        </w:tc>
        <w:tc>
          <w:tcPr>
            <w:tcW w:type="dxa" w:w="4535"/>
            <w:shd w:fill="17324D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主要职责</w:t>
            </w:r>
          </w:p>
        </w:tc>
        <w:tc>
          <w:tcPr>
            <w:tcW w:type="dxa" w:w="3288"/>
            <w:shd w:fill="17324D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存储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Identity</w:t>
            </w:r>
          </w:p>
        </w:tc>
        <w:tc>
          <w:tcPr>
            <w:tcW w:type="dxa" w:w="45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用户、组织、SSO、Token、设备会话</w:t>
            </w:r>
          </w:p>
        </w:tc>
        <w:tc>
          <w:tcPr>
            <w:tcW w:type="dxa" w:w="328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PostgreSQL/Redis。</w:t>
            </w:r>
          </w:p>
        </w:tc>
      </w:tr>
      <w:tr>
        <w:trPr>
          <w:cantSplit/>
        </w:trPr>
        <w:tc>
          <w:tcPr>
            <w:tcW w:type="dxa" w:w="1701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Workspace</w:t>
            </w:r>
          </w:p>
        </w:tc>
        <w:tc>
          <w:tcPr>
            <w:tcW w:type="dxa" w:w="4535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项目、集合、成员、角色、策略</w:t>
            </w:r>
          </w:p>
        </w:tc>
        <w:tc>
          <w:tcPr>
            <w:tcW w:type="dxa" w:w="3288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PostgreSQL。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Sync</w:t>
            </w:r>
          </w:p>
        </w:tc>
        <w:tc>
          <w:tcPr>
            <w:tcW w:type="dxa" w:w="45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增量变更、版本、冲突、离线队列</w:t>
            </w:r>
          </w:p>
        </w:tc>
        <w:tc>
          <w:tcPr>
            <w:tcW w:type="dxa" w:w="328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PostgreSQL + Redis Stream/MQ。</w:t>
            </w:r>
          </w:p>
        </w:tc>
      </w:tr>
      <w:tr>
        <w:trPr>
          <w:cantSplit/>
        </w:trPr>
        <w:tc>
          <w:tcPr>
            <w:tcW w:type="dxa" w:w="1701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Audit</w:t>
            </w:r>
          </w:p>
        </w:tc>
        <w:tc>
          <w:tcPr>
            <w:tcW w:type="dxa" w:w="4535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安全事件、分享、导出、插件和高风险操作</w:t>
            </w:r>
          </w:p>
        </w:tc>
        <w:tc>
          <w:tcPr>
            <w:tcW w:type="dxa" w:w="3288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PostgreSQL/OpenSearch（可选）。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Mock</w:t>
            </w:r>
          </w:p>
        </w:tc>
        <w:tc>
          <w:tcPr>
            <w:tcW w:type="dxa" w:w="45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规则、场景、响应模板、访问日志</w:t>
            </w:r>
          </w:p>
        </w:tc>
        <w:tc>
          <w:tcPr>
            <w:tcW w:type="dxa" w:w="328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PostgreSQL + Redis + 对象存储。</w:t>
            </w:r>
          </w:p>
        </w:tc>
      </w:tr>
      <w:tr>
        <w:trPr>
          <w:cantSplit/>
        </w:trPr>
        <w:tc>
          <w:tcPr>
            <w:tcW w:type="dxa" w:w="1701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Automation</w:t>
            </w:r>
          </w:p>
        </w:tc>
        <w:tc>
          <w:tcPr>
            <w:tcW w:type="dxa" w:w="4535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计划、Runner 调度、报告、通知</w:t>
            </w:r>
          </w:p>
        </w:tc>
        <w:tc>
          <w:tcPr>
            <w:tcW w:type="dxa" w:w="3288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PostgreSQL + MQ + MinIO/S3。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Plugin Registry</w:t>
            </w:r>
          </w:p>
        </w:tc>
        <w:tc>
          <w:tcPr>
            <w:tcW w:type="dxa" w:w="45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插件元数据、签名、兼容性、下载</w:t>
            </w:r>
          </w:p>
        </w:tc>
        <w:tc>
          <w:tcPr>
            <w:tcW w:type="dxa" w:w="328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PostgreSQL + 对象存储。</w:t>
            </w:r>
          </w:p>
        </w:tc>
      </w:tr>
    </w:tbl>
    <w:p>
      <w:pPr>
        <w:spacing w:after="40"/>
      </w:pPr>
    </w:p>
    <w:p>
      <w:pPr>
        <w:pStyle w:val="Heading2"/>
      </w:pPr>
      <w:r>
        <w:t>10.1 Java 技术基线</w:t>
      </w:r>
    </w:p>
    <w:p>
      <w:pPr>
        <w:pStyle w:val="ListBullet"/>
        <w:ind w:left="369" w:hanging="142"/>
      </w:pPr>
      <w:r>
        <w:rPr>
          <w:rFonts w:ascii="Noto Sans CJK SC" w:hAnsi="Noto Sans CJK SC" w:eastAsia="Noto Sans CJK SC"/>
          <w:color w:val="24313F"/>
          <w:sz w:val="20"/>
        </w:rPr>
        <w:t>Java 21、Spring Boot 3.x、Spring Web MVC/WebFlux 按服务需要选择。</w:t>
      </w:r>
    </w:p>
    <w:p>
      <w:pPr>
        <w:pStyle w:val="ListBullet"/>
        <w:ind w:left="369" w:hanging="142"/>
      </w:pPr>
      <w:r>
        <w:rPr>
          <w:rFonts w:ascii="Noto Sans CJK SC" w:hAnsi="Noto Sans CJK SC" w:eastAsia="Noto Sans CJK SC"/>
          <w:color w:val="24313F"/>
          <w:sz w:val="20"/>
        </w:rPr>
        <w:t>MyBatis-Plus 用于常规元数据；复杂同步与审计 SQL 可使用 MyBatis/Jooq。</w:t>
      </w:r>
    </w:p>
    <w:p>
      <w:pPr>
        <w:pStyle w:val="ListBullet"/>
        <w:ind w:left="369" w:hanging="142"/>
      </w:pPr>
      <w:r>
        <w:rPr>
          <w:rFonts w:ascii="Noto Sans CJK SC" w:hAnsi="Noto Sans CJK SC" w:eastAsia="Noto Sans CJK SC"/>
          <w:color w:val="24313F"/>
          <w:sz w:val="20"/>
        </w:rPr>
        <w:t>Spring Cloud Gateway 作为统一入口；Nacos 仅在私有化微服务部署需要时引入。</w:t>
      </w:r>
    </w:p>
    <w:p>
      <w:pPr>
        <w:pStyle w:val="ListBullet"/>
        <w:ind w:left="369" w:hanging="142"/>
      </w:pPr>
      <w:r>
        <w:rPr>
          <w:rFonts w:ascii="Noto Sans CJK SC" w:hAnsi="Noto Sans CJK SC" w:eastAsia="Noto Sans CJK SC"/>
          <w:color w:val="24313F"/>
          <w:sz w:val="20"/>
        </w:rPr>
        <w:t>Redis 用于短期会话、分布式锁、限流和热数据；不可作为权威版本存储。</w:t>
      </w:r>
    </w:p>
    <w:p>
      <w:pPr>
        <w:pStyle w:val="ListBullet"/>
        <w:ind w:left="369" w:hanging="142"/>
      </w:pPr>
      <w:r>
        <w:rPr>
          <w:rFonts w:ascii="Noto Sans CJK SC" w:hAnsi="Noto Sans CJK SC" w:eastAsia="Noto Sans CJK SC"/>
          <w:color w:val="24313F"/>
          <w:sz w:val="20"/>
        </w:rPr>
        <w:t>RocketMQ/Kafka 用于运行任务和审计事件，生产者消息需 Outbox/事务一致性设计。</w:t>
      </w:r>
    </w:p>
    <w:p>
      <w:pPr>
        <w:pStyle w:val="Heading2"/>
      </w:pPr>
      <w:r>
        <w:t>10.2 多租户</w:t>
      </w:r>
    </w:p>
    <w:p>
      <w:pPr>
        <w:pStyle w:val="ListBullet"/>
        <w:ind w:left="369" w:hanging="142"/>
      </w:pPr>
      <w:r>
        <w:rPr>
          <w:rFonts w:ascii="Noto Sans CJK SC" w:hAnsi="Noto Sans CJK SC" w:eastAsia="Noto Sans CJK SC"/>
          <w:color w:val="24313F"/>
          <w:sz w:val="20"/>
        </w:rPr>
        <w:t>所有业务表包含 tenant_id/workspace_id，并建立组合索引。</w:t>
      </w:r>
    </w:p>
    <w:p>
      <w:pPr>
        <w:pStyle w:val="ListBullet"/>
        <w:ind w:left="369" w:hanging="142"/>
      </w:pPr>
      <w:r>
        <w:rPr>
          <w:rFonts w:ascii="Noto Sans CJK SC" w:hAnsi="Noto Sans CJK SC" w:eastAsia="Noto Sans CJK SC"/>
          <w:color w:val="24313F"/>
          <w:sz w:val="20"/>
        </w:rPr>
        <w:t>服务层上下文和数据库访问双重校验租户边界。</w:t>
      </w:r>
    </w:p>
    <w:p>
      <w:pPr>
        <w:pStyle w:val="ListBullet"/>
        <w:ind w:left="369" w:hanging="142"/>
      </w:pPr>
      <w:r>
        <w:rPr>
          <w:rFonts w:ascii="Noto Sans CJK SC" w:hAnsi="Noto Sans CJK SC" w:eastAsia="Noto Sans CJK SC"/>
          <w:color w:val="24313F"/>
          <w:sz w:val="20"/>
        </w:rPr>
        <w:t>对象存储路径按租户隔离，下载使用短期签名 URL。</w:t>
      </w:r>
    </w:p>
    <w:p>
      <w:pPr>
        <w:pStyle w:val="ListBullet"/>
        <w:ind w:left="369" w:hanging="142"/>
      </w:pPr>
      <w:r>
        <w:rPr>
          <w:rFonts w:ascii="Noto Sans CJK SC" w:hAnsi="Noto Sans CJK SC" w:eastAsia="Noto Sans CJK SC"/>
          <w:color w:val="24313F"/>
          <w:sz w:val="20"/>
        </w:rPr>
        <w:t>企业私有化可选择单租户部署或独立数据库。</w:t>
      </w:r>
    </w:p>
    <w:p>
      <w:pPr>
        <w:pStyle w:val="Heading1"/>
      </w:pPr>
      <w:r>
        <w:t>11 数据与同步设计</w:t>
      </w:r>
    </w:p>
    <w:p>
      <w:pPr>
        <w:pStyle w:val="Heading2"/>
      </w:pPr>
      <w:r>
        <w:t>11.1 本地 SQLite 主要表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  <w:cantSplit/>
        </w:trPr>
        <w:tc>
          <w:tcPr>
            <w:tcW w:type="dxa" w:w="2835"/>
            <w:shd w:fill="17324D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表</w:t>
            </w:r>
          </w:p>
        </w:tc>
        <w:tc>
          <w:tcPr>
            <w:tcW w:type="dxa" w:w="6690"/>
            <w:shd w:fill="17324D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用途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workspace/project/collection/request</w:t>
            </w:r>
          </w:p>
        </w:tc>
        <w:tc>
          <w:tcPr>
            <w:tcW w:type="dxa" w:w="669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本地项目结构和请求定义。</w:t>
            </w:r>
          </w:p>
        </w:tc>
      </w:tr>
      <w:tr>
        <w:trPr>
          <w:cantSplit/>
        </w:trPr>
        <w:tc>
          <w:tcPr>
            <w:tcW w:type="dxa" w:w="2835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environment/variable/secret_ref</w:t>
            </w:r>
          </w:p>
        </w:tc>
        <w:tc>
          <w:tcPr>
            <w:tcW w:type="dxa" w:w="6690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环境变量与 Secret 引用；不存明文。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connection_profile</w:t>
            </w:r>
          </w:p>
        </w:tc>
        <w:tc>
          <w:tcPr>
            <w:tcW w:type="dxa" w:w="669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可复用连接配置和证书引用。</w:t>
            </w:r>
          </w:p>
        </w:tc>
      </w:tr>
      <w:tr>
        <w:trPr>
          <w:cantSplit/>
        </w:trPr>
        <w:tc>
          <w:tcPr>
            <w:tcW w:type="dxa" w:w="2835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execution/execution_event</w:t>
            </w:r>
          </w:p>
        </w:tc>
        <w:tc>
          <w:tcPr>
            <w:tcW w:type="dxa" w:w="6690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运行摘要与可索引事件；大正文外置。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blob_index</w:t>
            </w:r>
          </w:p>
        </w:tc>
        <w:tc>
          <w:tcPr>
            <w:tcW w:type="dxa" w:w="669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响应块、附件、报告和缓存文件索引。</w:t>
            </w:r>
          </w:p>
        </w:tc>
      </w:tr>
      <w:tr>
        <w:trPr>
          <w:cantSplit/>
        </w:trPr>
        <w:tc>
          <w:tcPr>
            <w:tcW w:type="dxa" w:w="2835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sync_change/sync_cursor</w:t>
            </w:r>
          </w:p>
        </w:tc>
        <w:tc>
          <w:tcPr>
            <w:tcW w:type="dxa" w:w="6690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离线变更队列、云端游标和冲突状态。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plugin/plugin_permission</w:t>
            </w:r>
          </w:p>
        </w:tc>
        <w:tc>
          <w:tcPr>
            <w:tcW w:type="dxa" w:w="669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插件版本、签名和能力授权。</w:t>
            </w:r>
          </w:p>
        </w:tc>
      </w:tr>
      <w:tr>
        <w:trPr>
          <w:cantSplit/>
        </w:trPr>
        <w:tc>
          <w:tcPr>
            <w:tcW w:type="dxa" w:w="2835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schema_migration</w:t>
            </w:r>
          </w:p>
        </w:tc>
        <w:tc>
          <w:tcPr>
            <w:tcW w:type="dxa" w:w="6690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本地数据库迁移版本。</w:t>
            </w:r>
          </w:p>
        </w:tc>
      </w:tr>
    </w:tbl>
    <w:p>
      <w:pPr>
        <w:spacing w:after="40"/>
      </w:pPr>
    </w:p>
    <w:p>
      <w:pPr>
        <w:pStyle w:val="Heading2"/>
      </w:pPr>
      <w:r>
        <w:t>11.2 大对象策略</w:t>
      </w:r>
    </w:p>
    <w:p>
      <w:pPr>
        <w:pStyle w:val="ListBullet"/>
        <w:ind w:left="369" w:hanging="142"/>
      </w:pPr>
      <w:r>
        <w:rPr>
          <w:rFonts w:ascii="Noto Sans CJK SC" w:hAnsi="Noto Sans CJK SC" w:eastAsia="Noto Sans CJK SC"/>
          <w:color w:val="24313F"/>
          <w:sz w:val="20"/>
        </w:rPr>
        <w:t>请求/响应正文超过阈值后写入内容寻址 Blob 文件，SQLite 只保存摘要、路径和哈希。</w:t>
      </w:r>
    </w:p>
    <w:p>
      <w:pPr>
        <w:pStyle w:val="ListBullet"/>
        <w:ind w:left="369" w:hanging="142"/>
      </w:pPr>
      <w:r>
        <w:rPr>
          <w:rFonts w:ascii="Noto Sans CJK SC" w:hAnsi="Noto Sans CJK SC" w:eastAsia="Noto Sans CJK SC"/>
          <w:color w:val="24313F"/>
          <w:sz w:val="20"/>
        </w:rPr>
        <w:t>流式消息按时间或大小滚动分片；支持最大保留天数和磁盘配额。</w:t>
      </w:r>
    </w:p>
    <w:p>
      <w:pPr>
        <w:pStyle w:val="ListBullet"/>
        <w:ind w:left="369" w:hanging="142"/>
      </w:pPr>
      <w:r>
        <w:rPr>
          <w:rFonts w:ascii="Noto Sans CJK SC" w:hAnsi="Noto Sans CJK SC" w:eastAsia="Noto Sans CJK SC"/>
          <w:color w:val="24313F"/>
          <w:sz w:val="20"/>
        </w:rPr>
        <w:t>用户删除历史时执行引用计数或延迟垃圾回收，避免误删共享 Blob。</w:t>
      </w:r>
    </w:p>
    <w:p>
      <w:pPr>
        <w:pStyle w:val="Heading2"/>
      </w:pPr>
      <w:r>
        <w:t>11.3 同步与冲突</w:t>
      </w:r>
    </w:p>
    <w:p>
      <w:pPr>
        <w:pStyle w:val="ListBullet"/>
        <w:ind w:left="369" w:hanging="142"/>
      </w:pPr>
      <w:r>
        <w:rPr>
          <w:rFonts w:ascii="Noto Sans CJK SC" w:hAnsi="Noto Sans CJK SC" w:eastAsia="Noto Sans CJK SC"/>
          <w:color w:val="24313F"/>
          <w:sz w:val="20"/>
        </w:rPr>
        <w:t>资产采用稳定 UUID 和 revision；客户端提交 base_revision + patch。</w:t>
      </w:r>
    </w:p>
    <w:p>
      <w:pPr>
        <w:pStyle w:val="ListBullet"/>
        <w:ind w:left="369" w:hanging="142"/>
      </w:pPr>
      <w:r>
        <w:rPr>
          <w:rFonts w:ascii="Noto Sans CJK SC" w:hAnsi="Noto Sans CJK SC" w:eastAsia="Noto Sans CJK SC"/>
          <w:color w:val="24313F"/>
          <w:sz w:val="20"/>
        </w:rPr>
        <w:t>普通字段可使用最后写入者 + 字段级差异；树结构移动需专用操作日志。</w:t>
      </w:r>
    </w:p>
    <w:p>
      <w:pPr>
        <w:pStyle w:val="ListBullet"/>
        <w:ind w:left="369" w:hanging="142"/>
      </w:pPr>
      <w:r>
        <w:rPr>
          <w:rFonts w:ascii="Noto Sans CJK SC" w:hAnsi="Noto Sans CJK SC" w:eastAsia="Noto Sans CJK SC"/>
          <w:color w:val="24313F"/>
          <w:sz w:val="20"/>
        </w:rPr>
        <w:t>Secret 仅同步“存在/引用名称/策略”，不上传本地值。</w:t>
      </w:r>
    </w:p>
    <w:p>
      <w:pPr>
        <w:pStyle w:val="ListBullet"/>
        <w:ind w:left="369" w:hanging="142"/>
      </w:pPr>
      <w:r>
        <w:rPr>
          <w:rFonts w:ascii="Noto Sans CJK SC" w:hAnsi="Noto Sans CJK SC" w:eastAsia="Noto Sans CJK SC"/>
          <w:color w:val="24313F"/>
          <w:sz w:val="20"/>
        </w:rPr>
        <w:t>离线编辑进入 sync_change 队列；重连后批量提交并按依赖顺序处理。</w:t>
      </w:r>
    </w:p>
    <w:p>
      <w:pPr>
        <w:pStyle w:val="ListBullet"/>
        <w:ind w:left="369" w:hanging="142"/>
      </w:pPr>
      <w:r>
        <w:rPr>
          <w:rFonts w:ascii="Noto Sans CJK SC" w:hAnsi="Noto Sans CJK SC" w:eastAsia="Noto Sans CJK SC"/>
          <w:color w:val="24313F"/>
          <w:sz w:val="20"/>
        </w:rPr>
        <w:t>冲突不能静默覆盖，必须给用户保留双方版本或自动合并结果。</w:t>
      </w:r>
    </w:p>
    <w:p>
      <w:pPr>
        <w:pStyle w:val="Heading1"/>
      </w:pPr>
      <w:r>
        <w:t>12 插件与脚本体系</w:t>
      </w:r>
    </w:p>
    <w:p>
      <w:pPr>
        <w:pStyle w:val="Heading2"/>
      </w:pPr>
      <w:r>
        <w:t>12.1 插件类型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  <w:cantSplit/>
        </w:trPr>
        <w:tc>
          <w:tcPr>
            <w:tcW w:type="dxa" w:w="1928"/>
            <w:shd w:fill="17324D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类型</w:t>
            </w:r>
          </w:p>
        </w:tc>
        <w:tc>
          <w:tcPr>
            <w:tcW w:type="dxa" w:w="4252"/>
            <w:shd w:fill="17324D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扩展内容</w:t>
            </w:r>
          </w:p>
        </w:tc>
        <w:tc>
          <w:tcPr>
            <w:tcW w:type="dxa" w:w="3345"/>
            <w:shd w:fill="17324D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示例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Protocol Driver</w:t>
            </w:r>
          </w:p>
        </w:tc>
        <w:tc>
          <w:tcPr>
            <w:tcW w:type="dxa" w:w="42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连接、编码、执行、解码、Schema</w:t>
            </w:r>
          </w:p>
        </w:tc>
        <w:tc>
          <w:tcPr>
            <w:tcW w:type="dxa" w:w="334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CoAP、Modbus、私有 TCP 协议。</w:t>
            </w:r>
          </w:p>
        </w:tc>
      </w:tr>
      <w:tr>
        <w:trPr>
          <w:cantSplit/>
        </w:trPr>
        <w:tc>
          <w:tcPr>
            <w:tcW w:type="dxa" w:w="1928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Auth/Signer</w:t>
            </w:r>
          </w:p>
        </w:tc>
        <w:tc>
          <w:tcPr>
            <w:tcW w:type="dxa" w:w="4252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认证和签名步骤</w:t>
            </w:r>
          </w:p>
        </w:tc>
        <w:tc>
          <w:tcPr>
            <w:tcW w:type="dxa" w:w="3345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国密签名、云厂商签名、企业自定义 HMAC。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Renderer</w:t>
            </w:r>
          </w:p>
        </w:tc>
        <w:tc>
          <w:tcPr>
            <w:tcW w:type="dxa" w:w="42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响应格式化与可视化</w:t>
            </w:r>
          </w:p>
        </w:tc>
        <w:tc>
          <w:tcPr>
            <w:tcW w:type="dxa" w:w="334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Protobuf、MessagePack、二进制字段解析。</w:t>
            </w:r>
          </w:p>
        </w:tc>
      </w:tr>
      <w:tr>
        <w:trPr>
          <w:cantSplit/>
        </w:trPr>
        <w:tc>
          <w:tcPr>
            <w:tcW w:type="dxa" w:w="1928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Importer/Exporter</w:t>
            </w:r>
          </w:p>
        </w:tc>
        <w:tc>
          <w:tcPr>
            <w:tcW w:type="dxa" w:w="4252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外部格式与项目模型转换</w:t>
            </w:r>
          </w:p>
        </w:tc>
        <w:tc>
          <w:tcPr>
            <w:tcW w:type="dxa" w:w="3345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自定义 YAML、旧系统集合。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Code Generator</w:t>
            </w:r>
          </w:p>
        </w:tc>
        <w:tc>
          <w:tcPr>
            <w:tcW w:type="dxa" w:w="42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代码片段模板</w:t>
            </w:r>
          </w:p>
        </w:tc>
        <w:tc>
          <w:tcPr>
            <w:tcW w:type="dxa" w:w="334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Java Forest、Spring WebClient、OkHttp。</w:t>
            </w:r>
          </w:p>
        </w:tc>
      </w:tr>
      <w:tr>
        <w:trPr>
          <w:cantSplit/>
        </w:trPr>
        <w:tc>
          <w:tcPr>
            <w:tcW w:type="dxa" w:w="1928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Test Extension</w:t>
            </w:r>
          </w:p>
        </w:tc>
        <w:tc>
          <w:tcPr>
            <w:tcW w:type="dxa" w:w="4252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断言与检查器</w:t>
            </w:r>
          </w:p>
        </w:tc>
        <w:tc>
          <w:tcPr>
            <w:tcW w:type="dxa" w:w="3345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JSON Schema、性能预算、业务规则。</w:t>
            </w:r>
          </w:p>
        </w:tc>
      </w:tr>
    </w:tbl>
    <w:p>
      <w:pPr>
        <w:spacing w:after="40"/>
      </w:pPr>
    </w:p>
    <w:p>
      <w:pPr>
        <w:pStyle w:val="Heading2"/>
      </w:pPr>
      <w:r>
        <w:t>12.2 WASM 权限模型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  <w:cantSplit/>
        </w:trPr>
        <w:tc>
          <w:tcPr>
            <w:tcW w:type="dxa" w:w="2268"/>
            <w:shd w:fill="17324D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能力</w:t>
            </w:r>
          </w:p>
        </w:tc>
        <w:tc>
          <w:tcPr>
            <w:tcW w:type="dxa" w:w="1701"/>
            <w:shd w:fill="17324D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默认</w:t>
            </w:r>
          </w:p>
        </w:tc>
        <w:tc>
          <w:tcPr>
            <w:tcW w:type="dxa" w:w="5556"/>
            <w:shd w:fill="17324D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network:target</w:t>
            </w:r>
          </w:p>
        </w:tc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按请求授权</w:t>
            </w:r>
          </w:p>
        </w:tc>
        <w:tc>
          <w:tcPr>
            <w:tcW w:type="dxa" w:w="55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只能访问当前请求目标或白名单。</w:t>
            </w:r>
          </w:p>
        </w:tc>
      </w:tr>
      <w:tr>
        <w:trPr>
          <w:cantSplit/>
        </w:trPr>
        <w:tc>
          <w:tcPr>
            <w:tcW w:type="dxa" w:w="2268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network:any</w:t>
            </w:r>
          </w:p>
        </w:tc>
        <w:tc>
          <w:tcPr>
            <w:tcW w:type="dxa" w:w="1701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拒绝</w:t>
            </w:r>
          </w:p>
        </w:tc>
        <w:tc>
          <w:tcPr>
            <w:tcW w:type="dxa" w:w="5556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需用户/组织显式授权。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filesystem:project</w:t>
            </w:r>
          </w:p>
        </w:tc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拒绝</w:t>
            </w:r>
          </w:p>
        </w:tc>
        <w:tc>
          <w:tcPr>
            <w:tcW w:type="dxa" w:w="55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通过虚拟文件 API 访问指定目录。</w:t>
            </w:r>
          </w:p>
        </w:tc>
      </w:tr>
      <w:tr>
        <w:trPr>
          <w:cantSplit/>
        </w:trPr>
        <w:tc>
          <w:tcPr>
            <w:tcW w:type="dxa" w:w="2268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secret:use</w:t>
            </w:r>
          </w:p>
        </w:tc>
        <w:tc>
          <w:tcPr>
            <w:tcW w:type="dxa" w:w="1701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按字段授权</w:t>
            </w:r>
          </w:p>
        </w:tc>
        <w:tc>
          <w:tcPr>
            <w:tcW w:type="dxa" w:w="5556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可使用 Secret 计算，但不可读取明文返回 UI。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clock/random</w:t>
            </w:r>
          </w:p>
        </w:tc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允许受控</w:t>
            </w:r>
          </w:p>
        </w:tc>
        <w:tc>
          <w:tcPr>
            <w:tcW w:type="dxa" w:w="55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用于签名和协议字段；支持测试确定性替换。</w:t>
            </w:r>
          </w:p>
        </w:tc>
      </w:tr>
      <w:tr>
        <w:trPr>
          <w:cantSplit/>
        </w:trPr>
        <w:tc>
          <w:tcPr>
            <w:tcW w:type="dxa" w:w="2268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process/shell</w:t>
            </w:r>
          </w:p>
        </w:tc>
        <w:tc>
          <w:tcPr>
            <w:tcW w:type="dxa" w:w="1701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拒绝</w:t>
            </w:r>
          </w:p>
        </w:tc>
        <w:tc>
          <w:tcPr>
            <w:tcW w:type="dxa" w:w="5556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WASM 插件不提供；原生 Sidecar 单独治理。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ui:panel</w:t>
            </w:r>
          </w:p>
        </w:tc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受限</w:t>
            </w:r>
          </w:p>
        </w:tc>
        <w:tc>
          <w:tcPr>
            <w:tcW w:type="dxa" w:w="55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只允许声明式 UI 或隔离 WebView。</w:t>
            </w:r>
          </w:p>
        </w:tc>
      </w:tr>
    </w:tbl>
    <w:p>
      <w:pPr>
        <w:spacing w:after="40"/>
      </w:pPr>
    </w:p>
    <w:p>
      <w:pPr>
        <w:pStyle w:val="Heading2"/>
      </w:pPr>
      <w:r>
        <w:t>12.3 插件清单示例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F6F8FA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1F2937"/>
                <w:sz w:val="16"/>
              </w:rPr>
              <w:t>plugin.toml</w:t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6"/>
              </w:rPr>
              <w:t>id = "com.example.modbus"</w:t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6"/>
              </w:rPr>
              <w:t>version = "1.2.0"</w:t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6"/>
              </w:rPr>
              <w:t>sdk = "&gt;=1.0,&lt;2.0"</w:t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6"/>
              </w:rPr>
              <w:t>entry = "modbus.wasm"</w:t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6"/>
              </w:rPr>
              <w:t>capabilities = ["network:target", "clock"]</w:t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6"/>
              </w:rPr>
              <w:t>protocols = ["modbus-tcp"]</w:t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6"/>
              </w:rPr>
              <w:t>ui_schema = "ui.json"</w:t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6"/>
              </w:rPr>
              <w:t>signature = "..."</w:t>
              <w:br/>
            </w:r>
          </w:p>
        </w:tc>
      </w:tr>
    </w:tbl>
    <w:p>
      <w:pPr>
        <w:spacing w:after="0"/>
      </w:pPr>
    </w:p>
    <w:p>
      <w:pPr>
        <w:pStyle w:val="Heading2"/>
      </w:pPr>
      <w:r>
        <w:t>12.4 脚本运行时</w:t>
      </w:r>
    </w:p>
    <w:p>
      <w:pPr>
        <w:pStyle w:val="ListBullet"/>
        <w:ind w:left="369" w:hanging="142"/>
      </w:pPr>
      <w:r>
        <w:rPr>
          <w:rFonts w:ascii="Noto Sans CJK SC" w:hAnsi="Noto Sans CJK SC" w:eastAsia="Noto Sans CJK SC"/>
          <w:color w:val="24313F"/>
          <w:sz w:val="20"/>
        </w:rPr>
        <w:t>每个脚本独立 Realm/Context，限制执行时间、堆内存、输出日志和递归深度。</w:t>
      </w:r>
    </w:p>
    <w:p>
      <w:pPr>
        <w:pStyle w:val="ListBullet"/>
        <w:ind w:left="369" w:hanging="142"/>
      </w:pPr>
      <w:r>
        <w:rPr>
          <w:rFonts w:ascii="Noto Sans CJK SC" w:hAnsi="Noto Sans CJK SC" w:eastAsia="Noto Sans CJK SC"/>
          <w:color w:val="24313F"/>
          <w:sz w:val="20"/>
        </w:rPr>
        <w:t>提供 request、response、variables、crypto、assert、console 等受控 API。</w:t>
      </w:r>
    </w:p>
    <w:p>
      <w:pPr>
        <w:pStyle w:val="ListBullet"/>
        <w:ind w:left="369" w:hanging="142"/>
      </w:pPr>
      <w:r>
        <w:rPr>
          <w:rFonts w:ascii="Noto Sans CJK SC" w:hAnsi="Noto Sans CJK SC" w:eastAsia="Noto Sans CJK SC"/>
          <w:color w:val="24313F"/>
          <w:sz w:val="20"/>
        </w:rPr>
        <w:t>加密能力优先调用宿主安全实现，避免脚本自行引入不受控库。</w:t>
      </w:r>
    </w:p>
    <w:p>
      <w:pPr>
        <w:pStyle w:val="ListBullet"/>
        <w:ind w:left="369" w:hanging="142"/>
      </w:pPr>
      <w:r>
        <w:rPr>
          <w:rFonts w:ascii="Noto Sans CJK SC" w:hAnsi="Noto Sans CJK SC" w:eastAsia="Noto Sans CJK SC"/>
          <w:color w:val="24313F"/>
          <w:sz w:val="20"/>
        </w:rPr>
        <w:t>禁止 eval 动态加载远程代码；依赖包采用内置模块或锁定版本。</w:t>
      </w:r>
    </w:p>
    <w:p>
      <w:pPr>
        <w:pStyle w:val="ListBullet"/>
        <w:ind w:left="369" w:hanging="142"/>
      </w:pPr>
      <w:r>
        <w:rPr>
          <w:rFonts w:ascii="Noto Sans CJK SC" w:hAnsi="Noto Sans CJK SC" w:eastAsia="Noto Sans CJK SC"/>
          <w:color w:val="24313F"/>
          <w:sz w:val="20"/>
        </w:rPr>
        <w:t>同一集合在 GUI 与 CLI 使用相同脚本引擎和 API 版本。</w:t>
      </w:r>
    </w:p>
    <w:p>
      <w:pPr>
        <w:pStyle w:val="Heading1"/>
      </w:pPr>
      <w:r>
        <w:t>13 安全设计</w:t>
      </w:r>
    </w:p>
    <w:p>
      <w:pPr>
        <w:pStyle w:val="Heading2"/>
      </w:pPr>
      <w:r>
        <w:t>13.1 威胁模型摘要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  <w:cantSplit/>
        </w:trPr>
        <w:tc>
          <w:tcPr>
            <w:tcW w:type="dxa" w:w="2551"/>
            <w:shd w:fill="17324D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威胁</w:t>
            </w:r>
          </w:p>
        </w:tc>
        <w:tc>
          <w:tcPr>
            <w:tcW w:type="dxa" w:w="6973"/>
            <w:shd w:fill="17324D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控制措施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恶意网页调用 Agent</w:t>
            </w:r>
          </w:p>
        </w:tc>
        <w:tc>
          <w:tcPr>
            <w:tcW w:type="dxa" w:w="697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localhost 限制、Origin 校验、配对、短期令牌、用户确认、速率限制。</w:t>
            </w:r>
          </w:p>
        </w:tc>
      </w:tr>
      <w:tr>
        <w:trPr>
          <w:cantSplit/>
        </w:trPr>
        <w:tc>
          <w:tcPr>
            <w:tcW w:type="dxa" w:w="2551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插件窃取 Secret</w:t>
            </w:r>
          </w:p>
        </w:tc>
        <w:tc>
          <w:tcPr>
            <w:tcW w:type="dxa" w:w="6973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WASM 沙箱、secret:use 能力、不可回传明文、签名和审核。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脚本逃逸</w:t>
            </w:r>
          </w:p>
        </w:tc>
        <w:tc>
          <w:tcPr>
            <w:tcW w:type="dxa" w:w="697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嵌入式沙箱、资源限制、禁用系统 API、独立进程可选。</w:t>
            </w:r>
          </w:p>
        </w:tc>
      </w:tr>
      <w:tr>
        <w:trPr>
          <w:cantSplit/>
        </w:trPr>
        <w:tc>
          <w:tcPr>
            <w:tcW w:type="dxa" w:w="2551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供应链攻击</w:t>
            </w:r>
          </w:p>
        </w:tc>
        <w:tc>
          <w:tcPr>
            <w:tcW w:type="dxa" w:w="6973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锁定依赖、SBOM、签名构建、漏洞扫描、可回滚更新。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日志泄露</w:t>
            </w:r>
          </w:p>
        </w:tc>
        <w:tc>
          <w:tcPr>
            <w:tcW w:type="dxa" w:w="697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统一脱敏、字段分类、正文默认不上传、崩溃报告预览。</w:t>
            </w:r>
          </w:p>
        </w:tc>
      </w:tr>
      <w:tr>
        <w:trPr>
          <w:cantSplit/>
        </w:trPr>
        <w:tc>
          <w:tcPr>
            <w:tcW w:type="dxa" w:w="2551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云端越权</w:t>
            </w:r>
          </w:p>
        </w:tc>
        <w:tc>
          <w:tcPr>
            <w:tcW w:type="dxa" w:w="6973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租户隔离、RBAC/ABAC、对象存储短链、审计和自动化测试。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SSRF/内网探测</w:t>
            </w:r>
          </w:p>
        </w:tc>
        <w:tc>
          <w:tcPr>
            <w:tcW w:type="dxa" w:w="697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云网关目标策略、DNS/IP 重绑定检查、端口与网段规则；本地模式显示风险。</w:t>
            </w:r>
          </w:p>
        </w:tc>
      </w:tr>
      <w:tr>
        <w:trPr>
          <w:cantSplit/>
        </w:trPr>
        <w:tc>
          <w:tcPr>
            <w:tcW w:type="dxa" w:w="2551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生产误操作</w:t>
            </w:r>
          </w:p>
        </w:tc>
        <w:tc>
          <w:tcPr>
            <w:tcW w:type="dxa" w:w="6973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环境标签、写操作识别、二次确认、只读策略、审计。</w:t>
            </w:r>
          </w:p>
        </w:tc>
      </w:tr>
    </w:tbl>
    <w:p>
      <w:pPr>
        <w:spacing w:after="40"/>
      </w:pPr>
    </w:p>
    <w:p>
      <w:pPr>
        <w:pStyle w:val="Heading2"/>
      </w:pPr>
      <w:r>
        <w:t>13.2 Secret 生命周期</w:t>
      </w:r>
    </w:p>
    <w:p>
      <w:pPr>
        <w:ind w:left="397" w:hanging="255"/>
      </w:pPr>
      <w:r>
        <w:rPr>
          <w:rFonts w:ascii="Noto Sans CJK SC" w:hAnsi="Noto Sans CJK SC" w:eastAsia="Noto Sans CJK SC"/>
          <w:b/>
          <w:color w:val="17324D"/>
          <w:sz w:val="20"/>
        </w:rPr>
        <w:t xml:space="preserve">1.  </w:t>
      </w:r>
      <w:r>
        <w:rPr>
          <w:rFonts w:ascii="Noto Sans CJK SC" w:hAnsi="Noto Sans CJK SC" w:eastAsia="Noto Sans CJK SC"/>
          <w:color w:val="24313F"/>
          <w:sz w:val="20"/>
        </w:rPr>
        <w:t>创建 Secret 时写入 OS Keychain，项目保存 secret_ref。</w:t>
      </w:r>
    </w:p>
    <w:p>
      <w:pPr>
        <w:ind w:left="397" w:hanging="255"/>
      </w:pPr>
      <w:r>
        <w:rPr>
          <w:rFonts w:ascii="Noto Sans CJK SC" w:hAnsi="Noto Sans CJK SC" w:eastAsia="Noto Sans CJK SC"/>
          <w:b/>
          <w:color w:val="17324D"/>
          <w:sz w:val="20"/>
        </w:rPr>
        <w:t xml:space="preserve">2.  </w:t>
      </w:r>
      <w:r>
        <w:rPr>
          <w:rFonts w:ascii="Noto Sans CJK SC" w:hAnsi="Noto Sans CJK SC" w:eastAsia="Noto Sans CJK SC"/>
          <w:color w:val="24313F"/>
          <w:sz w:val="20"/>
        </w:rPr>
        <w:t>执行时由 Secret Store 将值注入 Driver 或宿主加密函数。</w:t>
      </w:r>
    </w:p>
    <w:p>
      <w:pPr>
        <w:ind w:left="397" w:hanging="255"/>
      </w:pPr>
      <w:r>
        <w:rPr>
          <w:rFonts w:ascii="Noto Sans CJK SC" w:hAnsi="Noto Sans CJK SC" w:eastAsia="Noto Sans CJK SC"/>
          <w:b/>
          <w:color w:val="17324D"/>
          <w:sz w:val="20"/>
        </w:rPr>
        <w:t xml:space="preserve">3.  </w:t>
      </w:r>
      <w:r>
        <w:rPr>
          <w:rFonts w:ascii="Noto Sans CJK SC" w:hAnsi="Noto Sans CJK SC" w:eastAsia="Noto Sans CJK SC"/>
          <w:color w:val="24313F"/>
          <w:sz w:val="20"/>
        </w:rPr>
        <w:t>事件、日志、错误、历史和导出统一通过 Redaction Pipeline。</w:t>
      </w:r>
    </w:p>
    <w:p>
      <w:pPr>
        <w:ind w:left="397" w:hanging="255"/>
      </w:pPr>
      <w:r>
        <w:rPr>
          <w:rFonts w:ascii="Noto Sans CJK SC" w:hAnsi="Noto Sans CJK SC" w:eastAsia="Noto Sans CJK SC"/>
          <w:b/>
          <w:color w:val="17324D"/>
          <w:sz w:val="20"/>
        </w:rPr>
        <w:t xml:space="preserve">4.  </w:t>
      </w:r>
      <w:r>
        <w:rPr>
          <w:rFonts w:ascii="Noto Sans CJK SC" w:hAnsi="Noto Sans CJK SC" w:eastAsia="Noto Sans CJK SC"/>
          <w:color w:val="24313F"/>
          <w:sz w:val="20"/>
        </w:rPr>
        <w:t>删除项目时不自动删除被其他项目引用的 Secret；提供引用检查。</w:t>
      </w:r>
    </w:p>
    <w:p>
      <w:pPr>
        <w:ind w:left="397" w:hanging="255"/>
      </w:pPr>
      <w:r>
        <w:rPr>
          <w:rFonts w:ascii="Noto Sans CJK SC" w:hAnsi="Noto Sans CJK SC" w:eastAsia="Noto Sans CJK SC"/>
          <w:b/>
          <w:color w:val="17324D"/>
          <w:sz w:val="20"/>
        </w:rPr>
        <w:t xml:space="preserve">5.  </w:t>
      </w:r>
      <w:r>
        <w:rPr>
          <w:rFonts w:ascii="Noto Sans CJK SC" w:hAnsi="Noto Sans CJK SC" w:eastAsia="Noto Sans CJK SC"/>
          <w:color w:val="24313F"/>
          <w:sz w:val="20"/>
        </w:rPr>
        <w:t>云同步仅同步名称与策略，企业可选使用外部 Vault/KMS。</w:t>
      </w:r>
    </w:p>
    <w:p>
      <w:pPr>
        <w:pStyle w:val="Heading2"/>
      </w:pPr>
      <w:r>
        <w:t>13.3 更新与签名</w:t>
      </w:r>
    </w:p>
    <w:p>
      <w:pPr>
        <w:pStyle w:val="ListBullet"/>
        <w:ind w:left="369" w:hanging="142"/>
      </w:pPr>
      <w:r>
        <w:rPr>
          <w:rFonts w:ascii="Noto Sans CJK SC" w:hAnsi="Noto Sans CJK SC" w:eastAsia="Noto Sans CJK SC"/>
          <w:color w:val="24313F"/>
          <w:sz w:val="20"/>
        </w:rPr>
        <w:t>桌面安装包按平台签名/公证；更新清单和包均校验签名。</w:t>
      </w:r>
    </w:p>
    <w:p>
      <w:pPr>
        <w:pStyle w:val="ListBullet"/>
        <w:ind w:left="369" w:hanging="142"/>
      </w:pPr>
      <w:r>
        <w:rPr>
          <w:rFonts w:ascii="Noto Sans CJK SC" w:hAnsi="Noto Sans CJK SC" w:eastAsia="Noto Sans CJK SC"/>
          <w:color w:val="24313F"/>
          <w:sz w:val="20"/>
        </w:rPr>
        <w:t>更新通道区分 stable/beta/nightly；组织可锁定版本。</w:t>
      </w:r>
    </w:p>
    <w:p>
      <w:pPr>
        <w:pStyle w:val="ListBullet"/>
        <w:ind w:left="369" w:hanging="142"/>
      </w:pPr>
      <w:r>
        <w:rPr>
          <w:rFonts w:ascii="Noto Sans CJK SC" w:hAnsi="Noto Sans CJK SC" w:eastAsia="Noto Sans CJK SC"/>
          <w:color w:val="24313F"/>
          <w:sz w:val="20"/>
        </w:rPr>
        <w:t>Agent 与桌面端协议协商版本，不兼容时拒绝执行并提示升级。</w:t>
      </w:r>
    </w:p>
    <w:p>
      <w:pPr>
        <w:pStyle w:val="ListBullet"/>
        <w:ind w:left="369" w:hanging="142"/>
      </w:pPr>
      <w:r>
        <w:rPr>
          <w:rFonts w:ascii="Noto Sans CJK SC" w:hAnsi="Noto Sans CJK SC" w:eastAsia="Noto Sans CJK SC"/>
          <w:color w:val="24313F"/>
          <w:sz w:val="20"/>
        </w:rPr>
        <w:t>插件包包含哈希和签名，撤销列表可禁用恶意版本。</w:t>
      </w:r>
    </w:p>
    <w:p>
      <w:pPr>
        <w:pStyle w:val="Heading1"/>
      </w:pPr>
      <w:r>
        <w:t>14 可观测性与性能</w:t>
      </w:r>
    </w:p>
    <w:p>
      <w:pPr>
        <w:pStyle w:val="Heading2"/>
      </w:pPr>
      <w:r>
        <w:t>14.1 可观测性</w:t>
      </w:r>
    </w:p>
    <w:p>
      <w:pPr>
        <w:pStyle w:val="ListBullet"/>
        <w:ind w:left="369" w:hanging="142"/>
      </w:pPr>
      <w:r>
        <w:rPr>
          <w:rFonts w:ascii="Noto Sans CJK SC" w:hAnsi="Noto Sans CJK SC" w:eastAsia="Noto Sans CJK SC"/>
          <w:color w:val="24313F"/>
          <w:sz w:val="20"/>
        </w:rPr>
        <w:t>Rust 使用 tracing 生成结构化 span：execution_id、driver、phase、duration、error_code。</w:t>
      </w:r>
    </w:p>
    <w:p>
      <w:pPr>
        <w:pStyle w:val="ListBullet"/>
        <w:ind w:left="369" w:hanging="142"/>
      </w:pPr>
      <w:r>
        <w:rPr>
          <w:rFonts w:ascii="Noto Sans CJK SC" w:hAnsi="Noto Sans CJK SC" w:eastAsia="Noto Sans CJK SC"/>
          <w:color w:val="24313F"/>
          <w:sz w:val="20"/>
        </w:rPr>
        <w:t>Java 使用 OpenTelemetry/Micrometer，链路覆盖 API、MQ、数据库和 Runner。</w:t>
      </w:r>
    </w:p>
    <w:p>
      <w:pPr>
        <w:pStyle w:val="ListBullet"/>
        <w:ind w:left="369" w:hanging="142"/>
      </w:pPr>
      <w:r>
        <w:rPr>
          <w:rFonts w:ascii="Noto Sans CJK SC" w:hAnsi="Noto Sans CJK SC" w:eastAsia="Noto Sans CJK SC"/>
          <w:color w:val="24313F"/>
          <w:sz w:val="20"/>
        </w:rPr>
        <w:t>本地诊断包由用户主动生成，可选择排除请求内容、环境变量和路径。</w:t>
      </w:r>
    </w:p>
    <w:p>
      <w:pPr>
        <w:pStyle w:val="ListBullet"/>
        <w:ind w:left="369" w:hanging="142"/>
      </w:pPr>
      <w:r>
        <w:rPr>
          <w:rFonts w:ascii="Noto Sans CJK SC" w:hAnsi="Noto Sans CJK SC" w:eastAsia="Noto Sans CJK SC"/>
          <w:color w:val="24313F"/>
          <w:sz w:val="20"/>
        </w:rPr>
        <w:t>崩溃报告默认关闭自动上传，开启后先脱敏并展示数据类别。</w:t>
      </w:r>
    </w:p>
    <w:p>
      <w:pPr>
        <w:pStyle w:val="Heading2"/>
      </w:pPr>
      <w:r>
        <w:t>14.2 性能预算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  <w:cantSplit/>
        </w:trPr>
        <w:tc>
          <w:tcPr>
            <w:tcW w:type="dxa" w:w="2268"/>
            <w:shd w:fill="17324D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场景</w:t>
            </w:r>
          </w:p>
        </w:tc>
        <w:tc>
          <w:tcPr>
            <w:tcW w:type="dxa" w:w="7257"/>
            <w:shd w:fill="17324D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目标/策略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启动</w:t>
            </w:r>
          </w:p>
        </w:tc>
        <w:tc>
          <w:tcPr>
            <w:tcW w:type="dxa" w:w="725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桌面冷启动目标 ≤ 3 秒；插件元数据延迟加载。</w:t>
            </w:r>
          </w:p>
        </w:tc>
      </w:tr>
      <w:tr>
        <w:trPr>
          <w:cantSplit/>
        </w:trPr>
        <w:tc>
          <w:tcPr>
            <w:tcW w:type="dxa" w:w="2268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编辑</w:t>
            </w:r>
          </w:p>
        </w:tc>
        <w:tc>
          <w:tcPr>
            <w:tcW w:type="dxa" w:w="7257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普通输入和切换面板 P95 ≤ 100ms；Monaco 模型按标签页回收。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HTTP 小请求</w:t>
            </w:r>
          </w:p>
        </w:tc>
        <w:tc>
          <w:tcPr>
            <w:tcW w:type="dxa" w:w="725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工具附加开销目标 P95 &lt; 20ms（不含网络）。</w:t>
            </w:r>
          </w:p>
        </w:tc>
      </w:tr>
      <w:tr>
        <w:trPr>
          <w:cantSplit/>
        </w:trPr>
        <w:tc>
          <w:tcPr>
            <w:tcW w:type="dxa" w:w="2268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大响应</w:t>
            </w:r>
          </w:p>
        </w:tc>
        <w:tc>
          <w:tcPr>
            <w:tcW w:type="dxa" w:w="7257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分块落盘；UI 首屏优先；默认预览上限可配置。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高频消息</w:t>
            </w:r>
          </w:p>
        </w:tc>
        <w:tc>
          <w:tcPr>
            <w:tcW w:type="dxa" w:w="725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事件批量、虚拟列表、采样/滚动文件；显示截断状态。</w:t>
            </w:r>
          </w:p>
        </w:tc>
      </w:tr>
      <w:tr>
        <w:trPr>
          <w:cantSplit/>
        </w:trPr>
        <w:tc>
          <w:tcPr>
            <w:tcW w:type="dxa" w:w="2268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并发执行</w:t>
            </w:r>
          </w:p>
        </w:tc>
        <w:tc>
          <w:tcPr>
            <w:tcW w:type="dxa" w:w="7257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全局/项目/协议三级并发限制；连接池和文件句柄预算。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脚本/插件</w:t>
            </w:r>
          </w:p>
        </w:tc>
        <w:tc>
          <w:tcPr>
            <w:tcW w:type="dxa" w:w="725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单次执行 CPU 时间、内存、输出和网络请求数量限制。</w:t>
            </w:r>
          </w:p>
        </w:tc>
      </w:tr>
    </w:tbl>
    <w:p>
      <w:pPr>
        <w:spacing w:after="40"/>
      </w:pPr>
    </w:p>
    <w:p>
      <w:pPr>
        <w:pStyle w:val="Heading1"/>
      </w:pPr>
      <w:r>
        <w:t>15 测试与质量保障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  <w:cantSplit/>
        </w:trPr>
        <w:tc>
          <w:tcPr>
            <w:tcW w:type="dxa" w:w="1701"/>
            <w:shd w:fill="17324D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层级</w:t>
            </w:r>
          </w:p>
        </w:tc>
        <w:tc>
          <w:tcPr>
            <w:tcW w:type="dxa" w:w="2948"/>
            <w:shd w:fill="17324D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工具/方法</w:t>
            </w:r>
          </w:p>
        </w:tc>
        <w:tc>
          <w:tcPr>
            <w:tcW w:type="dxa" w:w="4876"/>
            <w:shd w:fill="17324D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覆盖内容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前端单元</w:t>
            </w:r>
          </w:p>
        </w:tc>
        <w:tc>
          <w:tcPr>
            <w:tcW w:type="dxa" w:w="294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Vitest + Testing Library</w:t>
            </w:r>
          </w:p>
        </w:tc>
        <w:tc>
          <w:tcPr>
            <w:tcW w:type="dxa" w:w="487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组件、状态、Schema 渲染、变量解析 UI。</w:t>
            </w:r>
          </w:p>
        </w:tc>
      </w:tr>
      <w:tr>
        <w:trPr>
          <w:cantSplit/>
        </w:trPr>
        <w:tc>
          <w:tcPr>
            <w:tcW w:type="dxa" w:w="1701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前端 E2E</w:t>
            </w:r>
          </w:p>
        </w:tc>
        <w:tc>
          <w:tcPr>
            <w:tcW w:type="dxa" w:w="2948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Playwright</w:t>
            </w:r>
          </w:p>
        </w:tc>
        <w:tc>
          <w:tcPr>
            <w:tcW w:type="dxa" w:w="4876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桌面 WebView/Web、Agent 配对、请求编辑、导入导出。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Rust 单元/集成</w:t>
            </w:r>
          </w:p>
        </w:tc>
        <w:tc>
          <w:tcPr>
            <w:tcW w:type="dxa" w:w="294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cargo test/nextest</w:t>
            </w:r>
          </w:p>
        </w:tc>
        <w:tc>
          <w:tcPr>
            <w:tcW w:type="dxa" w:w="487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Driver、分帧器、执行管线、取消、错误映射。</w:t>
            </w:r>
          </w:p>
        </w:tc>
      </w:tr>
      <w:tr>
        <w:trPr>
          <w:cantSplit/>
        </w:trPr>
        <w:tc>
          <w:tcPr>
            <w:tcW w:type="dxa" w:w="1701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并发验证</w:t>
            </w:r>
          </w:p>
        </w:tc>
        <w:tc>
          <w:tcPr>
            <w:tcW w:type="dxa" w:w="2948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Loom/压力测试</w:t>
            </w:r>
          </w:p>
        </w:tc>
        <w:tc>
          <w:tcPr>
            <w:tcW w:type="dxa" w:w="4876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锁、取消、连接复用和事件通道。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模糊测试</w:t>
            </w:r>
          </w:p>
        </w:tc>
        <w:tc>
          <w:tcPr>
            <w:tcW w:type="dxa" w:w="294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cargo-fuzz</w:t>
            </w:r>
          </w:p>
        </w:tc>
        <w:tc>
          <w:tcPr>
            <w:tcW w:type="dxa" w:w="487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二进制解码、分帧、导入格式、协议解析。</w:t>
            </w:r>
          </w:p>
        </w:tc>
      </w:tr>
      <w:tr>
        <w:trPr>
          <w:cantSplit/>
        </w:trPr>
        <w:tc>
          <w:tcPr>
            <w:tcW w:type="dxa" w:w="1701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基准</w:t>
            </w:r>
          </w:p>
        </w:tc>
        <w:tc>
          <w:tcPr>
            <w:tcW w:type="dxa" w:w="2948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Criterion</w:t>
            </w:r>
          </w:p>
        </w:tc>
        <w:tc>
          <w:tcPr>
            <w:tcW w:type="dxa" w:w="4876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编码/解码、事件吞吐、脱敏和大响应。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Java 单元/集成</w:t>
            </w:r>
          </w:p>
        </w:tc>
        <w:tc>
          <w:tcPr>
            <w:tcW w:type="dxa" w:w="294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JUnit 5 + Testcontainers</w:t>
            </w:r>
          </w:p>
        </w:tc>
        <w:tc>
          <w:tcPr>
            <w:tcW w:type="dxa" w:w="487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权限、同步、MQ、PostgreSQL、Redis、对象存储。</w:t>
            </w:r>
          </w:p>
        </w:tc>
      </w:tr>
      <w:tr>
        <w:trPr>
          <w:cantSplit/>
        </w:trPr>
        <w:tc>
          <w:tcPr>
            <w:tcW w:type="dxa" w:w="1701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协议契约</w:t>
            </w:r>
          </w:p>
        </w:tc>
        <w:tc>
          <w:tcPr>
            <w:tcW w:type="dxa" w:w="2948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Docker Compose/Testcontainers</w:t>
            </w:r>
          </w:p>
        </w:tc>
        <w:tc>
          <w:tcPr>
            <w:tcW w:type="dxa" w:w="4876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不同版本服务端、TLS、认证、错误和流式。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跨平台</w:t>
            </w:r>
          </w:p>
        </w:tc>
        <w:tc>
          <w:tcPr>
            <w:tcW w:type="dxa" w:w="294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CI 真机/虚拟机矩阵</w:t>
            </w:r>
          </w:p>
        </w:tc>
        <w:tc>
          <w:tcPr>
            <w:tcW w:type="dxa" w:w="487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安装、升级、文件、证书、WebView 和系统集成。</w:t>
            </w:r>
          </w:p>
        </w:tc>
      </w:tr>
      <w:tr>
        <w:trPr>
          <w:cantSplit/>
        </w:trPr>
        <w:tc>
          <w:tcPr>
            <w:tcW w:type="dxa" w:w="1701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安全</w:t>
            </w:r>
          </w:p>
        </w:tc>
        <w:tc>
          <w:tcPr>
            <w:tcW w:type="dxa" w:w="2948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SAST/SCA/Secret Scan/DAST</w:t>
            </w:r>
          </w:p>
        </w:tc>
        <w:tc>
          <w:tcPr>
            <w:tcW w:type="dxa" w:w="4876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依赖漏洞、许可证、Agent、云 API 和插件。</w:t>
            </w:r>
          </w:p>
        </w:tc>
      </w:tr>
    </w:tbl>
    <w:p>
      <w:pPr>
        <w:spacing w:after="40"/>
      </w:pPr>
    </w:p>
    <w:p>
      <w:pPr>
        <w:pStyle w:val="Heading2"/>
      </w:pPr>
      <w:r>
        <w:t>15.1 质量门禁</w:t>
      </w:r>
    </w:p>
    <w:p>
      <w:pPr>
        <w:pStyle w:val="ListBullet"/>
        <w:ind w:left="369" w:hanging="142"/>
      </w:pPr>
      <w:r>
        <w:rPr>
          <w:rFonts w:ascii="Noto Sans CJK SC" w:hAnsi="Noto Sans CJK SC" w:eastAsia="Noto Sans CJK SC"/>
          <w:color w:val="24313F"/>
          <w:sz w:val="20"/>
        </w:rPr>
        <w:t>所有 PR 必须通过格式化、Lint、类型检查、单元测试和依赖策略。</w:t>
      </w:r>
    </w:p>
    <w:p>
      <w:pPr>
        <w:pStyle w:val="ListBullet"/>
        <w:ind w:left="369" w:hanging="142"/>
      </w:pPr>
      <w:r>
        <w:rPr>
          <w:rFonts w:ascii="Noto Sans CJK SC" w:hAnsi="Noto Sans CJK SC" w:eastAsia="Noto Sans CJK SC"/>
          <w:color w:val="24313F"/>
          <w:sz w:val="20"/>
        </w:rPr>
        <w:t>Driver 改动必须更新 capability snapshot 和契约测试。</w:t>
      </w:r>
    </w:p>
    <w:p>
      <w:pPr>
        <w:pStyle w:val="ListBullet"/>
        <w:ind w:left="369" w:hanging="142"/>
      </w:pPr>
      <w:r>
        <w:rPr>
          <w:rFonts w:ascii="Noto Sans CJK SC" w:hAnsi="Noto Sans CJK SC" w:eastAsia="Noto Sans CJK SC"/>
          <w:color w:val="24313F"/>
          <w:sz w:val="20"/>
        </w:rPr>
        <w:t>数据库迁移必须支持前向升级，并提供回滚/恢复说明。</w:t>
      </w:r>
    </w:p>
    <w:p>
      <w:pPr>
        <w:pStyle w:val="ListBullet"/>
        <w:ind w:left="369" w:hanging="142"/>
      </w:pPr>
      <w:r>
        <w:rPr>
          <w:rFonts w:ascii="Noto Sans CJK SC" w:hAnsi="Noto Sans CJK SC" w:eastAsia="Noto Sans CJK SC"/>
          <w:color w:val="24313F"/>
          <w:sz w:val="20"/>
        </w:rPr>
        <w:t>发布分支冻结后执行三平台安装、升级、卸载和数据迁移验证。</w:t>
      </w:r>
    </w:p>
    <w:p>
      <w:pPr>
        <w:pStyle w:val="ListBullet"/>
        <w:ind w:left="369" w:hanging="142"/>
      </w:pPr>
      <w:r>
        <w:rPr>
          <w:rFonts w:ascii="Noto Sans CJK SC" w:hAnsi="Noto Sans CJK SC" w:eastAsia="Noto Sans CJK SC"/>
          <w:color w:val="24313F"/>
          <w:sz w:val="20"/>
        </w:rPr>
        <w:t>P0/P1 安全问题、数据损坏问题和 Secret 泄露问题直接阻断发布。</w:t>
      </w:r>
    </w:p>
    <w:p>
      <w:pPr>
        <w:pStyle w:val="Heading1"/>
      </w:pPr>
      <w:r>
        <w:t>16 CI/CD 与发布</w:t>
      </w:r>
    </w:p>
    <w:p>
      <w:pPr>
        <w:ind w:left="397" w:hanging="255"/>
      </w:pPr>
      <w:r>
        <w:rPr>
          <w:rFonts w:ascii="Noto Sans CJK SC" w:hAnsi="Noto Sans CJK SC" w:eastAsia="Noto Sans CJK SC"/>
          <w:b/>
          <w:color w:val="17324D"/>
          <w:sz w:val="20"/>
        </w:rPr>
        <w:t xml:space="preserve">1.  </w:t>
      </w:r>
      <w:r>
        <w:rPr>
          <w:rFonts w:ascii="Noto Sans CJK SC" w:hAnsi="Noto Sans CJK SC" w:eastAsia="Noto Sans CJK SC"/>
          <w:color w:val="24313F"/>
          <w:sz w:val="20"/>
        </w:rPr>
        <w:t>提交阶段：format、lint、typecheck、unit、license、secret scan。</w:t>
      </w:r>
    </w:p>
    <w:p>
      <w:pPr>
        <w:ind w:left="397" w:hanging="255"/>
      </w:pPr>
      <w:r>
        <w:rPr>
          <w:rFonts w:ascii="Noto Sans CJK SC" w:hAnsi="Noto Sans CJK SC" w:eastAsia="Noto Sans CJK SC"/>
          <w:b/>
          <w:color w:val="17324D"/>
          <w:sz w:val="20"/>
        </w:rPr>
        <w:t xml:space="preserve">2.  </w:t>
      </w:r>
      <w:r>
        <w:rPr>
          <w:rFonts w:ascii="Noto Sans CJK SC" w:hAnsi="Noto Sans CJK SC" w:eastAsia="Noto Sans CJK SC"/>
          <w:color w:val="24313F"/>
          <w:sz w:val="20"/>
        </w:rPr>
        <w:t>PR 阶段：Rust/Java 集成测试、协议容器、前端 E2E、构建桌面测试包。</w:t>
      </w:r>
    </w:p>
    <w:p>
      <w:pPr>
        <w:ind w:left="397" w:hanging="255"/>
      </w:pPr>
      <w:r>
        <w:rPr>
          <w:rFonts w:ascii="Noto Sans CJK SC" w:hAnsi="Noto Sans CJK SC" w:eastAsia="Noto Sans CJK SC"/>
          <w:b/>
          <w:color w:val="17324D"/>
          <w:sz w:val="20"/>
        </w:rPr>
        <w:t xml:space="preserve">3.  </w:t>
      </w:r>
      <w:r>
        <w:rPr>
          <w:rFonts w:ascii="Noto Sans CJK SC" w:hAnsi="Noto Sans CJK SC" w:eastAsia="Noto Sans CJK SC"/>
          <w:color w:val="24313F"/>
          <w:sz w:val="20"/>
        </w:rPr>
        <w:t>主干阶段：三平台签名构建、SBOM、哈希、病毒扫描、更新清单。</w:t>
      </w:r>
    </w:p>
    <w:p>
      <w:pPr>
        <w:ind w:left="397" w:hanging="255"/>
      </w:pPr>
      <w:r>
        <w:rPr>
          <w:rFonts w:ascii="Noto Sans CJK SC" w:hAnsi="Noto Sans CJK SC" w:eastAsia="Noto Sans CJK SC"/>
          <w:b/>
          <w:color w:val="17324D"/>
          <w:sz w:val="20"/>
        </w:rPr>
        <w:t xml:space="preserve">4.  </w:t>
      </w:r>
      <w:r>
        <w:rPr>
          <w:rFonts w:ascii="Noto Sans CJK SC" w:hAnsi="Noto Sans CJK SC" w:eastAsia="Noto Sans CJK SC"/>
          <w:color w:val="24313F"/>
          <w:sz w:val="20"/>
        </w:rPr>
        <w:t>灰度阶段：internal → beta → stable；崩溃率和回滚指标达标后扩大。</w:t>
      </w:r>
    </w:p>
    <w:p>
      <w:pPr>
        <w:ind w:left="397" w:hanging="255"/>
      </w:pPr>
      <w:r>
        <w:rPr>
          <w:rFonts w:ascii="Noto Sans CJK SC" w:hAnsi="Noto Sans CJK SC" w:eastAsia="Noto Sans CJK SC"/>
          <w:b/>
          <w:color w:val="17324D"/>
          <w:sz w:val="20"/>
        </w:rPr>
        <w:t xml:space="preserve">5.  </w:t>
      </w:r>
      <w:r>
        <w:rPr>
          <w:rFonts w:ascii="Noto Sans CJK SC" w:hAnsi="Noto Sans CJK SC" w:eastAsia="Noto Sans CJK SC"/>
          <w:color w:val="24313F"/>
          <w:sz w:val="20"/>
        </w:rPr>
        <w:t>发布阶段：桌面更新、Agent、CLI、Web、Java 服务和插件 SDK 使用兼容矩阵。</w:t>
      </w:r>
    </w:p>
    <w:p>
      <w:pPr>
        <w:pStyle w:val="Heading2"/>
      </w:pPr>
      <w:r>
        <w:t>16.1 版本策略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  <w:cantSplit/>
        </w:trPr>
        <w:tc>
          <w:tcPr>
            <w:tcW w:type="dxa" w:w="2551"/>
            <w:shd w:fill="17324D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组件</w:t>
            </w:r>
          </w:p>
        </w:tc>
        <w:tc>
          <w:tcPr>
            <w:tcW w:type="dxa" w:w="6973"/>
            <w:shd w:fill="17324D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策略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桌面/Web/Agent/CLI</w:t>
            </w:r>
          </w:p>
        </w:tc>
        <w:tc>
          <w:tcPr>
            <w:tcW w:type="dxa" w:w="697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统一产品版本；Agent 协议单独维护兼容版本。</w:t>
            </w:r>
          </w:p>
        </w:tc>
      </w:tr>
      <w:tr>
        <w:trPr>
          <w:cantSplit/>
        </w:trPr>
        <w:tc>
          <w:tcPr>
            <w:tcW w:type="dxa" w:w="2551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Rust Driver</w:t>
            </w:r>
          </w:p>
        </w:tc>
        <w:tc>
          <w:tcPr>
            <w:tcW w:type="dxa" w:w="6973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随产品发布；可选驱动可独立组件化。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插件 SDK</w:t>
            </w:r>
          </w:p>
        </w:tc>
        <w:tc>
          <w:tcPr>
            <w:tcW w:type="dxa" w:w="697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Semantic Versioning；主版本变更提供迁移工具和兼容层。</w:t>
            </w:r>
          </w:p>
        </w:tc>
      </w:tr>
      <w:tr>
        <w:trPr>
          <w:cantSplit/>
        </w:trPr>
        <w:tc>
          <w:tcPr>
            <w:tcW w:type="dxa" w:w="2551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Java API</w:t>
            </w:r>
          </w:p>
        </w:tc>
        <w:tc>
          <w:tcPr>
            <w:tcW w:type="dxa" w:w="6973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/api/v1 版本化；内部事件也需 Schema 版本。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项目文件</w:t>
            </w:r>
          </w:p>
        </w:tc>
        <w:tc>
          <w:tcPr>
            <w:tcW w:type="dxa" w:w="697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schema_version + 迁移器；禁止新版本保存后导致旧版本静默损坏。</w:t>
            </w:r>
          </w:p>
        </w:tc>
      </w:tr>
    </w:tbl>
    <w:p>
      <w:pPr>
        <w:spacing w:after="40"/>
      </w:pPr>
    </w:p>
    <w:p>
      <w:pPr>
        <w:pStyle w:val="Heading1"/>
      </w:pPr>
      <w:r>
        <w:t>17 研发计划与里程碑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  <w:cantSplit/>
        </w:trPr>
        <w:tc>
          <w:tcPr>
            <w:tcW w:type="dxa" w:w="1701"/>
            <w:shd w:fill="17324D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里程碑</w:t>
            </w:r>
          </w:p>
        </w:tc>
        <w:tc>
          <w:tcPr>
            <w:tcW w:type="dxa" w:w="4535"/>
            <w:shd w:fill="17324D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交付物</w:t>
            </w:r>
          </w:p>
        </w:tc>
        <w:tc>
          <w:tcPr>
            <w:tcW w:type="dxa" w:w="3288"/>
            <w:shd w:fill="17324D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关键验证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M0 架构验证</w:t>
            </w:r>
          </w:p>
        </w:tc>
        <w:tc>
          <w:tcPr>
            <w:tcW w:type="dxa" w:w="45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Tauri/Web/Agent/CLI 最小骨架；HTTP Driver；SQLite；事件流</w:t>
            </w:r>
          </w:p>
        </w:tc>
        <w:tc>
          <w:tcPr>
            <w:tcW w:type="dxa" w:w="328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同一请求模型在四种入口执行；Agent 安全配对 PoC。</w:t>
            </w:r>
          </w:p>
        </w:tc>
      </w:tr>
      <w:tr>
        <w:trPr>
          <w:cantSplit/>
        </w:trPr>
        <w:tc>
          <w:tcPr>
            <w:tcW w:type="dxa" w:w="1701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M1 内核稳定</w:t>
            </w:r>
          </w:p>
        </w:tc>
        <w:tc>
          <w:tcPr>
            <w:tcW w:type="dxa" w:w="4535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变量、Secret、脚本沙箱、错误模型、取消、历史</w:t>
            </w:r>
          </w:p>
        </w:tc>
        <w:tc>
          <w:tcPr>
            <w:tcW w:type="dxa" w:w="3288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高并发、崩溃恢复、脱敏和大响应测试。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M2 MVP 协议</w:t>
            </w:r>
          </w:p>
        </w:tc>
        <w:tc>
          <w:tcPr>
            <w:tcW w:type="dxa" w:w="45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HTTP、WebSocket、SSE、GraphQL、gRPC、TCP、UDP</w:t>
            </w:r>
          </w:p>
        </w:tc>
        <w:tc>
          <w:tcPr>
            <w:tcW w:type="dxa" w:w="328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协议契约矩阵通过，三平台安装可用。</w:t>
            </w:r>
          </w:p>
        </w:tc>
      </w:tr>
      <w:tr>
        <w:trPr>
          <w:cantSplit/>
        </w:trPr>
        <w:tc>
          <w:tcPr>
            <w:tcW w:type="dxa" w:w="1701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M3 自动化与导入</w:t>
            </w:r>
          </w:p>
        </w:tc>
        <w:tc>
          <w:tcPr>
            <w:tcW w:type="dxa" w:w="4535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断言、集合运行、CLI、OpenAPI/cURL/HAR/Postman</w:t>
            </w:r>
          </w:p>
        </w:tc>
        <w:tc>
          <w:tcPr>
            <w:tcW w:type="dxa" w:w="3288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GUI/CLI 结果一致，CI 示例可运行。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M4 团队能力</w:t>
            </w:r>
          </w:p>
        </w:tc>
        <w:tc>
          <w:tcPr>
            <w:tcW w:type="dxa" w:w="45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登录、项目同步、RBAC、审计、Mock 基础</w:t>
            </w:r>
          </w:p>
        </w:tc>
        <w:tc>
          <w:tcPr>
            <w:tcW w:type="dxa" w:w="328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离线冲突、租户隔离和私有化部署验证。</w:t>
            </w:r>
          </w:p>
        </w:tc>
      </w:tr>
      <w:tr>
        <w:trPr>
          <w:cantSplit/>
        </w:trPr>
        <w:tc>
          <w:tcPr>
            <w:tcW w:type="dxa" w:w="1701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M5 扩展生态</w:t>
            </w:r>
          </w:p>
        </w:tc>
        <w:tc>
          <w:tcPr>
            <w:tcW w:type="dxa" w:w="4535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WASM SDK、插件中心、MQ/DB 驱动</w:t>
            </w:r>
          </w:p>
        </w:tc>
        <w:tc>
          <w:tcPr>
            <w:tcW w:type="dxa" w:w="3288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第三方示例插件可独立开发、签名、安装和升级。</w:t>
            </w:r>
          </w:p>
        </w:tc>
      </w:tr>
    </w:tbl>
    <w:p>
      <w:pPr>
        <w:spacing w:after="40"/>
      </w:pPr>
    </w:p>
    <w:p>
      <w:pPr>
        <w:pStyle w:val="Heading2"/>
      </w:pPr>
      <w:r>
        <w:t>17.1 团队建议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  <w:cantSplit/>
        </w:trPr>
        <w:tc>
          <w:tcPr>
            <w:tcW w:type="dxa" w:w="2268"/>
            <w:shd w:fill="17324D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1417"/>
            <w:shd w:fill="17324D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建议人数</w:t>
            </w:r>
          </w:p>
        </w:tc>
        <w:tc>
          <w:tcPr>
            <w:tcW w:type="dxa" w:w="5839"/>
            <w:shd w:fill="17324D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职责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技术负责人/架构</w:t>
            </w:r>
          </w:p>
        </w:tc>
        <w:tc>
          <w:tcPr>
            <w:tcW w:type="dxa" w:w="141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1</w:t>
            </w:r>
          </w:p>
        </w:tc>
        <w:tc>
          <w:tcPr>
            <w:tcW w:type="dxa" w:w="583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架构、协议 SPI、安全、质量门禁、跨团队决策。</w:t>
            </w:r>
          </w:p>
        </w:tc>
      </w:tr>
      <w:tr>
        <w:trPr>
          <w:cantSplit/>
        </w:trPr>
        <w:tc>
          <w:tcPr>
            <w:tcW w:type="dxa" w:w="2268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Rust 工程师</w:t>
            </w:r>
          </w:p>
        </w:tc>
        <w:tc>
          <w:tcPr>
            <w:tcW w:type="dxa" w:w="1417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2-3</w:t>
            </w:r>
          </w:p>
        </w:tc>
        <w:tc>
          <w:tcPr>
            <w:tcW w:type="dxa" w:w="5839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协议内核、Driver、Agent、CLI、插件运行时。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前端工程师</w:t>
            </w:r>
          </w:p>
        </w:tc>
        <w:tc>
          <w:tcPr>
            <w:tcW w:type="dxa" w:w="141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2</w:t>
            </w:r>
          </w:p>
        </w:tc>
        <w:tc>
          <w:tcPr>
            <w:tcW w:type="dxa" w:w="583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React 工作台、编辑器、流式 UI、协作体验。</w:t>
            </w:r>
          </w:p>
        </w:tc>
      </w:tr>
      <w:tr>
        <w:trPr>
          <w:cantSplit/>
        </w:trPr>
        <w:tc>
          <w:tcPr>
            <w:tcW w:type="dxa" w:w="2268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Java 工程师</w:t>
            </w:r>
          </w:p>
        </w:tc>
        <w:tc>
          <w:tcPr>
            <w:tcW w:type="dxa" w:w="1417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1-2</w:t>
            </w:r>
          </w:p>
        </w:tc>
        <w:tc>
          <w:tcPr>
            <w:tcW w:type="dxa" w:w="5839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身份、工作区、同步、审计、Mock/自动化服务。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测试/质量</w:t>
            </w:r>
          </w:p>
        </w:tc>
        <w:tc>
          <w:tcPr>
            <w:tcW w:type="dxa" w:w="141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1-2</w:t>
            </w:r>
          </w:p>
        </w:tc>
        <w:tc>
          <w:tcPr>
            <w:tcW w:type="dxa" w:w="583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协议环境、自动化、三平台发布和安全测试。</w:t>
            </w:r>
          </w:p>
        </w:tc>
      </w:tr>
      <w:tr>
        <w:trPr>
          <w:cantSplit/>
        </w:trPr>
        <w:tc>
          <w:tcPr>
            <w:tcW w:type="dxa" w:w="2268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产品/设计</w:t>
            </w:r>
          </w:p>
        </w:tc>
        <w:tc>
          <w:tcPr>
            <w:tcW w:type="dxa" w:w="1417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1-2</w:t>
            </w:r>
          </w:p>
        </w:tc>
        <w:tc>
          <w:tcPr>
            <w:tcW w:type="dxa" w:w="5839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PRD、交互、协议优先级、用户研究和验收。</w:t>
            </w:r>
          </w:p>
        </w:tc>
      </w:tr>
    </w:tbl>
    <w:p>
      <w:pPr>
        <w:spacing w:after="40"/>
      </w:pPr>
    </w:p>
    <w:p>
      <w:pPr>
        <w:pStyle w:val="Heading1"/>
      </w:pPr>
      <w:r>
        <w:t>18 架构决策与待验证项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  <w:cantSplit/>
        </w:trPr>
        <w:tc>
          <w:tcPr>
            <w:tcW w:type="dxa" w:w="2835"/>
            <w:shd w:fill="17324D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ADR/PoC</w:t>
            </w:r>
          </w:p>
        </w:tc>
        <w:tc>
          <w:tcPr>
            <w:tcW w:type="dxa" w:w="1417"/>
            <w:shd w:fill="17324D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状态</w:t>
            </w:r>
          </w:p>
        </w:tc>
        <w:tc>
          <w:tcPr>
            <w:tcW w:type="dxa" w:w="5272"/>
            <w:shd w:fill="17324D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验证内容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ADR-001 Tauri 2 作为桌面壳</w:t>
            </w:r>
          </w:p>
        </w:tc>
        <w:tc>
          <w:tcPr>
            <w:tcW w:type="dxa" w:w="141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建议采用</w:t>
            </w:r>
          </w:p>
        </w:tc>
        <w:tc>
          <w:tcPr>
            <w:tcW w:type="dxa" w:w="52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Monaco、下载、自动更新、窗口和三平台 WebView 兼容性。</w:t>
            </w:r>
          </w:p>
        </w:tc>
      </w:tr>
      <w:tr>
        <w:trPr>
          <w:cantSplit/>
        </w:trPr>
        <w:tc>
          <w:tcPr>
            <w:tcW w:type="dxa" w:w="2835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ADR-002 Rust 作为统一协议内核</w:t>
            </w:r>
          </w:p>
        </w:tc>
        <w:tc>
          <w:tcPr>
            <w:tcW w:type="dxa" w:w="1417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建议采用</w:t>
            </w:r>
          </w:p>
        </w:tc>
        <w:tc>
          <w:tcPr>
            <w:tcW w:type="dxa" w:w="5272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Driver 开发效率、Java 团队学习成本、跨平台驱动成熟度。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ADR-003 Web 通过 Local Agent 扩展能力</w:t>
            </w:r>
          </w:p>
        </w:tc>
        <w:tc>
          <w:tcPr>
            <w:tcW w:type="dxa" w:w="141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建议采用</w:t>
            </w:r>
          </w:p>
        </w:tc>
        <w:tc>
          <w:tcPr>
            <w:tcW w:type="dxa" w:w="52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安全配对、浏览器证书、代理/企业网络兼容。</w:t>
            </w:r>
          </w:p>
        </w:tc>
      </w:tr>
      <w:tr>
        <w:trPr>
          <w:cantSplit/>
        </w:trPr>
        <w:tc>
          <w:tcPr>
            <w:tcW w:type="dxa" w:w="2835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ADR-004 WASM 为首选插件格式</w:t>
            </w:r>
          </w:p>
        </w:tc>
        <w:tc>
          <w:tcPr>
            <w:tcW w:type="dxa" w:w="1417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建议采用</w:t>
            </w:r>
          </w:p>
        </w:tc>
        <w:tc>
          <w:tcPr>
            <w:tcW w:type="dxa" w:w="5272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网络与 Secret 能力、异步接口、性能、调试体验。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ADR-005 QuickJS 作为脚本引擎</w:t>
            </w:r>
          </w:p>
        </w:tc>
        <w:tc>
          <w:tcPr>
            <w:tcW w:type="dxa" w:w="141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待 PoC</w:t>
            </w:r>
          </w:p>
        </w:tc>
        <w:tc>
          <w:tcPr>
            <w:tcW w:type="dxa" w:w="52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ES 特性、内存限制、异步 API、Windows/macOS/Linux 构建。</w:t>
            </w:r>
          </w:p>
        </w:tc>
      </w:tr>
      <w:tr>
        <w:trPr>
          <w:cantSplit/>
        </w:trPr>
        <w:tc>
          <w:tcPr>
            <w:tcW w:type="dxa" w:w="2835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ADR-006 Dubbo 实现</w:t>
            </w:r>
          </w:p>
        </w:tc>
        <w:tc>
          <w:tcPr>
            <w:tcW w:type="dxa" w:w="1417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待 PoC</w:t>
            </w:r>
          </w:p>
        </w:tc>
        <w:tc>
          <w:tcPr>
            <w:tcW w:type="dxa" w:w="5272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dubbo-rust 与 Java Sidecar 的兼容矩阵、注册中心、序列化。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ADR-007 云协议网关语言</w:t>
            </w:r>
          </w:p>
        </w:tc>
        <w:tc>
          <w:tcPr>
            <w:tcW w:type="dxa" w:w="141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待决策</w:t>
            </w:r>
          </w:p>
        </w:tc>
        <w:tc>
          <w:tcPr>
            <w:tcW w:type="dxa" w:w="52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Rust 复用内核 vs Java 服务治理；可采用 Rust Runner + Java 调度。</w:t>
            </w:r>
          </w:p>
        </w:tc>
      </w:tr>
      <w:tr>
        <w:trPr>
          <w:cantSplit/>
        </w:trPr>
        <w:tc>
          <w:tcPr>
            <w:tcW w:type="dxa" w:w="2835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ADR-008 项目文件格式</w:t>
            </w:r>
          </w:p>
        </w:tc>
        <w:tc>
          <w:tcPr>
            <w:tcW w:type="dxa" w:w="1417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待决策</w:t>
            </w:r>
          </w:p>
        </w:tc>
        <w:tc>
          <w:tcPr>
            <w:tcW w:type="dxa" w:w="5272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SQLite-only、JSON/YAML Git 友好格式或二者混合。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FFF5E8"/>
            <w:tcBorders>
              <w:top w:val="single" w:sz="4" w:color="FFF5E8"/>
              <w:left w:val="single" w:sz="18" w:color="B85C00"/>
              <w:bottom w:val="single" w:sz="4" w:color="FFF5E8"/>
              <w:right w:val="single" w:sz="4" w:color="FFF5E8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B85C00"/>
                <w:sz w:val="20"/>
              </w:rPr>
              <w:t xml:space="preserve">落地建议  </w:t>
            </w:r>
            <w:r>
              <w:rPr>
                <w:rFonts w:ascii="Noto Sans CJK SC" w:hAnsi="Noto Sans CJK SC" w:eastAsia="Noto Sans CJK SC"/>
                <w:color w:val="17324D"/>
                <w:sz w:val="20"/>
              </w:rPr>
              <w:t>优先完成 M0 PoC 再冻结技术基线。必须用真实协议场景验证 Tauri WebView、Agent 安全、WASM 异步网络和 QuickJS 沙箱，不应只依据示例项目做决策。</w:t>
            </w:r>
          </w:p>
        </w:tc>
      </w:tr>
    </w:tbl>
    <w:p>
      <w:pPr>
        <w:spacing w:after="0"/>
      </w:pPr>
    </w:p>
    <w:p>
      <w:pPr>
        <w:pStyle w:val="Heading1"/>
      </w:pPr>
      <w:r>
        <w:t>附录 A 关键接口示例</w:t>
      </w:r>
    </w:p>
    <w:p>
      <w:pPr>
        <w:pStyle w:val="Heading2"/>
      </w:pPr>
      <w:r>
        <w:t>A.1 创建执行请求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F6F8FA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1F2937"/>
                <w:sz w:val="16"/>
              </w:rPr>
              <w:t>POST /api/executions</w:t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6"/>
              </w:rPr>
              <w:t>{</w:t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6"/>
              </w:rPr>
              <w:t xml:space="preserve">  "requestId": "req_01J...",</w:t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6"/>
              </w:rPr>
              <w:t xml:space="preserve">  "channel": "local-agent",</w:t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6"/>
              </w:rPr>
              <w:t xml:space="preserve">  "environmentId": "env_test",</w:t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6"/>
              </w:rPr>
              <w:t xml:space="preserve">  "overrides": { "baseUrl": "https://api.example.com" },</w:t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6"/>
              </w:rPr>
              <w:t xml:space="preserve">  "options": { "saveHistory": true, "redact": true }</w:t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6"/>
              </w:rPr>
              <w:t>}</w:t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6"/>
              </w:rPr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6"/>
              </w:rPr>
              <w:t>202 Accepted</w:t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6"/>
              </w:rPr>
              <w:t>{</w:t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6"/>
              </w:rPr>
              <w:t xml:space="preserve">  "executionId": "run_01J...",</w:t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6"/>
              </w:rPr>
              <w:t xml:space="preserve">  "eventUrl": "/api/executions/run_01J.../events"</w:t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6"/>
              </w:rPr>
              <w:t>}</w:t>
              <w:br/>
            </w:r>
          </w:p>
        </w:tc>
      </w:tr>
    </w:tbl>
    <w:p>
      <w:pPr>
        <w:spacing w:after="0"/>
      </w:pPr>
    </w:p>
    <w:p>
      <w:pPr>
        <w:pStyle w:val="Heading2"/>
      </w:pPr>
      <w:r>
        <w:t>A.2 ExecutionEvent 示例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F6F8FA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1F2937"/>
                <w:sz w:val="16"/>
              </w:rPr>
              <w:t>{</w:t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6"/>
              </w:rPr>
              <w:t xml:space="preserve">  "executionId": "run_01J...",</w:t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6"/>
              </w:rPr>
              <w:t xml:space="preserve">  "seq": 18,</w:t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6"/>
              </w:rPr>
              <w:t xml:space="preserve">  "time": "2026-08-05T12:00:01.332+08:00",</w:t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6"/>
              </w:rPr>
              <w:t xml:space="preserve">  "type": "response_chunk",</w:t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6"/>
              </w:rPr>
              <w:t xml:space="preserve">  "payload": {</w:t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6"/>
              </w:rPr>
              <w:t xml:space="preserve">    "contentType": "application/json",</w:t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6"/>
              </w:rPr>
              <w:t xml:space="preserve">    "size": 4096,</w:t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6"/>
              </w:rPr>
              <w:t xml:space="preserve">    "blobRef": "blob://sha256/...",</w:t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6"/>
              </w:rPr>
              <w:t xml:space="preserve">    "preview": "{"code":0,...}"</w:t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6"/>
              </w:rPr>
              <w:t xml:space="preserve">  }</w:t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6"/>
              </w:rPr>
              <w:t>}</w:t>
              <w:br/>
            </w:r>
          </w:p>
        </w:tc>
      </w:tr>
    </w:tbl>
    <w:p>
      <w:pPr>
        <w:spacing w:after="0"/>
      </w:pPr>
    </w:p>
    <w:p>
      <w:pPr>
        <w:pStyle w:val="Heading2"/>
      </w:pPr>
      <w:r>
        <w:t>A.3 Java 服务接口约定</w:t>
      </w:r>
    </w:p>
    <w:p>
      <w:pPr>
        <w:pStyle w:val="ListBullet"/>
        <w:ind w:left="369" w:hanging="142"/>
      </w:pPr>
      <w:r>
        <w:rPr>
          <w:rFonts w:ascii="Noto Sans CJK SC" w:hAnsi="Noto Sans CJK SC" w:eastAsia="Noto Sans CJK SC"/>
          <w:color w:val="24313F"/>
          <w:sz w:val="20"/>
        </w:rPr>
        <w:t>统一响应只用于普通管理 API；SSE/WebSocket/文件下载不强行包装。</w:t>
      </w:r>
    </w:p>
    <w:p>
      <w:pPr>
        <w:pStyle w:val="ListBullet"/>
        <w:ind w:left="369" w:hanging="142"/>
      </w:pPr>
      <w:r>
        <w:rPr>
          <w:rFonts w:ascii="Noto Sans CJK SC" w:hAnsi="Noto Sans CJK SC" w:eastAsia="Noto Sans CJK SC"/>
          <w:color w:val="24313F"/>
          <w:sz w:val="20"/>
        </w:rPr>
        <w:t>错误使用稳定 code + message + details + traceId，禁止仅返回异常文本。</w:t>
      </w:r>
    </w:p>
    <w:p>
      <w:pPr>
        <w:pStyle w:val="ListBullet"/>
        <w:ind w:left="369" w:hanging="142"/>
      </w:pPr>
      <w:r>
        <w:rPr>
          <w:rFonts w:ascii="Noto Sans CJK SC" w:hAnsi="Noto Sans CJK SC" w:eastAsia="Noto Sans CJK SC"/>
          <w:color w:val="24313F"/>
          <w:sz w:val="20"/>
        </w:rPr>
        <w:t>所有写操作支持幂等键或版本号；同步 API 使用 revision 防止覆盖。</w:t>
      </w:r>
    </w:p>
    <w:p>
      <w:pPr>
        <w:pStyle w:val="ListBullet"/>
        <w:ind w:left="369" w:hanging="142"/>
      </w:pPr>
      <w:r>
        <w:rPr>
          <w:rFonts w:ascii="Noto Sans CJK SC" w:hAnsi="Noto Sans CJK SC" w:eastAsia="Noto Sans CJK SC"/>
          <w:color w:val="24313F"/>
          <w:sz w:val="20"/>
        </w:rPr>
        <w:t>分页默认游标模式用于历史/审计，普通配置列表可使用页码。</w:t>
      </w:r>
    </w:p>
    <w:p>
      <w:pPr>
        <w:pStyle w:val="Heading1"/>
      </w:pPr>
      <w:r>
        <w:t>附录 B 参考资料</w:t>
      </w:r>
    </w:p>
    <w:p>
      <w:r>
        <w:rPr>
          <w:rFonts w:ascii="Noto Sans CJK SC" w:hAnsi="Noto Sans CJK SC" w:eastAsia="Noto Sans CJK SC"/>
          <w:b/>
          <w:color w:val="17324D"/>
          <w:sz w:val="20"/>
        </w:rPr>
        <w:t>Tauri 2 文档：</w:t>
      </w:r>
      <w:hyperlink r:id="rId13">
        <w:r>
          <w:rPr>
            <w:rFonts w:ascii="Noto Sans CJK SC" w:hAnsi="Noto Sans CJK SC" w:eastAsia="Noto Sans CJK SC"/>
            <w:color w:val="246BCE"/>
            <w:u w:val="single"/>
          </w:rPr>
          <w:t>https://v2.tauri.app/</w:t>
        </w:r>
      </w:hyperlink>
    </w:p>
    <w:p>
      <w:r>
        <w:rPr>
          <w:rFonts w:ascii="Noto Sans CJK SC" w:hAnsi="Noto Sans CJK SC" w:eastAsia="Noto Sans CJK SC"/>
          <w:b/>
          <w:color w:val="17324D"/>
          <w:sz w:val="20"/>
        </w:rPr>
        <w:t>React 文档：</w:t>
      </w:r>
      <w:hyperlink r:id="rId14">
        <w:r>
          <w:rPr>
            <w:rFonts w:ascii="Noto Sans CJK SC" w:hAnsi="Noto Sans CJK SC" w:eastAsia="Noto Sans CJK SC"/>
            <w:color w:val="246BCE"/>
            <w:u w:val="single"/>
          </w:rPr>
          <w:t>https://react.dev/</w:t>
        </w:r>
      </w:hyperlink>
    </w:p>
    <w:p>
      <w:r>
        <w:rPr>
          <w:rFonts w:ascii="Noto Sans CJK SC" w:hAnsi="Noto Sans CJK SC" w:eastAsia="Noto Sans CJK SC"/>
          <w:b/>
          <w:color w:val="17324D"/>
          <w:sz w:val="20"/>
        </w:rPr>
        <w:t>Vite 文档：</w:t>
      </w:r>
      <w:hyperlink r:id="rId15">
        <w:r>
          <w:rPr>
            <w:rFonts w:ascii="Noto Sans CJK SC" w:hAnsi="Noto Sans CJK SC" w:eastAsia="Noto Sans CJK SC"/>
            <w:color w:val="246BCE"/>
            <w:u w:val="single"/>
          </w:rPr>
          <w:t>https://vite.dev/</w:t>
        </w:r>
      </w:hyperlink>
    </w:p>
    <w:p>
      <w:r>
        <w:rPr>
          <w:rFonts w:ascii="Noto Sans CJK SC" w:hAnsi="Noto Sans CJK SC" w:eastAsia="Noto Sans CJK SC"/>
          <w:b/>
          <w:color w:val="17324D"/>
          <w:sz w:val="20"/>
        </w:rPr>
        <w:t>Tokio 文档：</w:t>
      </w:r>
      <w:hyperlink r:id="rId16">
        <w:r>
          <w:rPr>
            <w:rFonts w:ascii="Noto Sans CJK SC" w:hAnsi="Noto Sans CJK SC" w:eastAsia="Noto Sans CJK SC"/>
            <w:color w:val="246BCE"/>
            <w:u w:val="single"/>
          </w:rPr>
          <w:t>https://tokio.rs/</w:t>
        </w:r>
      </w:hyperlink>
    </w:p>
    <w:p>
      <w:r>
        <w:rPr>
          <w:rFonts w:ascii="Noto Sans CJK SC" w:hAnsi="Noto Sans CJK SC" w:eastAsia="Noto Sans CJK SC"/>
          <w:b/>
          <w:color w:val="17324D"/>
          <w:sz w:val="20"/>
        </w:rPr>
        <w:t>Tower 文档：</w:t>
      </w:r>
      <w:hyperlink r:id="rId17">
        <w:r>
          <w:rPr>
            <w:rFonts w:ascii="Noto Sans CJK SC" w:hAnsi="Noto Sans CJK SC" w:eastAsia="Noto Sans CJK SC"/>
            <w:color w:val="246BCE"/>
            <w:u w:val="single"/>
          </w:rPr>
          <w:t>https://docs.rs/tower/</w:t>
        </w:r>
      </w:hyperlink>
    </w:p>
    <w:p>
      <w:r>
        <w:rPr>
          <w:rFonts w:ascii="Noto Sans CJK SC" w:hAnsi="Noto Sans CJK SC" w:eastAsia="Noto Sans CJK SC"/>
          <w:b/>
          <w:color w:val="17324D"/>
          <w:sz w:val="20"/>
        </w:rPr>
        <w:t>Wasmtime 文档：</w:t>
      </w:r>
      <w:hyperlink r:id="rId18">
        <w:r>
          <w:rPr>
            <w:rFonts w:ascii="Noto Sans CJK SC" w:hAnsi="Noto Sans CJK SC" w:eastAsia="Noto Sans CJK SC"/>
            <w:color w:val="246BCE"/>
            <w:u w:val="single"/>
          </w:rPr>
          <w:t>https://docs.wasmtime.dev/</w:t>
        </w:r>
      </w:hyperlink>
    </w:p>
    <w:p>
      <w:r>
        <w:rPr>
          <w:rFonts w:ascii="Noto Sans CJK SC" w:hAnsi="Noto Sans CJK SC" w:eastAsia="Noto Sans CJK SC"/>
          <w:b/>
          <w:color w:val="17324D"/>
          <w:sz w:val="20"/>
        </w:rPr>
        <w:t>WASI Component Model：</w:t>
      </w:r>
      <w:hyperlink r:id="rId19">
        <w:r>
          <w:rPr>
            <w:rFonts w:ascii="Noto Sans CJK SC" w:hAnsi="Noto Sans CJK SC" w:eastAsia="Noto Sans CJK SC"/>
            <w:color w:val="246BCE"/>
            <w:u w:val="single"/>
          </w:rPr>
          <w:t>https://component-model.bytecodealliance.org/</w:t>
        </w:r>
      </w:hyperlink>
    </w:p>
    <w:p>
      <w:r>
        <w:rPr>
          <w:rFonts w:ascii="Noto Sans CJK SC" w:hAnsi="Noto Sans CJK SC" w:eastAsia="Noto Sans CJK SC"/>
          <w:b/>
          <w:color w:val="17324D"/>
          <w:sz w:val="20"/>
        </w:rPr>
        <w:t>Spring Boot：</w:t>
      </w:r>
      <w:hyperlink r:id="rId20">
        <w:r>
          <w:rPr>
            <w:rFonts w:ascii="Noto Sans CJK SC" w:hAnsi="Noto Sans CJK SC" w:eastAsia="Noto Sans CJK SC"/>
            <w:color w:val="246BCE"/>
            <w:u w:val="single"/>
          </w:rPr>
          <w:t>https://spring.io/projects/spring-boot</w:t>
        </w:r>
      </w:hyperlink>
    </w:p>
    <w:p>
      <w:r>
        <w:rPr>
          <w:rFonts w:ascii="Noto Sans CJK SC" w:hAnsi="Noto Sans CJK SC" w:eastAsia="Noto Sans CJK SC"/>
          <w:b/>
          <w:color w:val="17324D"/>
          <w:sz w:val="20"/>
        </w:rPr>
        <w:t>OpenTelemetry：</w:t>
      </w:r>
      <w:hyperlink r:id="rId21">
        <w:r>
          <w:rPr>
            <w:rFonts w:ascii="Noto Sans CJK SC" w:hAnsi="Noto Sans CJK SC" w:eastAsia="Noto Sans CJK SC"/>
            <w:color w:val="246BCE"/>
            <w:u w:val="single"/>
          </w:rPr>
          <w:t>https://opentelemetry.io/docs/</w:t>
        </w:r>
      </w:hyperlink>
    </w:p>
    <w:p>
      <w:r>
        <w:rPr>
          <w:rFonts w:ascii="Noto Sans CJK SC" w:hAnsi="Noto Sans CJK SC" w:eastAsia="Noto Sans CJK SC"/>
          <w:b/>
          <w:color w:val="17324D"/>
          <w:sz w:val="20"/>
        </w:rPr>
        <w:t>OWASP ASVS：</w:t>
      </w:r>
      <w:hyperlink r:id="rId22">
        <w:r>
          <w:rPr>
            <w:rFonts w:ascii="Noto Sans CJK SC" w:hAnsi="Noto Sans CJK SC" w:eastAsia="Noto Sans CJK SC"/>
            <w:color w:val="246BCE"/>
            <w:u w:val="single"/>
          </w:rPr>
          <w:t>https://owasp.org/www-project-application-security-verification-standard/</w:t>
        </w:r>
      </w:hyperlink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91" w:bottom="1020" w:left="119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175"/>
      <w:gridCol w:w="3175"/>
      <w:gridCol w:w="3175"/>
    </w:tblGrid>
    <w:tr>
      <w:tc>
        <w:tcPr>
          <w:tcW w:type="dxa" w:w="3175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left"/>
          </w:pPr>
          <w:r>
            <w:rPr>
              <w:rFonts w:ascii="Noto Sans CJK SC" w:hAnsi="Noto Sans CJK SC" w:eastAsia="Noto Sans CJK SC"/>
              <w:color w:val="6C7A89"/>
              <w:sz w:val="16"/>
            </w:rPr>
            <w:t>多协议 API 调试工具</w:t>
          </w:r>
        </w:p>
      </w:tc>
      <w:tc>
        <w:tcPr>
          <w:tcW w:type="dxa" w:w="3175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center"/>
          </w:pPr>
          <w:r>
            <w:rPr>
              <w:rFonts w:ascii="Noto Sans CJK SC" w:hAnsi="Noto Sans CJK SC" w:eastAsia="Noto Sans CJK SC"/>
              <w:color w:val="6C7A89"/>
              <w:sz w:val="16"/>
            </w:rPr>
            <w:t>内部设计文档</w:t>
          </w:r>
        </w:p>
      </w:tc>
      <w:tc>
        <w:tcPr>
          <w:tcW w:type="dxa" w:w="3175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right"/>
          </w:pPr>
          <w:r>
            <w:rPr>
              <w:rFonts w:ascii="Noto Sans CJK SC" w:hAnsi="Noto Sans CJK SC" w:eastAsia="Noto Sans CJK SC"/>
              <w:color w:val="6C7A89"/>
              <w:sz w:val="16"/>
            </w:rPr>
            <w:t xml:space="preserve">第 </w:t>
          </w:r>
          <w:r>
            <w:fldChar w:fldCharType="begin"/>
            <w:instrText xml:space="preserve">PAGE</w:instrText>
            <w:fldChar w:fldCharType="end"/>
          </w:r>
          <w:r>
            <w:rPr>
              <w:rFonts w:ascii="Noto Sans CJK SC" w:hAnsi="Noto Sans CJK SC" w:eastAsia="Noto Sans CJK SC"/>
              <w:color w:val="6C7A89"/>
              <w:sz w:val="16"/>
            </w:rPr>
            <w:t xml:space="preserve"> 页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4" w:color="D9E0E7"/>
      </w:pBdr>
    </w:pPr>
    <w:r>
      <w:rPr>
        <w:rFonts w:ascii="Noto Sans CJK SC" w:hAnsi="Noto Sans CJK SC" w:eastAsia="Noto Sans CJK SC"/>
        <w:color w:val="6C7A89"/>
        <w:sz w:val="16"/>
      </w:rPr>
      <w:t>TECH  | 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Noto Sans CJK SC" w:hAnsi="Noto Sans CJK SC" w:eastAsia="Noto Sans CJK SC"/>
      <w:color w:val="24313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24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46BC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24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2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2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Noto Sans CJK SC" w:hAnsi="Noto Sans CJK SC" w:eastAsia="Noto Sans CJK SC"/>
      <w:b w:val="0"/>
      <w:i/>
      <w:iCs/>
      <w:color w:val="5D7185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20" w:line="240" w:lineRule="auto"/>
      <w:ind w:left="283" w:right="283"/>
    </w:pPr>
    <w:rPr>
      <w:rFonts w:ascii="Noto Sans Mono CJK SC" w:hAnsi="Noto Sans Mono CJK SC" w:eastAsia="Noto Sans Mono CJK SC"/>
      <w:color w:val="1F2937"/>
      <w:sz w:val="17"/>
    </w:rPr>
  </w:style>
  <w:style w:type="paragraph" w:customStyle="1" w:styleId="Callout">
    <w:name w:val="Callout"/>
    <w:pPr>
      <w:spacing w:before="100" w:after="160" w:line="288" w:lineRule="auto"/>
      <w:ind w:left="255" w:right="113"/>
    </w:pPr>
    <w:rPr>
      <w:rFonts w:ascii="Noto Sans CJK SC" w:hAnsi="Noto Sans CJK SC" w:eastAsia="Noto Sans CJK SC"/>
      <w:color w:val="17324D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hyperlink" Target="https://v2.tauri.app/" TargetMode="External"/><Relationship Id="rId14" Type="http://schemas.openxmlformats.org/officeDocument/2006/relationships/hyperlink" Target="https://react.dev/" TargetMode="External"/><Relationship Id="rId15" Type="http://schemas.openxmlformats.org/officeDocument/2006/relationships/hyperlink" Target="https://vite.dev/" TargetMode="External"/><Relationship Id="rId16" Type="http://schemas.openxmlformats.org/officeDocument/2006/relationships/hyperlink" Target="https://tokio.rs/" TargetMode="External"/><Relationship Id="rId17" Type="http://schemas.openxmlformats.org/officeDocument/2006/relationships/hyperlink" Target="https://docs.rs/tower/" TargetMode="External"/><Relationship Id="rId18" Type="http://schemas.openxmlformats.org/officeDocument/2006/relationships/hyperlink" Target="https://docs.wasmtime.dev/" TargetMode="External"/><Relationship Id="rId19" Type="http://schemas.openxmlformats.org/officeDocument/2006/relationships/hyperlink" Target="https://component-model.bytecodealliance.org/" TargetMode="External"/><Relationship Id="rId20" Type="http://schemas.openxmlformats.org/officeDocument/2006/relationships/hyperlink" Target="https://spring.io/projects/spring-boot" TargetMode="External"/><Relationship Id="rId21" Type="http://schemas.openxmlformats.org/officeDocument/2006/relationships/hyperlink" Target="https://opentelemetry.io/docs/" TargetMode="External"/><Relationship Id="rId22" Type="http://schemas.openxmlformats.org/officeDocument/2006/relationships/hyperlink" Target="https://owasp.org/www-project-application-security-verification-standard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多协议 API 调试工具技术架构设计</dc:title>
  <dc:subject>跨平台多协议调试工具技术设计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