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9524"/>
            <w:shd w:fill="EAF2FD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6BCE"/>
                <w:sz w:val="18"/>
              </w:rPr>
              <w:t>PROJECT DOCUMENT</w:t>
            </w:r>
          </w:p>
        </w:tc>
      </w:tr>
    </w:tbl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24D"/>
          <w:sz w:val="56"/>
        </w:rPr>
        <w:t>多协议 API 调试工具</w:t>
      </w:r>
    </w:p>
    <w:p>
      <w:pPr>
        <w:pStyle w:val="Subtitle"/>
      </w:pPr>
      <w:r>
        <w:rPr>
          <w:rFonts w:ascii="Noto Sans CJK SC" w:hAnsi="Noto Sans CJK SC" w:eastAsia="Noto Sans CJK SC"/>
          <w:color w:val="5D7185"/>
          <w:sz w:val="26"/>
        </w:rPr>
        <w:t>产品需求文档（PRD）</w:t>
      </w:r>
    </w:p>
    <w:p>
      <w:pPr>
        <w:spacing w:before="360"/>
      </w:pPr>
      <w:r>
        <w:rPr>
          <w:rFonts w:ascii="Noto Serif CJK SC" w:hAnsi="Noto Serif CJK SC" w:eastAsia="Noto Serif CJK SC"/>
          <w:color w:val="40566C"/>
          <w:sz w:val="24"/>
        </w:rPr>
        <w:t>面向开发者、测试人员和平台团队的一体化、多协议、可扩展调试工作台</w:t>
      </w:r>
    </w:p>
    <w:p>
      <w:r>
        <w:br/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5386"/>
      </w:tblGrid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文档版本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V1.1</w:t>
            </w:r>
          </w:p>
        </w:tc>
      </w:tr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编制日期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2026-08-05</w:t>
            </w:r>
          </w:p>
        </w:tc>
      </w:tr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文档状态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评审稿</w:t>
            </w:r>
          </w:p>
        </w:tc>
      </w:tr>
      <w:tr>
        <w:tc>
          <w:tcPr>
            <w:tcW w:type="dxa" w:w="4762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适用范围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Noto Sans CJK SC" w:hAnsi="Noto Sans CJK SC" w:eastAsia="Noto Sans CJK SC"/>
                <w:color w:val="24313F"/>
                <w:sz w:val="19"/>
              </w:rPr>
              <w:t>Windows / macOS / Linux；桌面端与 Web 端</w:t>
            </w:r>
          </w:p>
        </w:tc>
      </w:tr>
    </w:tbl>
    <w:p>
      <w:pPr>
        <w:spacing w:before="560"/>
      </w:pPr>
      <w:r>
        <w:rPr>
          <w:rFonts w:ascii="Noto Sans CJK SC" w:hAnsi="Noto Sans CJK SC" w:eastAsia="Noto Sans CJK SC"/>
          <w:color w:val="6C7A89"/>
          <w:sz w:val="18"/>
        </w:rPr>
        <w:t>说明：项目名称暂未最终确定，本文统一使用“多协议 API 调试工具”作为产品代称。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2381"/>
            <w:shd w:fill="17324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变更说明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V0.9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2026-07-29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初稿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形成产品方向、竞品范围和多协议定位。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V1.0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2026-08-05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架构补充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明确跨平台桌面端、Web 端、本地代理及云端协作架构。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V1.1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2026-08-05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本次更新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补齐协议分期、用户流程、非功能要求、验收标准与版本计划。</w:t>
            </w:r>
          </w:p>
        </w:tc>
      </w:tr>
    </w:tbl>
    <w:p/>
    <w:p>
      <w:pPr>
        <w:pStyle w:val="Callout"/>
      </w:pPr>
      <w:r>
        <w:rPr>
          <w:rFonts w:ascii="Noto Sans CJK SC" w:hAnsi="Noto Sans CJK SC" w:eastAsia="Noto Sans CJK SC"/>
          <w:color w:val="17324D"/>
          <w:sz w:val="20"/>
        </w:rPr>
        <w:t>本版本用于产品立项、方案评审和研发拆解。协议支持范围按阶段推进，不以首版一次性实现“所有协议”为目标，而是通过统一内核与插件机制持续扩展。</w:t>
      </w:r>
    </w:p>
    <w:p>
      <w:pPr>
        <w:pStyle w:val="Heading1"/>
      </w:pPr>
      <w:r>
        <w:t>目录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  项目概述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2  产品定位与目标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3  范围与版本边界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4  用户角色与核心场景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5  产品形态与运行模式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6  核心概念与信息架构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7  功能需求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8  协议支持矩阵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9  关键用户流程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10  权限与团队协作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11  非功能需求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12  安全与隐私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13  数据指标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14  验收标准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15  版本计划</w:t>
      </w:r>
    </w:p>
    <w:p>
      <w:pPr>
        <w:spacing w:after="80"/>
        <w:ind w:left="170"/>
      </w:pPr>
      <w:r>
        <w:rPr>
          <w:rFonts w:ascii="Noto Sans CJK SC" w:hAnsi="Noto Sans CJK SC" w:eastAsia="Noto Sans CJK SC"/>
          <w:b/>
          <w:color w:val="17324D"/>
          <w:sz w:val="21"/>
        </w:rPr>
        <w:t>16  风险与待决策事项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背景</w:t>
      </w:r>
    </w:p>
    <w:p>
      <w:r>
        <w:t>现有接口调试工具通常以 HTTP/REST 为中心，对消息队列、数据库、TCP/UDP、IoT、Dubbo/Thrift 等协议的支持分散在不同工具中。开发者需要频繁切换应用、重复管理环境变量与认证信息，团队也难以在同一项目空间中复用请求、脚本、测试和文档。</w:t>
      </w:r>
    </w:p>
    <w:p>
      <w:r>
        <w:t>本项目拟建设一个轻量级、跨平台、桌面与 Web 双形态的多协议调试工具。产品以统一工作区、统一请求模型、统一测试与脚本能力为基础，通过内置驱动和插件机制覆盖主流及长尾协议。</w:t>
      </w:r>
    </w:p>
    <w:p>
      <w:pPr>
        <w:pStyle w:val="Heading2"/>
      </w:pPr>
      <w:r>
        <w:t>1.2 问题定义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工具割裂：</w:t>
      </w:r>
      <w:r>
        <w:rPr>
          <w:rFonts w:ascii="Noto Sans CJK SC" w:hAnsi="Noto Sans CJK SC" w:eastAsia="Noto Sans CJK SC"/>
          <w:color w:val="24313F"/>
          <w:sz w:val="20"/>
        </w:rPr>
        <w:t>HTTP、MQ、数据库、Socket、IoT 等调试流程分散，项目上下文无法统一。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协作困难：</w:t>
      </w:r>
      <w:r>
        <w:rPr>
          <w:rFonts w:ascii="Noto Sans CJK SC" w:hAnsi="Noto Sans CJK SC" w:eastAsia="Noto Sans CJK SC"/>
          <w:color w:val="24313F"/>
          <w:sz w:val="20"/>
        </w:rPr>
        <w:t>请求集合、环境变量、证书、脚本和测试结果缺少可靠的团队同步与版本治理。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浏览器受限：</w:t>
      </w:r>
      <w:r>
        <w:rPr>
          <w:rFonts w:ascii="Noto Sans CJK SC" w:hAnsi="Noto Sans CJK SC" w:eastAsia="Noto Sans CJK SC"/>
          <w:color w:val="24313F"/>
          <w:sz w:val="20"/>
        </w:rPr>
        <w:t>Web 页面无法直接访问任意 TCP/UDP、串口、数据库及部分消息中间件，需要本地代理或云端网关。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扩展成本高：</w:t>
      </w:r>
      <w:r>
        <w:rPr>
          <w:rFonts w:ascii="Noto Sans CJK SC" w:hAnsi="Noto Sans CJK SC" w:eastAsia="Noto Sans CJK SC"/>
          <w:color w:val="24313F"/>
          <w:sz w:val="20"/>
        </w:rPr>
        <w:t>每增加一种协议都修改核心产品，容易形成耦合、体积膨胀和质量不可控。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安全风险：</w:t>
      </w:r>
      <w:r>
        <w:rPr>
          <w:rFonts w:ascii="Noto Sans CJK SC" w:hAnsi="Noto Sans CJK SC" w:eastAsia="Noto Sans CJK SC"/>
          <w:color w:val="24313F"/>
          <w:sz w:val="20"/>
        </w:rPr>
        <w:t>密钥、证书、Token、数据库口令和流量内容需要本地优先、分级脱敏和最小权限管理。</w:t>
      </w:r>
    </w:p>
    <w:p>
      <w:pPr>
        <w:pStyle w:val="Heading2"/>
      </w:pPr>
      <w:r>
        <w:t>1.3 文档目标</w:t>
      </w:r>
    </w:p>
    <w:p>
      <w:r>
        <w:t>明确产品目标、目标用户、功能范围、协议分期、产品形态、非功能要求、验收标准及版本计划，为产品设计、技术设计、研发排期和测试验收提供统一依据。</w:t>
      </w:r>
    </w:p>
    <w:p>
      <w:pPr>
        <w:pStyle w:val="Heading1"/>
      </w:pPr>
      <w:r>
        <w:t>2 产品定位与目标</w:t>
      </w:r>
    </w:p>
    <w:p>
      <w:pPr>
        <w:pStyle w:val="Heading2"/>
      </w:pPr>
      <w:r>
        <w:t>2.1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D"/>
            <w:tcBorders>
              <w:top w:val="single" w:sz="4" w:color="EAF2FD"/>
              <w:left w:val="single" w:sz="18" w:color="246BCE"/>
              <w:bottom w:val="single" w:sz="4" w:color="EAF2FD"/>
              <w:right w:val="single" w:sz="4" w:color="EAF2F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6BCE"/>
                <w:sz w:val="20"/>
              </w:rPr>
              <w:t xml:space="preserve">定位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一个“本地优先、桌面/Web 一致、多协议可扩展”的开发者调试工作台，而不是仅面向 HTTP 的接口客户端。</w:t>
            </w:r>
          </w:p>
        </w:tc>
      </w:tr>
    </w:tbl>
    <w:p>
      <w:pPr>
        <w:spacing w:after="0"/>
      </w:pPr>
    </w:p>
    <w:p>
      <w:pPr>
        <w:pStyle w:val="Heading2"/>
      </w:pPr>
      <w:r>
        <w:t>2.2 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目标编号</w:t>
            </w:r>
          </w:p>
        </w:tc>
        <w:tc>
          <w:tcPr>
            <w:tcW w:type="dxa" w:w="226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953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衡量方式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统一调试入口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MVP 覆盖 HTTP、WebSocket、SSE、GraphQL、gRPC、TCP、UDP，并共享环境、历史、脚本与测试。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G2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跨平台一致</w:t>
            </w:r>
          </w:p>
        </w:tc>
        <w:tc>
          <w:tcPr>
            <w:tcW w:type="dxa" w:w="595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Windows、macOS、Linux 桌面端核心功能一致；Web 端在连接 Local Agent 后获得近似桌面能力。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G3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轻量与高性能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常用请求快速启动，流式大响应不阻塞 UI，长连接支持取消、重连和背压。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G4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可持续扩展</w:t>
            </w:r>
          </w:p>
        </w:tc>
        <w:tc>
          <w:tcPr>
            <w:tcW w:type="dxa" w:w="595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协议通过统一 Driver 接口与 WASM 插件扩展，核心升级不破坏已安装插件。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G5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团队可治理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支持项目、集合、环境、角色、审计、同步、评论、版本与导入导出。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G6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安全默认值</w:t>
            </w:r>
          </w:p>
        </w:tc>
        <w:tc>
          <w:tcPr>
            <w:tcW w:type="dxa" w:w="595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机密信息不明文落盘；日志、分享、导出默认脱敏；云同步可按字段关闭。</w:t>
            </w:r>
          </w:p>
        </w:tc>
      </w:tr>
    </w:tbl>
    <w:p>
      <w:pPr>
        <w:spacing w:after="40"/>
      </w:pPr>
    </w:p>
    <w:p>
      <w:pPr>
        <w:pStyle w:val="Heading2"/>
      </w:pPr>
      <w:r>
        <w:t>2.3 非目标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首版不替代 Wireshark 等专业全流量抓包分析工具。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首版不承诺一次性实现所有行业协议，而是优先统一模型和扩展能力。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首版不建设完整 API 管理门户、计费网关或生产级服务治理平台。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不默认上传用户请求、响应、证书或密钥到云端。</w:t>
      </w:r>
    </w:p>
    <w:p>
      <w:pPr>
        <w:pStyle w:val="Heading1"/>
      </w:pPr>
      <w:r>
        <w:t>3 范围与版本边界</w:t>
      </w:r>
    </w:p>
    <w:p>
      <w:pPr>
        <w:pStyle w:val="Heading2"/>
      </w:pPr>
      <w:r>
        <w:t>3.1 产品范围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47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96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包含</w:t>
            </w:r>
          </w:p>
        </w:tc>
        <w:tc>
          <w:tcPr>
            <w:tcW w:type="dxa" w:w="396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不包含/后续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请求调试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构建、发送、查看、保存、复制、重放、比较、流式查看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生产流量全量代理和深度包解析后置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自动化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前后置脚本、断言、变量提取、集合运行、CLI/CI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大型压测平台后置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协作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项目、团队、角色、同步、评论、审计、版本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复杂研发流程与需求管理由外部系统承担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Mock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HTTP/WebSocket 基础 Mock、规则路由、延迟与错误注入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复杂服务虚拟化后置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扩展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协议插件、认证插件、转换器、导入导出器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未经签名插件默认禁止高权限能力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AI 辅助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生成请求、解释错误、生成断言、敏感字段提示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不允许 AI 自动发送高风险请求</w:t>
            </w:r>
          </w:p>
        </w:tc>
      </w:tr>
    </w:tbl>
    <w:p>
      <w:pPr>
        <w:spacing w:after="40"/>
      </w:pPr>
    </w:p>
    <w:p>
      <w:pPr>
        <w:pStyle w:val="Heading2"/>
      </w:pPr>
      <w:r>
        <w:t>3.2 优先级定义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317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7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17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P0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核心闭环不可缺失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影响首版发布，必须完成并通过验收。</w:t>
            </w:r>
          </w:p>
        </w:tc>
      </w:tr>
      <w:tr>
        <w:trPr>
          <w:cantSplit/>
        </w:trPr>
        <w:tc>
          <w:tcPr>
            <w:tcW w:type="dxa" w:w="317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P1</w:t>
            </w:r>
          </w:p>
        </w:tc>
        <w:tc>
          <w:tcPr>
            <w:tcW w:type="dxa" w:w="317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显著提升可用性</w:t>
            </w:r>
          </w:p>
        </w:tc>
        <w:tc>
          <w:tcPr>
            <w:tcW w:type="dxa" w:w="317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首版尽量包含，无法完成需给出降级方案。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P2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增强与差异化</w:t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进入后续版本或插件实现。</w:t>
            </w:r>
          </w:p>
        </w:tc>
      </w:tr>
      <w:tr>
        <w:trPr>
          <w:cantSplit/>
        </w:trPr>
        <w:tc>
          <w:tcPr>
            <w:tcW w:type="dxa" w:w="317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P3</w:t>
            </w:r>
          </w:p>
        </w:tc>
        <w:tc>
          <w:tcPr>
            <w:tcW w:type="dxa" w:w="317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探索性能力</w:t>
            </w:r>
          </w:p>
        </w:tc>
        <w:tc>
          <w:tcPr>
            <w:tcW w:type="dxa" w:w="317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需要验证场景、合规与商业价值。</w:t>
            </w:r>
          </w:p>
        </w:tc>
      </w:tr>
    </w:tbl>
    <w:p>
      <w:pPr>
        <w:spacing w:after="40"/>
      </w:pPr>
    </w:p>
    <w:p>
      <w:pPr>
        <w:pStyle w:val="Heading1"/>
      </w:pPr>
      <w:r>
        <w:t>4 用户角色与核心场景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51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408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关键诉求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后端开发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调试接口、长连接、MQ、数据库、微服务协议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快速切换环境、代码片段、变量链路、证书与协议细节可见。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前端/客户端开发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联调 HTTP、GraphQL、WebSocket、SSE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Mock、跨域规避、响应格式化、事件流调试。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测试工程师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构建测试集合、断言、数据驱动、回归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可重复执行、报告、失败定位、CI 集成。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平台/中间件工程师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调试 Kafka、MQTT、AMQP、Redis、DB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连接管理、消费位点、消息元数据、TLS/SASL。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IoT/嵌入式工程师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TCP/UDP、CoAP、Modbus、串口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十六进制、编码、校验、帧拆分、实时曲线。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团队管理员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成员、权限、审计、私有化与策略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最小权限、机密隔离、组织级配置和可追溯性。</w:t>
            </w:r>
          </w:p>
        </w:tc>
      </w:tr>
    </w:tbl>
    <w:p>
      <w:pPr>
        <w:spacing w:after="40"/>
      </w:pPr>
    </w:p>
    <w:p>
      <w:pPr>
        <w:pStyle w:val="Heading2"/>
      </w:pPr>
      <w:r>
        <w:t>4.1 典型场景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开发者导入 OpenAPI 文档，选择测试环境，填写变量后发送请求并保存为集合。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用户通过 Web 端连接本机 Local Agent，直接访问内网 gRPC、TCP、Kafka 或数据库。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测试人员从登录接口提取 Token，串联多个请求并运行断言，生成可下载报告。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平台工程师订阅 MQTT Topic 或 Kafka Consumer Group，查看消息头、分区、偏移量和消费延迟。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IoT 工程师以十六进制编辑 TCP/UDP 报文，使用分帧规则解析响应并持续绘制字段变化。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6.  </w:t>
      </w:r>
      <w:r>
        <w:rPr>
          <w:rFonts w:ascii="Noto Sans CJK SC" w:hAnsi="Noto Sans CJK SC" w:eastAsia="Noto Sans CJK SC"/>
          <w:color w:val="24313F"/>
          <w:sz w:val="20"/>
        </w:rPr>
        <w:t>团队管理员要求证书与密钥仅保留本机，项目结构和非敏感变量同步到团队云空间。</w:t>
      </w:r>
    </w:p>
    <w:p>
      <w:pPr>
        <w:pStyle w:val="Heading1"/>
      </w:pPr>
      <w:r>
        <w:t>5 产品形态与运行模式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2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形态</w:t>
            </w:r>
          </w:p>
        </w:tc>
        <w:tc>
          <w:tcPr>
            <w:tcW w:type="dxa" w:w="453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能力边界</w:t>
            </w:r>
          </w:p>
        </w:tc>
        <w:tc>
          <w:tcPr>
            <w:tcW w:type="dxa" w:w="306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推荐场景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桌面端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拥有完整本地协议能力、文件系统、系统密钥链、证书和插件管理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个人开发、内网调试、串口/Socket/数据库/MQ。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Web 端（纯浏览器）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HTTP/HTTPS、WebSocket、部分 WebTransport/GraphQL；受浏览器安全模型限制</w:t>
            </w:r>
          </w:p>
        </w:tc>
        <w:tc>
          <w:tcPr>
            <w:tcW w:type="dxa" w:w="306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快速查看、团队协作、公开网络接口。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Web + Local Agent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通过 localhost 安全通道调用本地协议内核，获得接近桌面端的能力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不安装完整桌面 UI，但需要访问本地/内网资源。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Web + 云协议网关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由云端受控执行请求，适合团队自动化和远程环境</w:t>
            </w:r>
          </w:p>
        </w:tc>
        <w:tc>
          <w:tcPr>
            <w:tcW w:type="dxa" w:w="306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CI、定时任务、共享 Mock、远程测试；需明确数据合规。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CLI/Runner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无界面运行集合和测试，输出结构化报告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CI/CD、批量回归、脚本化操作。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5E8"/>
            <w:tcBorders>
              <w:top w:val="single" w:sz="4" w:color="FFF5E8"/>
              <w:left w:val="single" w:sz="18" w:color="B85C00"/>
              <w:bottom w:val="single" w:sz="4" w:color="FFF5E8"/>
              <w:right w:val="single" w:sz="4" w:color="FFF5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85C00"/>
                <w:sz w:val="20"/>
              </w:rPr>
              <w:t xml:space="preserve">关键原则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Web 端不是“阉割版桌面端”。产品应明确展示当前执行通道：浏览器、Local Agent 或云协议网关，并对能力、数据流向和风险进行可见提示。</w:t>
            </w:r>
          </w:p>
        </w:tc>
      </w:tr>
    </w:tbl>
    <w:p>
      <w:pPr>
        <w:spacing w:after="0"/>
      </w:pPr>
    </w:p>
    <w:p>
      <w:pPr>
        <w:pStyle w:val="Heading1"/>
      </w:pPr>
      <w:r>
        <w:t>6 核心概念与信息架构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74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主要关系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工作区 Workspace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个人或团队的最高级容器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包含项目、成员、策略和审计。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项目 Project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某个系统或业务的调试资产集合</w:t>
            </w:r>
          </w:p>
        </w:tc>
        <w:tc>
          <w:tcPr>
            <w:tcW w:type="dxa" w:w="374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包含集合、环境、变量、证书引用、Mock、运行记录。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集合 Collection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按模块组织的请求与流程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包含文件夹、请求、示例、测试套件。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请求 Request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协议无关的请求实体 + 协议专有配置</w:t>
            </w:r>
          </w:p>
        </w:tc>
        <w:tc>
          <w:tcPr>
            <w:tcW w:type="dxa" w:w="374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引用环境、认证、脚本和协议驱动。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环境 Environment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变量与连接配置的命名集合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支持本地值、共享值和机密值。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连接 Connection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可复用的长连接/会话定义</w:t>
            </w:r>
          </w:p>
        </w:tc>
        <w:tc>
          <w:tcPr>
            <w:tcW w:type="dxa" w:w="374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MQ、DB、TCP、gRPC Channel 等复用。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运行 Run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一次请求或集合执行记录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包含步骤、日志、指标、断言和产物。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插件 Plugin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扩展协议、认证、转换器或导入导出</w:t>
            </w:r>
          </w:p>
        </w:tc>
        <w:tc>
          <w:tcPr>
            <w:tcW w:type="dxa" w:w="374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声明能力、权限、版本和兼容范围。</w:t>
            </w:r>
          </w:p>
        </w:tc>
      </w:tr>
    </w:tbl>
    <w:p>
      <w:pPr>
        <w:spacing w:after="40"/>
      </w:pPr>
    </w:p>
    <w:p>
      <w:pPr>
        <w:pStyle w:val="Heading2"/>
      </w:pPr>
      <w:r>
        <w:t>6.1 页面结构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左侧：工作区、项目、集合、历史、Mock、运行、插件。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中间：请求编辑器；根据协议切换参数、消息、帧、Topic、SQL、Schema 等面板。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右侧：环境变量、连接信息、证书、文档、协作评论。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底部：响应、事件流、时间线、网络日志、断言结果、控制台和性能指标。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全局命令面板：新建请求、切换环境、搜索、运行集合、连接 Agent、打开插件。</w:t>
      </w:r>
    </w:p>
    <w:p>
      <w:pPr>
        <w:pStyle w:val="Heading1"/>
      </w:pPr>
      <w:r>
        <w:t>7 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850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1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850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566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需求摘要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工作区与项目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创建个人/团队工作区；项目模板；收藏、归档、搜索、最近访问。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F-002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集合与目录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树形管理请求；拖拽排序；复制、移动、批量标签；示例与说明。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F-003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统一请求编辑器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协议无关的名称、描述、环境、认证、脚本、测试；协议专有编辑区域。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F-004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请求执行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发送、取消、超时、重试、重定向、代理、TLS、压缩、流式响应。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F-005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响应工作台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原文/格式化/十六进制/表格/预览；Headers、Trailers、事件帧、耗时、大小。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F-006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环境与变量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全局/工作区/项目/环境/集合/请求多级变量；动态变量；作用域预览。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F-007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机密管理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Secret 类型；OS Keychain；不可回显；分享与导出默认排除。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F-008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认证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Basic、Bearer、API Key、OAuth 2.0、JWT、证书；插件认证扩展。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F-009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前后置脚本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JavaScript 沙箱；变量、加解密、签名、请求变换、响应处理。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F-010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断言与测试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状态、时间、大小、Header、JSONPath/XPath、Schema、自定义脚本。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F-011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历史与重放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本地历史、筛选、固定、重发、对比、从历史生成请求。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F-012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导入导出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P0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OpenAPI、cURL、HAR、Postman Collection；项目包；敏感信息检查。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F-013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代码生成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P1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生成多语言请求代码，支持复制与模板插件。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F-014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集合运行器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P1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顺序/并发、数据驱动、失败策略、重试、报告和 CLI。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F-015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Mock 服务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P1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HTTP/WebSocket 规则、动态模板、延迟、错误码、场景切换。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F-016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团队协作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P1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成员、角色、评论、同步、冲突处理、版本历史、审计。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F-017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插件中心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P1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安装、升级、禁用、权限审核、签名校验、兼容性提示。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F-018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AI 辅助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P2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从描述生成请求；解释错误；生成断言；识别敏感字段和缺失参数。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F-019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流量代理与抓包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P2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显式代理、HTTPS 证书管理、请求重放；遵循授权边界。</w:t>
            </w:r>
          </w:p>
        </w:tc>
      </w:tr>
      <w:tr>
        <w:trPr>
          <w:cantSplit/>
        </w:trP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F-020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私有化部署</w:t>
            </w:r>
          </w:p>
        </w:tc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P2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协作服务、协议网关、对象存储和审计组件可独立部署。</w:t>
            </w:r>
          </w:p>
        </w:tc>
      </w:tr>
    </w:tbl>
    <w:p>
      <w:pPr>
        <w:spacing w:after="40"/>
      </w:pPr>
    </w:p>
    <w:p>
      <w:pPr>
        <w:pStyle w:val="Heading2"/>
      </w:pPr>
      <w:r>
        <w:t>7.1 统一请求编辑器详细要求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新建请求时先选择协议；最近协议和常用模板置顶。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请求采用“公共区 + 协议区”布局，公共区包含名称、环境、认证、脚本、测试、文档和保存位置。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字段支持原始值、变量引用、表达式和 Secret 引用，并可查看最终解析值（Secret 仅显示占位）。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支持请求复制、生成分享链接、生成最小复现包；分享前执行敏感信息扫描。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长连接请求可独立管理连接生命周期，支持连接、断开、重连、订阅、发送和消息时间线。</w:t>
      </w:r>
    </w:p>
    <w:p>
      <w:pPr>
        <w:pStyle w:val="Heading2"/>
      </w:pPr>
      <w:r>
        <w:t>7.2 响应与事件流详细要求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流式数据按事件增量展示，不等待全部完成；支持暂停渲染但不暂停接收。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大响应采用虚拟列表或分块读取，避免一次性加载导致界面卡顿。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结构化响应支持 JSON、XML、Protobuf、MessagePack、表格与二进制十六进制视图。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时间线展示 DNS、连接、TLS、TTFB、下载、重试和脚本耗时；不适用阶段显示为 N/A。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敏感字段按内置规则、用户规则和组织策略自动掩码。</w:t>
      </w:r>
    </w:p>
    <w:p>
      <w:pPr>
        <w:pStyle w:val="Heading2"/>
      </w:pPr>
      <w:r>
        <w:t>7.3 自动化与脚本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脚本 API 使用能力白名单，不直接暴露任意文件系统、进程或网络访问。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集合运行支持环境矩阵、CSV/JSON 数据集、串行/并行、失败即停或继续执行。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运行报告包含步骤、断言、日志、变量变更、耗时分布、失败原因和重试信息。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CLI 与 GUI 使用同一执行内核，确保本地调试和 CI 结果一致。</w:t>
      </w:r>
    </w:p>
    <w:p>
      <w:pPr>
        <w:pStyle w:val="Heading1"/>
      </w:pPr>
      <w:r>
        <w:t>8 协议支持矩阵</w:t>
      </w:r>
    </w:p>
    <w:p>
      <w:pPr>
        <w:pStyle w:val="Heading2"/>
      </w:pPr>
      <w:r>
        <w:t>8.1 分期原则</w:t>
      </w:r>
    </w:p>
    <w:p>
      <w:r>
        <w:t>协议优先级综合考虑使用频率、统一模型复用程度、跨平台驱动成熟度、测试可控性和维护成本。所有协议必须先通过能力声明接入，不允许在 UI 或执行层出现大面积协议特判。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1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</w:t>
            </w:r>
          </w:p>
        </w:tc>
        <w:tc>
          <w:tcPr>
            <w:tcW w:type="dxa" w:w="6350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核心能力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HTTP/HTTPS/REST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请求、重定向、代理、TLS、Cookie、文件、流式下载、OpenAPI/cURL/HAR。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WebSocket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连接、Header、子协议、文本/二进制帧、Ping/Pong、自动重连、消息时间线。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SSE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事件流、Last-Event-ID、重连、事件类型、增量渲染。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GraphQL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Query/Mutation、Variables、Schema、Introspection、订阅（WebSocket）。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gRPC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Proto 导入、反射、Unary/Client/Server/Bidi Streaming、Metadata、TLS。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TCP/UDP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文本/十六进制、编码、分帧、粘包拆包、TLS（TCP）、重发与定时发送。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MQTT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Broker、TLS、QoS、Retain、订阅、会话、遗嘱、消息时间线。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AMQP 0-9-1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Exchange/Queue/Binding、发布、消费、Ack、Headers、TLS。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Kafka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集群连接、SASL/TLS、Topic、分区、Key/Header、生产/消费、Offset。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Redis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Standalone/Sentinel/Cluster、命令、Pipeline、Pub/Sub、Stream、TLS。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SQL 数据库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PostgreSQL/MySQL/SQLite/SQL Server；连接、SQL、参数、结果、事务。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SOAP/JSON-RPC/XML-RPC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WSDL/Schema、方法模板、Header、格式化、验证。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3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Dubbo/Thrift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IDL/注册中心/直连、泛化调用、元数据、超时、序列化。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3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RocketMQ/Pulsar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生产/消费、Tag/Key/订阅、延迟/顺序等能力按驱动支持。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3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CoAP/Modbus/串口</w:t>
            </w:r>
          </w:p>
        </w:tc>
        <w:tc>
          <w:tcPr>
            <w:tcW w:type="dxa" w:w="635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IoT 场景；消息帧、寄存器、校验、采样与曲线。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插件</w:t>
            </w:r>
          </w:p>
        </w:tc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自定义协议</w:t>
            </w:r>
          </w:p>
        </w:tc>
        <w:tc>
          <w:tcPr>
            <w:tcW w:type="dxa" w:w="63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通过 WASM/WIT 或受控原生 Sidecar 接入，声明 UI Schema 与执行能力。</w:t>
            </w:r>
          </w:p>
        </w:tc>
      </w:tr>
    </w:tbl>
    <w:p>
      <w:pPr>
        <w:spacing w:after="40"/>
      </w:pPr>
    </w:p>
    <w:p>
      <w:pPr>
        <w:pStyle w:val="Heading2"/>
      </w:pPr>
      <w:r>
        <w:t>8.2 “全协议”产品口径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8F0"/>
            <w:tcBorders>
              <w:top w:val="single" w:sz="4" w:color="EAF8F0"/>
              <w:left w:val="single" w:sz="18" w:color="217A4D"/>
              <w:bottom w:val="single" w:sz="4" w:color="EAF8F0"/>
              <w:right w:val="single" w:sz="4" w:color="EAF8F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17A4D"/>
                <w:sz w:val="20"/>
              </w:rPr>
              <w:t xml:space="preserve">口径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“兼容所有协议”定义为：核心产品提供统一调试框架、主流协议内置支持、长尾协议可通过稳定插件接口接入。产品宣传不得表述为首版内置所有协议。</w:t>
            </w:r>
          </w:p>
        </w:tc>
      </w:tr>
    </w:tbl>
    <w:p>
      <w:pPr>
        <w:spacing w:after="0"/>
      </w:pPr>
    </w:p>
    <w:p>
      <w:pPr>
        <w:pStyle w:val="Heading1"/>
      </w:pPr>
      <w:r>
        <w:t>9 关键用户流程</w:t>
      </w:r>
    </w:p>
    <w:p>
      <w:pPr>
        <w:pStyle w:val="Heading2"/>
      </w:pPr>
      <w:r>
        <w:t>9.1 新建并调试请求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选择工作区与项目。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选择协议或模板，填写公共信息与协议参数。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选择环境，系统解析变量和认证信息。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执行前进行权限、连接、证书与敏感信息检查。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发送请求，增量展示响应、事件、指标和日志。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6.  </w:t>
      </w:r>
      <w:r>
        <w:rPr>
          <w:rFonts w:ascii="Noto Sans CJK SC" w:hAnsi="Noto Sans CJK SC" w:eastAsia="Noto Sans CJK SC"/>
          <w:color w:val="24313F"/>
          <w:sz w:val="20"/>
        </w:rPr>
        <w:t>运行响应脚本与断言，保存运行记录。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7.  </w:t>
      </w:r>
      <w:r>
        <w:rPr>
          <w:rFonts w:ascii="Noto Sans CJK SC" w:hAnsi="Noto Sans CJK SC" w:eastAsia="Noto Sans CJK SC"/>
          <w:color w:val="24313F"/>
          <w:sz w:val="20"/>
        </w:rPr>
        <w:t>保存到集合、生成示例、复制代码或分享脱敏结果。</w:t>
      </w:r>
    </w:p>
    <w:p>
      <w:pPr>
        <w:pStyle w:val="Heading2"/>
      </w:pPr>
      <w:r>
        <w:t>9.2 Web 端连接 Local Agent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Web 端检测本机 Agent。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用户确认配对码或浏览器授权。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建立仅限 localhost 的安全通道，校验来源和会话令牌。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Web 端发送标准化命令，Agent 在本机执行并流式返回事件。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关闭页面、退出 Agent 或超时后，会话令牌失效。</w:t>
      </w:r>
    </w:p>
    <w:p>
      <w:pPr>
        <w:pStyle w:val="Heading2"/>
      </w:pPr>
      <w:r>
        <w:t>9.3 团队同步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用户加入团队并获取项目权限。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客户端仅同步允许的结构化资产；本地 Secret 保持引用状态。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成员修改请求后产生版本，冲突时展示字段级差异。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管理员可审计导出、分享、插件安装和高风险请求。</w:t>
      </w:r>
    </w:p>
    <w:p>
      <w:pPr>
        <w:pStyle w:val="Heading1"/>
      </w:pPr>
      <w:r>
        <w:t>10 权限与团队协作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82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默认权限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Owner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组织策略、成员、计费、私有化、全部项目和审计。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Admin</w:t>
            </w:r>
          </w:p>
        </w:tc>
        <w:tc>
          <w:tcPr>
            <w:tcW w:type="dxa" w:w="782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成员与项目管理、插件策略、审计查看；不可转移所有权。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Editor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创建与编辑项目资产、运行请求、创建 Mock 与自动化。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Runner</w:t>
            </w:r>
          </w:p>
        </w:tc>
        <w:tc>
          <w:tcPr>
            <w:tcW w:type="dxa" w:w="782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可运行已授权请求和集合，不可修改共享资产。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Viewer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只读查看脱敏后的项目资产和运行结果。</w:t>
            </w:r>
          </w:p>
        </w:tc>
      </w:tr>
    </w:tbl>
    <w:p>
      <w:pPr>
        <w:spacing w:after="40"/>
      </w:pPr>
    </w:p>
    <w:p>
      <w:pPr>
        <w:pStyle w:val="Heading2"/>
      </w:pPr>
      <w:r>
        <w:t>10.1 协作要求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字段级版本记录与作者信息。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评论可绑定请求、字段或运行结果。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共享环境值与本地覆盖值分离。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Secret 不进入普通版本历史和搜索索引。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组织策略可禁止公网分享、未知插件、云端执行和明文导出。</w:t>
      </w:r>
    </w:p>
    <w:p>
      <w:pPr>
        <w:pStyle w:val="Heading1"/>
      </w:pPr>
      <w:r>
        <w:t>11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82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性能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桌面端冷启动目标 ≤ 3 秒（常规开发机）；请求编辑交互响应目标 ≤ 100ms；10MB 文本响应可增量查看；长流消息使用虚拟化。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稳定性</w:t>
            </w:r>
          </w:p>
        </w:tc>
        <w:tc>
          <w:tcPr>
            <w:tcW w:type="dxa" w:w="782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请求执行与 UI 进程隔离；单个驱动或插件崩溃不导致工作区数据损坏；异常退出可恢复未保存草稿。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可扩展性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协议驱动按能力注册；插件 API 版本化；兼容窗口和弃用策略明确。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可维护性</w:t>
            </w:r>
          </w:p>
        </w:tc>
        <w:tc>
          <w:tcPr>
            <w:tcW w:type="dxa" w:w="782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公共模型禁止依赖具体协议；核心模块有单元、集成和契约测试；重要 ADR 入库。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可观测性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本地结构化日志、执行 Trace、崩溃报告可选上传；默认不包含请求正文和 Secret。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可访问性</w:t>
            </w:r>
          </w:p>
        </w:tc>
        <w:tc>
          <w:tcPr>
            <w:tcW w:type="dxa" w:w="782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键盘可操作、焦点可见、文本缩放、屏幕阅读器标签；颜色不是唯一状态表达。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国际化</w:t>
            </w:r>
          </w:p>
        </w:tc>
        <w:tc>
          <w:tcPr>
            <w:tcW w:type="dxa" w:w="7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首期中文/英文；日期、时区、编码和换行可配置。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兼容性</w:t>
            </w:r>
          </w:p>
        </w:tc>
        <w:tc>
          <w:tcPr>
            <w:tcW w:type="dxa" w:w="782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Windows 10+、主流 macOS 支持版本、主流 Linux x64/ARM64 发行版；Web 支持现代 Chromium/Firefox/Safari。</w:t>
            </w:r>
          </w:p>
        </w:tc>
      </w:tr>
    </w:tbl>
    <w:p>
      <w:pPr>
        <w:spacing w:after="40"/>
      </w:pPr>
    </w:p>
    <w:p>
      <w:pPr>
        <w:pStyle w:val="Heading1"/>
      </w:pPr>
      <w:r>
        <w:t>12 安全与隐私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本地优先：</w:t>
      </w:r>
      <w:r>
        <w:rPr>
          <w:rFonts w:ascii="Noto Sans CJK SC" w:hAnsi="Noto Sans CJK SC" w:eastAsia="Noto Sans CJK SC"/>
          <w:color w:val="24313F"/>
          <w:sz w:val="20"/>
        </w:rPr>
        <w:t>请求、响应、历史和 Secret 默认保存在本机；云同步必须显式开启。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密钥保护：</w:t>
      </w:r>
      <w:r>
        <w:rPr>
          <w:rFonts w:ascii="Noto Sans CJK SC" w:hAnsi="Noto Sans CJK SC" w:eastAsia="Noto Sans CJK SC"/>
          <w:color w:val="24313F"/>
          <w:sz w:val="20"/>
        </w:rPr>
        <w:t>Secret 使用 OS Keychain/Keyring；数据库只保存引用和加密元数据。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最小权限：</w:t>
      </w:r>
      <w:r>
        <w:rPr>
          <w:rFonts w:ascii="Noto Sans CJK SC" w:hAnsi="Noto Sans CJK SC" w:eastAsia="Noto Sans CJK SC"/>
          <w:color w:val="24313F"/>
          <w:sz w:val="20"/>
        </w:rPr>
        <w:t>插件和脚本基于能力授权，网络、文件、剪贴板、进程能力分开申请。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传输安全：</w:t>
      </w:r>
      <w:r>
        <w:rPr>
          <w:rFonts w:ascii="Noto Sans CJK SC" w:hAnsi="Noto Sans CJK SC" w:eastAsia="Noto Sans CJK SC"/>
          <w:color w:val="24313F"/>
          <w:sz w:val="20"/>
        </w:rPr>
        <w:t>Agent 通道校验 Origin、短期令牌、TLS/本机证书或等效安全机制；禁止任意网页调用。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输出脱敏：</w:t>
      </w:r>
      <w:r>
        <w:rPr>
          <w:rFonts w:ascii="Noto Sans CJK SC" w:hAnsi="Noto Sans CJK SC" w:eastAsia="Noto Sans CJK SC"/>
          <w:color w:val="24313F"/>
          <w:sz w:val="20"/>
        </w:rPr>
        <w:t>日志、分享、导出、AI 输入和崩溃报告执行统一脱敏管道。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高风险操作：</w:t>
      </w:r>
      <w:r>
        <w:rPr>
          <w:rFonts w:ascii="Noto Sans CJK SC" w:hAnsi="Noto Sans CJK SC" w:eastAsia="Noto Sans CJK SC"/>
          <w:color w:val="24313F"/>
          <w:sz w:val="20"/>
        </w:rPr>
        <w:t>批量执行、生产环境、删除/写入类数据库或 MQ 操作可要求二次确认和审计。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b/>
          <w:color w:val="17324D"/>
          <w:sz w:val="20"/>
        </w:rPr>
        <w:t>供应链：</w:t>
      </w:r>
      <w:r>
        <w:rPr>
          <w:rFonts w:ascii="Noto Sans CJK SC" w:hAnsi="Noto Sans CJK SC" w:eastAsia="Noto Sans CJK SC"/>
          <w:color w:val="24313F"/>
          <w:sz w:val="20"/>
        </w:rPr>
        <w:t>桌面安装包签名；自动更新校验；插件签名、来源和权限可见。</w:t>
      </w:r>
    </w:p>
    <w:p>
      <w:pPr>
        <w:pStyle w:val="Heading2"/>
      </w:pPr>
      <w:r>
        <w:t>12.1 环境标签与风险提示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76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环境标签</w:t>
            </w:r>
          </w:p>
        </w:tc>
        <w:tc>
          <w:tcPr>
            <w:tcW w:type="dxa" w:w="476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默认行为</w:t>
            </w:r>
          </w:p>
        </w:tc>
      </w:tr>
      <w:tr>
        <w:trPr>
          <w:cantSplit/>
        </w:trPr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本地/开发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允许正常发送，保留历史。</w:t>
            </w:r>
          </w:p>
        </w:tc>
      </w:tr>
      <w:tr>
        <w:trPr>
          <w:cantSplit/>
        </w:trPr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测试/预发布</w:t>
            </w:r>
          </w:p>
        </w:tc>
        <w:tc>
          <w:tcPr>
            <w:tcW w:type="dxa" w:w="476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可配置警告，支持批量运行。</w:t>
            </w:r>
          </w:p>
        </w:tc>
      </w:tr>
      <w:tr>
        <w:trPr>
          <w:cantSplit/>
        </w:trPr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生产</w:t>
            </w:r>
          </w:p>
        </w:tc>
        <w:tc>
          <w:tcPr>
            <w:tcW w:type="dxa" w:w="47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醒目标识；写操作二次确认；默认不保存敏感响应；团队可强制审批或禁用云执行。</w:t>
            </w:r>
          </w:p>
        </w:tc>
      </w:tr>
    </w:tbl>
    <w:p>
      <w:pPr>
        <w:spacing w:after="40"/>
      </w:pPr>
    </w:p>
    <w:p>
      <w:pPr>
        <w:pStyle w:val="Heading1"/>
      </w:pPr>
      <w:r>
        <w:t>13 数据指标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02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85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隐私要求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激活率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安装/访问后成功发送首个请求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仅记录协议类型和成功状态，不记录地址与正文。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协议使用分布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确定内置驱动和插件优先级</w:t>
            </w:r>
          </w:p>
        </w:tc>
        <w:tc>
          <w:tcPr>
            <w:tcW w:type="dxa" w:w="385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协议分类聚合。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请求成功率与失败分类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改进连接、证书和错误提示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本地优先；上传需用户同意。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集合运行完成率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评估自动化价值</w:t>
            </w:r>
          </w:p>
        </w:tc>
        <w:tc>
          <w:tcPr>
            <w:tcW w:type="dxa" w:w="385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不上传测试数据与变量值。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Agent 连接成功率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发现浏览器、权限和证书兼容问题</w:t>
            </w:r>
          </w:p>
        </w:tc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仅上传版本、平台和错误码。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插件安装/崩溃率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治理生态质量</w:t>
            </w:r>
          </w:p>
        </w:tc>
        <w:tc>
          <w:tcPr>
            <w:tcW w:type="dxa" w:w="385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不记录插件处理的业务数据。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14 验收标准</w:t>
      </w:r>
    </w:p>
    <w:p>
      <w:pPr>
        <w:pStyle w:val="Heading2"/>
      </w:pPr>
      <w:r>
        <w:t>14.1 MVP 发布门槛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13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39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AC-01</w:t>
            </w:r>
          </w:p>
        </w:tc>
        <w:tc>
          <w:tcPr>
            <w:tcW w:type="dxa" w:w="8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三大桌面平台均可安装、升级、卸载，核心功能一致。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AC-02</w:t>
            </w:r>
          </w:p>
        </w:tc>
        <w:tc>
          <w:tcPr>
            <w:tcW w:type="dxa" w:w="839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Web 端可完成 HTTP/GraphQL/WebSocket 基础调试，并可安全连接 Local Agent。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AC-03</w:t>
            </w:r>
          </w:p>
        </w:tc>
        <w:tc>
          <w:tcPr>
            <w:tcW w:type="dxa" w:w="8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MVP 七类协议均能创建、保存、发送、取消、查看响应/事件和历史。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AC-04</w:t>
            </w:r>
          </w:p>
        </w:tc>
        <w:tc>
          <w:tcPr>
            <w:tcW w:type="dxa" w:w="839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环境变量、Secret、认证、前后置脚本和断言在支持的协议中复用。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AC-05</w:t>
            </w:r>
          </w:p>
        </w:tc>
        <w:tc>
          <w:tcPr>
            <w:tcW w:type="dxa" w:w="8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HTTP 可导入 OpenAPI/cURL/HAR/Postman Collection；导出前可检测敏感字段。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AC-06</w:t>
            </w:r>
          </w:p>
        </w:tc>
        <w:tc>
          <w:tcPr>
            <w:tcW w:type="dxa" w:w="839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gRPC 支持四种调用类型，TCP/UDP 支持文本与十六进制，WebSocket 支持文本/二进制帧。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AC-07</w:t>
            </w:r>
          </w:p>
        </w:tc>
        <w:tc>
          <w:tcPr>
            <w:tcW w:type="dxa" w:w="8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10MB 响应和持续事件流不造成 UI 明显冻结；用户可随时取消。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AC-08</w:t>
            </w:r>
          </w:p>
        </w:tc>
        <w:tc>
          <w:tcPr>
            <w:tcW w:type="dxa" w:w="839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Secret 不以明文写入项目文件、日志、分享或默认导出包。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AC-09</w:t>
            </w:r>
          </w:p>
        </w:tc>
        <w:tc>
          <w:tcPr>
            <w:tcW w:type="dxa" w:w="83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桌面异常退出后项目数据完整，未保存草稿可恢复。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AC-10</w:t>
            </w:r>
          </w:p>
        </w:tc>
        <w:tc>
          <w:tcPr>
            <w:tcW w:type="dxa" w:w="839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7"/>
              </w:rPr>
              <w:t>核心模块通过单元、集成、端到端、安全和安装包冒烟测试。</w:t>
            </w:r>
          </w:p>
        </w:tc>
      </w:tr>
    </w:tbl>
    <w:p>
      <w:pPr>
        <w:spacing w:after="40"/>
      </w:pPr>
    </w:p>
    <w:p>
      <w:pPr>
        <w:pStyle w:val="Heading2"/>
      </w:pPr>
      <w:r>
        <w:t>14.2 发布质量指标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P0 缺陷为 0；P1 缺陷有明确规避方案。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协议契约测试覆盖所有内置驱动的成功、超时、取消、TLS、错误映射和大响应场景。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Windows/macOS/Linux 安装与升级自动化验证通过。</w:t>
      </w:r>
    </w:p>
    <w:p>
      <w:pPr>
        <w:pStyle w:val="ListBullet"/>
        <w:ind w:left="369" w:hanging="142"/>
      </w:pPr>
      <w:r>
        <w:rPr>
          <w:rFonts w:ascii="Noto Sans CJK SC" w:hAnsi="Noto Sans CJK SC" w:eastAsia="Noto Sans CJK SC"/>
          <w:color w:val="24313F"/>
          <w:sz w:val="20"/>
        </w:rPr>
        <w:t>依赖漏洞和许可证扫描无阻断项；高危漏洞不得发布。</w:t>
      </w:r>
    </w:p>
    <w:p>
      <w:pPr>
        <w:pStyle w:val="Heading1"/>
      </w:pPr>
      <w:r>
        <w:t>15 版本计划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139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531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2268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0：基础架构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Monorepo、UI 框架、Tauri、Rust 内核、Local Agent、数据模型、插件 PoC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4-6 周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端到端发送一个 HTTP 请求；桌面/Web/Agent 通路打通。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MVP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HTTP、WebSocket、SSE、GraphQL、gRPC、TCP、UDP；变量、Secret、脚本、断言、历史、导入导出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12-16 周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满足 MVP 验收标准，可供内部团队日常使用。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2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MQTT、AMQP、Kafka、Redis、数据库、SOAP/RPC；团队同步、Mock、CLI/CI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12-18 周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形成多协议差异化，团队协作可用。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阶段 3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Dubbo、Thrift、RocketMQ、Pulsar、CoAP、Modbus、串口、代理抓包、插件市场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持续迭代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插件生态和企业私有化成熟。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5E8"/>
            <w:tcBorders>
              <w:top w:val="single" w:sz="4" w:color="FFF5E8"/>
              <w:left w:val="single" w:sz="18" w:color="B85C00"/>
              <w:bottom w:val="single" w:sz="4" w:color="FFF5E8"/>
              <w:right w:val="single" w:sz="4" w:color="FFF5E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85C00"/>
                <w:sz w:val="20"/>
              </w:rPr>
              <w:t xml:space="preserve">估算说明  </w:t>
            </w:r>
            <w:r>
              <w:rPr>
                <w:rFonts w:ascii="Noto Sans CJK SC" w:hAnsi="Noto Sans CJK SC" w:eastAsia="Noto Sans CJK SC"/>
                <w:color w:val="17324D"/>
                <w:sz w:val="20"/>
              </w:rPr>
              <w:t>周期为产品级估算，实际排期取决于团队规模、协议深度和是否复用成熟开源驱动。建议 6-10 人核心团队推进 MVP。</w:t>
            </w:r>
          </w:p>
        </w:tc>
      </w:tr>
    </w:tbl>
    <w:p>
      <w:pPr>
        <w:spacing w:after="0"/>
      </w:pPr>
    </w:p>
    <w:p>
      <w:pPr>
        <w:pStyle w:val="Heading1"/>
      </w:pPr>
      <w:r>
        <w:t>16 风险与待决策事项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68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风险/影响</w:t>
            </w:r>
          </w:p>
        </w:tc>
        <w:tc>
          <w:tcPr>
            <w:tcW w:type="dxa" w:w="4025"/>
            <w:shd w:fill="17324D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产品名称与开源策略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影响品牌、仓库与许可证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尽早确定中英文名称、商标检索、开源核心与商业服务边界。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Tauri 插件与 WebView 差异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不同平台 WebView 行为不一致</w:t>
            </w:r>
          </w:p>
        </w:tc>
        <w:tc>
          <w:tcPr>
            <w:tcW w:type="dxa" w:w="402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关键路径用 E2E 覆盖；必要时对 Monaco、下载、证书做平台适配。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“全协议”范围膨胀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研发和测试成本不可控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坚持阶段矩阵和插件优先；协议必须有维护人和契约测试。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Local Agent 安全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可能被恶意网页调用</w:t>
            </w:r>
          </w:p>
        </w:tc>
        <w:tc>
          <w:tcPr>
            <w:tcW w:type="dxa" w:w="402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Origin 白名单、配对授权、短期令牌、能力确认、localhost 限制。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脚本与插件沙箱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逃逸或供应链风险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WASM 优先、能力授权、签名、资源限额、隔离进程。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云端执行合规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业务数据可能离开本地/区域</w:t>
            </w:r>
          </w:p>
        </w:tc>
        <w:tc>
          <w:tcPr>
            <w:tcW w:type="dxa" w:w="402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默认关闭；支持私有化和区域化；清晰的数据流向提示。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协议许可证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驱动依赖许可证不一致</w:t>
            </w:r>
          </w:p>
        </w:tc>
        <w:tc>
          <w:tcPr>
            <w:tcW w:type="dxa" w:w="402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引入前执行许可证审查，建立 SBOM。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大流量与长连接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内存、磁盘和 UI 压力</w:t>
            </w:r>
          </w:p>
        </w:tc>
        <w:tc>
          <w:tcPr>
            <w:tcW w:type="dxa" w:w="402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4313F"/>
                <w:sz w:val="16"/>
              </w:rPr>
              <w:t>分块、背压、采样、滚动文件、可配置保留策略。</w:t>
            </w:r>
          </w:p>
        </w:tc>
      </w:tr>
    </w:tbl>
    <w:p>
      <w:pPr>
        <w:spacing w:after="40"/>
      </w:pPr>
    </w:p>
    <w:p>
      <w:pPr>
        <w:pStyle w:val="Heading2"/>
      </w:pPr>
      <w:r>
        <w:t>16.1 需要尽快拍板的决策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1.  </w:t>
      </w:r>
      <w:r>
        <w:rPr>
          <w:rFonts w:ascii="Noto Sans CJK SC" w:hAnsi="Noto Sans CJK SC" w:eastAsia="Noto Sans CJK SC"/>
          <w:color w:val="24313F"/>
          <w:sz w:val="20"/>
        </w:rPr>
        <w:t>项目正式名称与开源许可证。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2.  </w:t>
      </w:r>
      <w:r>
        <w:rPr>
          <w:rFonts w:ascii="Noto Sans CJK SC" w:hAnsi="Noto Sans CJK SC" w:eastAsia="Noto Sans CJK SC"/>
          <w:color w:val="24313F"/>
          <w:sz w:val="20"/>
        </w:rPr>
        <w:t>MVP 是否包含团队云同步，或仅提供本地项目与 Git 友好文件格式。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3.  </w:t>
      </w:r>
      <w:r>
        <w:rPr>
          <w:rFonts w:ascii="Noto Sans CJK SC" w:hAnsi="Noto Sans CJK SC" w:eastAsia="Noto Sans CJK SC"/>
          <w:color w:val="24313F"/>
          <w:sz w:val="20"/>
        </w:rPr>
        <w:t>Local Agent 与桌面端是否共享同一 Rust 二进制及升级通道。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4.  </w:t>
      </w:r>
      <w:r>
        <w:rPr>
          <w:rFonts w:ascii="Noto Sans CJK SC" w:hAnsi="Noto Sans CJK SC" w:eastAsia="Noto Sans CJK SC"/>
          <w:color w:val="24313F"/>
          <w:sz w:val="20"/>
        </w:rPr>
        <w:t>首期脚本引擎选择 QuickJS 还是其他嵌入式 JavaScript 运行时。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5.  </w:t>
      </w:r>
      <w:r>
        <w:rPr>
          <w:rFonts w:ascii="Noto Sans CJK SC" w:hAnsi="Noto Sans CJK SC" w:eastAsia="Noto Sans CJK SC"/>
          <w:color w:val="24313F"/>
          <w:sz w:val="20"/>
        </w:rPr>
        <w:t>插件首版只支持 WASM，还是同时允许受控原生 Sidecar。</w:t>
      </w:r>
    </w:p>
    <w:p>
      <w:pPr>
        <w:ind w:left="397" w:hanging="255"/>
      </w:pPr>
      <w:r>
        <w:rPr>
          <w:rFonts w:ascii="Noto Sans CJK SC" w:hAnsi="Noto Sans CJK SC" w:eastAsia="Noto Sans CJK SC"/>
          <w:b/>
          <w:color w:val="17324D"/>
          <w:sz w:val="20"/>
        </w:rPr>
        <w:t xml:space="preserve">6.  </w:t>
      </w:r>
      <w:r>
        <w:rPr>
          <w:rFonts w:ascii="Noto Sans CJK SC" w:hAnsi="Noto Sans CJK SC" w:eastAsia="Noto Sans CJK SC"/>
          <w:color w:val="24313F"/>
          <w:sz w:val="20"/>
        </w:rPr>
        <w:t>生产环境请求的二次确认和组织策略是否首版即实现。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17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6C7A89"/>
              <w:sz w:val="16"/>
            </w:rPr>
            <w:t>多协议 API 调试工具</w:t>
          </w:r>
        </w:p>
      </w:tc>
      <w:tc>
        <w:tcPr>
          <w:tcW w:type="dxa" w:w="317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C7A89"/>
              <w:sz w:val="16"/>
            </w:rPr>
            <w:t>内部设计文档</w:t>
          </w:r>
        </w:p>
      </w:tc>
      <w:tc>
        <w:tcPr>
          <w:tcW w:type="dxa" w:w="317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C7A89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6C7A89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E0E7"/>
      </w:pBdr>
    </w:pPr>
    <w:r>
      <w:rPr>
        <w:rFonts w:ascii="Noto Sans CJK SC" w:hAnsi="Noto Sans CJK SC" w:eastAsia="Noto Sans CJK SC"/>
        <w:color w:val="6C7A89"/>
        <w:sz w:val="16"/>
      </w:rPr>
      <w:t>PRD  |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431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6B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D71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83" w:right="283"/>
    </w:pPr>
    <w:rPr>
      <w:rFonts w:ascii="Noto Sans Mono CJK SC" w:hAnsi="Noto Sans Mono CJK SC" w:eastAsia="Noto Sans Mono CJK SC"/>
      <w:color w:val="1F2937"/>
      <w:sz w:val="17"/>
    </w:rPr>
  </w:style>
  <w:style w:type="paragraph" w:customStyle="1" w:styleId="Callout">
    <w:name w:val="Callout"/>
    <w:pPr>
      <w:spacing w:before="100" w:after="160" w:line="288" w:lineRule="auto"/>
      <w:ind w:left="255" w:right="113"/>
    </w:pPr>
    <w:rPr>
      <w:rFonts w:ascii="Noto Sans CJK SC" w:hAnsi="Noto Sans CJK SC" w:eastAsia="Noto Sans CJK SC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多协议 API 调试工具产品需求文档</dc:title>
  <dc:subject>跨平台桌面端与 Web 端多协议 API 调试平台 PRD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