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w4gfrjtd0zd" w:id="0"/>
      <w:bookmarkEnd w:id="0"/>
      <w:r w:rsidDel="00000000" w:rsidR="00000000" w:rsidRPr="00000000">
        <w:rPr>
          <w:rtl w:val="0"/>
        </w:rPr>
        <w:t xml:space="preserve">Documentação de Regras de Negócio - CMS Ketochlor 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Documentação das regras de negócio efetivamente implementadas no CMS do Ketochlor LP, gerada ao final do desenvolvimento a partir de agent_context/PRD.md e agent_context/SDD.md, após todas as tarefas do agent_context/PLAN.md concluídas e verificadas ponta a ponta.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9ua2dgdwhfk" w:id="1"/>
      <w:bookmarkEnd w:id="1"/>
      <w:r w:rsidDel="00000000" w:rsidR="00000000" w:rsidRPr="00000000">
        <w:rPr>
          <w:rtl w:val="0"/>
        </w:rPr>
        <w:t xml:space="preserve">1. Informações do Documento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Documentação de Regras de Negócio - CMS Ketochlor LP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da Última Revisão:</w:t>
      </w:r>
      <w:r w:rsidDel="00000000" w:rsidR="00000000" w:rsidRPr="00000000">
        <w:rPr>
          <w:rtl w:val="0"/>
        </w:rPr>
        <w:t xml:space="preserve"> 2026-09-09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Autor(es):</w:t>
      </w:r>
      <w:r w:rsidDel="00000000" w:rsidR="00000000" w:rsidRPr="00000000">
        <w:rPr>
          <w:rtl w:val="0"/>
        </w:rPr>
        <w:t xml:space="preserve"> Orquestrador de Desenvolvimento de Projetos (gerado a partir de agent_context/PRD.md e agent_context/SDD.md)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Revisor(es):</w:t>
      </w:r>
      <w:r w:rsidDel="00000000" w:rsidR="00000000" w:rsidRPr="00000000">
        <w:rPr>
          <w:rtl w:val="0"/>
        </w:rPr>
        <w:t xml:space="preserve"> Rodrigo Oliveira (rodrigo.oliveira@duo.studio) — a preencher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glkphvv2pdr" w:id="2"/>
      <w:bookmarkEnd w:id="2"/>
      <w:r w:rsidDel="00000000" w:rsidR="00000000" w:rsidRPr="00000000">
        <w:rPr>
          <w:rtl w:val="0"/>
        </w:rPr>
        <w:t xml:space="preserve">2. Introdução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CMS permite que a equipe de marketing edite o conteúdo da landing page do Ketochlor® (11 seções fechadas), controle a visibilidade de seções e itens, envie imagens, e consulte/exporte os leads captados pelo formulário de Material Técnico — tudo sem depender de um desenvolvedor. As regras abaixo documentam o comportamento de fato implementado.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k9o3roch6f8" w:id="3"/>
      <w:bookmarkEnd w:id="3"/>
      <w:r w:rsidDel="00000000" w:rsidR="00000000" w:rsidRPr="00000000">
        <w:rPr>
          <w:rtl w:val="0"/>
        </w:rPr>
        <w:t xml:space="preserve">2.1. Propósito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Documentar as regras de negócio efetivamente implementadas no CMS do Ketochlor LP, para uso de quem for testar, dar manutenção ou validar o comportamento do sistema sem precisar ler o código-fonte.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0b8b6mfzow2" w:id="4"/>
      <w:bookmarkEnd w:id="4"/>
      <w:r w:rsidDel="00000000" w:rsidR="00000000" w:rsidRPr="00000000">
        <w:rPr>
          <w:rtl w:val="0"/>
        </w:rPr>
        <w:t xml:space="preserve">2.2. Escopo do Sistema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Monorepo com a landing page pública (apps/lp), o painel administrativo (apps/admin) e a API do CMS (apps/api), sobre um banco Supabase (Postgres + Storage + Auth) dedicado ao Ketochlor.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i06penaigmg" w:id="5"/>
      <w:bookmarkEnd w:id="5"/>
      <w:r w:rsidDel="00000000" w:rsidR="00000000" w:rsidRPr="00000000">
        <w:rPr>
          <w:rtl w:val="0"/>
        </w:rPr>
        <w:t xml:space="preserve">3. Glossário de Termos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Termos de domínio reaproveitados de agent_context/SDD.md, seção Linguagem ubíqua.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Definição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Seção</w:t>
            </w:r>
          </w:p>
        </w:tc>
        <w:tc>
          <w:tcPr/>
          <w:p>
            <w:r>
              <w:t>Uma das 11 áreas de conteúdo fechadas da LP editáveis pelo CMS (hero, problema, fenotipos, mecanismo, tecnologia_sis, prova_autoridade, protocolo, diferenciais, material_tecnico, cta_secundario, faq). Header e Footer não são seções do CMS — ficam fixos em código.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Item de lista</w:t>
            </w:r>
          </w:p>
        </w:tc>
        <w:tc>
          <w:tcPr/>
          <w:p>
            <w:r>
              <w:t>Elemento de uma coleção dentro de uma seção com cardinalidade variável (uma estatística, uma linha de dosagem, um item comparativo, uma pergunta do FAQ).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Subestrutura fixa</w:t>
            </w:r>
          </w:p>
        </w:tc>
        <w:tc>
          <w:tcPr/>
          <w:p>
            <w:r>
              <w:t>Campo composto de uma seção com cardinalidade fechada (os fenótipos agudo/crônico, as colunas de ativo do mecanismo) — editável, mas sem opção de adicionar/remover.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Visibilidade</w:t>
            </w:r>
          </w:p>
        </w:tc>
        <w:tc>
          <w:tcPr/>
          <w:p>
            <w:r>
              <w:t>Sinalizador que retira uma seção inteira, ou um item de lista, da landing page pública sem apagar o conteúdo.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Publicação</w:t>
            </w:r>
          </w:p>
        </w:tc>
        <w:tc>
          <w:tcPr/>
          <w:p>
            <w:r>
              <w:t>O ato de salvar uma seção no painel. Não há rascunho: salvar torna o conteúdo visível na LP imediatamente.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Lead</w:t>
            </w:r>
          </w:p>
        </w:tc>
        <w:tc>
          <w:tcPr/>
          <w:p>
            <w:r>
              <w:t>Registro de um envio do formulário de Material Técnico da LP, com os dados preenchidos pelo médico-veterinário visitante.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Mídia</w:t>
            </w:r>
          </w:p>
        </w:tc>
        <w:tc>
          <w:tcPr/>
          <w:p>
            <w:r>
              <w:t>Arquivo de imagem enviado pelo painel e guardado no Storage do Supabase. Não há vídeo nesta versão do projeto.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>
            <w:r>
              <w:t>Metadados da página</w:t>
            </w:r>
          </w:p>
        </w:tc>
        <w:tc>
          <w:tcPr/>
          <w:p>
            <w:r>
              <w:t>Título, descrição e imagem de compartilhamento usados por buscadores e previews de link.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pegt16va41kk" w:id="6"/>
      <w:bookmarkEnd w:id="6"/>
      <w:r w:rsidDel="00000000" w:rsidR="00000000" w:rsidRPr="00000000">
        <w:rPr>
          <w:rtl w:val="0"/>
        </w:rPr>
        <w:t xml:space="preserve">4. Visão Geral das Regras de Negócio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regras de negócio identificadas se agrupam em quatro categorias.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4yjb28824q6" w:id="7"/>
      <w:bookmarkEnd w:id="7"/>
      <w:r w:rsidDel="00000000" w:rsidR="00000000" w:rsidRPr="00000000">
        <w:rPr>
          <w:rtl w:val="0"/>
        </w:rPr>
        <w:t xml:space="preserve">4.1. Categorias de Regras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Conteúdo e visibilidade (RB-001 a RB-004); mídia (RB-005); captação e proteção de leads/LGPD (RB-006 a RB-008); autenticação e segurança de acesso (RB-009, RB-010).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k7zlumxjj4zf" w:id="8"/>
      <w:bookmarkEnd w:id="8"/>
      <w:r w:rsidDel="00000000" w:rsidR="00000000" w:rsidRPr="00000000">
        <w:rPr>
          <w:rtl w:val="0"/>
        </w:rPr>
        <w:t xml:space="preserve">5. Detalhamento das Regras de Negócio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Dez regras de negócio foram identificadas na implementação, detalhadas abaixo.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5.1. Conjunto fechado de seções do CMS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RB-001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Premissas ("a estrutura de seções... está estabilizada"); agent_context/SDD.md § Contratos de dados/API/interfaces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CMS só edita as 11 seções que a landing page já tem hoje; não é possível criar, renomear ou remover um tipo de seção pelo painel ou pela API.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Qualquer chamada a GET/PUT/PATCH sobre uma seção, informando uma chave (key) na URL.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 a chave é uma das 11 seções fechadas, a operação prossegue; caso contrário, a API responde 404 e nenhum dado é lido ou alterado.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Uma chave de seção inventada (ex.: "secao-nova") nunca retorna 200 nem cria um registro novo.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 — a checagem se aplica a toda operação sobre seção, sem exceção conhecida.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o painel poderia gravar dado órfão sem schema nem consumidor, quebrando silenciosamente a listagem e a LP.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agent_context/SDD.md#contratos-de-dadosapiinterfaces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5.2. Validação de conteúdo de seção contra o esquema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agent_context/SDD.md § Critérios de aceitação por capacidade (edição de campos de texto); agent_context/PRD.md § Fluxo de UX ("nenhuma edição pode exigir escrever HTML, JSON ou qualquer sintaxe de código")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só salva uma seção se o conteúdo enviado bater exatamente com o formato esperado para aquela seção (campos obrigatórios presentes, imagens com texto alternativo, listas com os campos certos).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PUT /api/admin/sections/:key com um corpo { data, itemVisibility }.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 o data é válido para o esquema da seção, é persistido e refletido imediatamente no conteúdo público; se inválido, a API responde 422 com a lista dos campos com problema e nada é gravado.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Nenhuma seção fica com um campo obrigatório vazio ou um tipo de dado errado no banco.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validação, um erro de digitação no painel poderia quebrar a renderização da seção na LP para todos os visitantes.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agent_context/SDD.md#criterios-de-aceitacao-por-capacidade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5.3. Visibilidade de seção inteira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RB-003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Features ("marcar... uma seção inteira como não publicada"); agent_context/SDD.md § Critérios de aceitação por capacidade (controle de visibilidade)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Uma seção marcada como não publicada deixa de aparecer na landing page, sem que o conteúdo dela seja apagado — reativar a traz de volta exatamente como estava.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PATCH /api/admin/sections/:key/visibility, alternando is_published.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Seção não publicada: GET /api/content devolve null nessa chave. Seção publicada: devolve o conteúdo real.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Ocultar e reativar uma seção duas vezes seguidas devolve exatamente o mesmo conteúdo da primeira vez, sem perda de dado.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A tela de edição do painel (rota autenticada) sempre mostra o conteúdo completo, publicado ou não — só a rota pública filtra.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remover uma seção da LP temporariamente exigiria apagar e depois redigitar todo o conteúdo.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agent_context/SDD.md#criterios-de-aceitacao-por-capacidade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5.4. Visibilidade de item de lista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RB-004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Features ("marcar um item de lista... como não publicada"); agent_context/SDD.md § Modelo de dados (item_visibility)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 item de uma lista (uma pergunta do FAQ, uma linha de dosagem, um item comparativo, uma estatística) pode ser ocultado individualmente, sem afetar os demais itens da mesma lista nem o restante da seção.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PUT de uma seção cujo corpo inclui itemVisibility com a posição de um item marcada como false.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O item ocultado não aparece na listagem pública (GET /api/content) mas continua existindo e editável na tela de edição do painel.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Ocultar um item de uma lista de 4 reduz a lista pública para 3, sem alterar o conteúdo dos outros 3; reativar restaura os 4.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remover temporariamente um item (ex.: uma estatística desatualizada) exigiria apagá-lo e perder o texto.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agent_context/SDD.md#modelo-de-dados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5.5. Upload de mídia restrito a imagem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Fora de escopo ("a landing page atual não tem conteúdo em vídeo"); agent_context/SDD.md § Critérios de aceitação por capacidade (upload de imagem)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painel só aceita enviar arquivos de imagem para os campos de mídia das seções; não há suporte a vídeo nesta versão do produto.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POST /api/admin/media/upload-url, informando o tipo do arquivo a enviar.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 o tipo declarado começa com "image/", a API emite a credencial de upload; caso contrário, responde 422 e nenhuma credencial é emitida.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Nenhum arquivo que não seja imagem chega a ser aceito para upload.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 — vídeo é tratado como fora de escopo, não como uma exceção aceita.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um arquivo de outro tipo poderia ser armazenado sem que nenhuma tela da LP saiba como exibi-lo.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agent_context/PRD.md#fora-de-escopo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5.6. Consentimento obrigatório para registro de lead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Compliance (LGPD); agent_context/SDD.md § Modelo de dados ("Por que não existe coluna aceite_lgpd")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 envio do formulário de Material Técnico só vira um registro de lead se o visitante tiver marcado o aceite da política de privacidade; o consentimento em si não é uma coluna gravada — a própria existência do registro, junto da data de criação, é a prova do consentimento.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POST /api/leads com o corpo do formulário, incluindo o campo de consentimento.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Sem o consentimento marcado, a API responde 422 e nenhum registro é criado; com o consentimento, o lead é criado sem que o valor do consentimento seja persistido.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Não existe, no banco, nenhum lead criado sem que o visitante tenha marcado o aceite no momento do envio.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 — a regra vale para todo envio do formulário público, sem exceção.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o produto passaria a coletar e reter dado pessoal sem base legal de tratamento (LGPD).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agent_context/SDD.md#modelo-de-dados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5.7. Campos obrigatórios do lead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agent_context/SDD.md § Modelo de dados (tabela leads); agent_context/SDD.md § Critérios de aceitação por capacidade (registro de lead)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Todo lead precisa ter nome e e-mail preenchidos; os demais campos (telefone, CRMV, cidade/UF, especialidade etc.) são opcionais.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POST /api/leads.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Sem nome ou sem e-mail em formato válido, a API responde 422 com o campo específico que falhou; nenhum registro é criado.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Toda linha da tabela de leads tem nome e e-mail preenchidos.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a lista de leads teria registros sem como a equipe comercial entrar em contato.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agent_context/SDD.md#modelo-de-dados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5.8. Exclusão definitiva de lead a pedido do titular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RB-008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Features ("excluir um lead, para atender a um pedido de exclusão do titular dos dados")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 operador autenticado pode excluir permanentemente um lead específico a pedido de quem o enviou, atendendo ao direito de exclusão da LGPD.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DELETE /api/admin/leads/:id, autenticado, com um id de lead existente.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O registro é removido do banco; consultas futuras à listagem e à exportação não o incluem mais. Um id inexistente responde 404, sem efeito colateral.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Depois da exclusão, o lead não aparece mais em nenhuma listagem, filtro ou exportação, e a operação não pode ser desfeita pelo painel.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o produto não teria como atender a um pedido de exclusão de dado pessoal, expondo a operação a risco de compliance.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agent_context/PRD.md#features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5.9. Autenticação obrigatória para toda operação administrativa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RB-009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Requerimentos sistêmicos (segurança de acesso); agent_context/SDD.md § Contratos de dados/API/interfaces (Autenticação)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Nenhuma tela do painel nem rota administrativa da API pode ser alcançada sem uma sessão válida de um operador autenticado.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Qualquer requisição a uma rota sob /api/admin/* (API) ou a uma tela sob /admin (painel).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Sem um token de sessão válido, a API responde 401 e a tela do painel redireciona ao login, sem expor nenhum dado administrativo — a checagem vale para qualquer variação de maiúsculas/minúsculas na URL.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Nenhuma chamada sem token válido retorna dado de conteúdo administrativo, mídia ou lead.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GET /api/content e POST /api/leads são as duas únicas rotas públicas, por serem o conteúdo já publicado e o próprio formulário de captação — nenhuma outra rota administrativa tem exceção.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qualquer visitante poderia editar conteúdo da LP ou consultar os leads captados.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agent_context/SDD.md#contratos-de-dadosapiinterfaces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5.10. Isolamento entre leitura pública e dado administrativo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da Regra:</w:t>
      </w:r>
      <w:r w:rsidDel="00000000" w:rsidR="00000000" w:rsidRPr="00000000">
        <w:rPr>
          <w:rtl w:val="0"/>
        </w:rPr>
        <w:t xml:space="preserve"> RB-010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agent_context/PRD.md § Requerimentos sistêmicos (isolamento das credenciais e da superfície pública)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leitura do conteúdo já publicado pela landing page não exige login, mas o que um visitante anônimo consegue ler se limita ao conteúdo publicado e aos metadados da página — nenhum lead, nenhuma seção não publicada e nenhum item oculto é alcançável sem autenticação, mesmo consultando o banco diretamente.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Condições de Ativação:</w:t>
      </w:r>
      <w:r w:rsidDel="00000000" w:rsidR="00000000" w:rsidRPr="00000000">
        <w:rPr>
          <w:rtl w:val="0"/>
        </w:rPr>
        <w:t xml:space="preserve"> Qualquer tentativa de leitura ao banco (Postgres) usando uma credencial pública (chave anônima), sem passar pela API.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Ações Resultantes:</w:t>
      </w:r>
      <w:r w:rsidDel="00000000" w:rsidR="00000000" w:rsidRPr="00000000">
        <w:rPr>
          <w:rtl w:val="0"/>
        </w:rPr>
        <w:t xml:space="preserve"> O banco recusa a leitura (Row Level Security habilitado, sem policy permissiva) — só a API, usando a credencial do lado do servidor, alcança os dados administrativos.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  <w:r w:rsidDel="00000000" w:rsidR="00000000" w:rsidRPr="00000000">
        <w:rPr>
          <w:rtl w:val="0"/>
        </w:rPr>
        <w:t xml:space="preserve"> Uma consulta direta ao banco com a chave anônima nunca retorna uma linha de leads, nem uma seção não publicada, nem um item oculto.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A leitura de um arquivo já publicado no bucket de imagens é pública, por design do produto.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essa regra, uma chave pública vazada exporia todos os leads e o conteúdo não publicado do CMS.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agent_context/PRD.md#requerimentos-sistemicos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Documento Interno: Não aplicável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para Evento de Discussão: Não aplicável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Físico da Reunião: Não aplicável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3mm1smpms595" w:id="11"/>
      <w:bookmarkEnd w:id="11"/>
      <w:r w:rsidDel="00000000" w:rsidR="00000000" w:rsidRPr="00000000">
        <w:rPr>
          <w:rtl w:val="0"/>
        </w:rPr>
        <w:t xml:space="preserve">6. Diagramas e Fluxogramas (Opcional)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Ver agent_context/SDD.md § Diagrama de arquitetura (Contexto e Container, em Mermaid) — reproduzidos ali, não duplicados neste documento.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gzk92zhrx7wb" w:id="12"/>
      <w:bookmarkEnd w:id="12"/>
      <w:r w:rsidDel="00000000" w:rsidR="00000000" w:rsidRPr="00000000">
        <w:rPr>
          <w:rtl w:val="0"/>
        </w:rPr>
        <w:t xml:space="preserve">7. Anexos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Não aplicável — não houve reunião de requisitos ou entrevista de stakeholder externa registrada; todas as decisões de produto foram coletadas diretamente com o usuário durante as Fases 1 e 2 do processo, registradas em agent_context/PRD.md, agent_context/SDD.md e agent_context/CHANGELOG.md.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drigo.oliveira@duo.studio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