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0AE45" w14:textId="77777777" w:rsidR="00C84552" w:rsidRDefault="00C84552" w:rsidP="00C84552">
      <w:pPr>
        <w:pStyle w:val="Heading1"/>
      </w:pPr>
      <w:r>
        <w:t xml:space="preserve">Executive </w:t>
      </w:r>
      <w:r w:rsidRPr="00C84552">
        <w:t>Summary</w:t>
      </w:r>
    </w:p>
    <w:p w14:paraId="1F5A5034" w14:textId="77777777" w:rsidR="00C84552" w:rsidRDefault="00C84552" w:rsidP="00C84552"/>
    <w:p w14:paraId="66C3AB23" w14:textId="77777777" w:rsidR="00C84552" w:rsidRDefault="00C84552" w:rsidP="00C84552"/>
    <w:p w14:paraId="7B894C28" w14:textId="77777777" w:rsidR="00C84552" w:rsidRDefault="00C84552" w:rsidP="00C84552"/>
    <w:p w14:paraId="039FDA80" w14:textId="51757E17" w:rsidR="007012DC" w:rsidRPr="00C84552" w:rsidRDefault="00C84552" w:rsidP="00C84552">
      <w:pPr>
        <w:pStyle w:val="Heading1"/>
      </w:pPr>
      <w:r w:rsidRPr="00C84552">
        <w:t>Background</w:t>
      </w:r>
      <w:r>
        <w:t xml:space="preserve"> and Motivations</w:t>
      </w:r>
    </w:p>
    <w:p w14:paraId="628AEB1C" w14:textId="2C563E46" w:rsidR="007012DC" w:rsidRPr="007012DC" w:rsidRDefault="007012DC" w:rsidP="007012DC">
      <w:pPr>
        <w:rPr>
          <w:rFonts w:eastAsia="Calibri" w:cs="Times New Roman"/>
          <w:szCs w:val="22"/>
        </w:rPr>
      </w:pPr>
      <w:r w:rsidRPr="007012DC">
        <w:rPr>
          <w:rFonts w:eastAsia="Calibri" w:cs="Times New Roman"/>
          <w:szCs w:val="22"/>
        </w:rPr>
        <w:t xml:space="preserve">This position paper is an output from efforts conducted by the AIAA Digital Engineering Integration Committee Subcommittee on Computational Design and Analysis for Digital Engineering (DEIC-CoDADE). Digital engineering, as defined by DoD Instruction 5000.97, “is a means of using and integrating digital models and the underlying data to support the development, test and evaluation, and sustainment of a system” </w:t>
      </w:r>
      <w:sdt>
        <w:sdtPr>
          <w:rPr>
            <w:rFonts w:eastAsia="Calibri" w:cs="Times New Roman"/>
            <w:szCs w:val="22"/>
          </w:rPr>
          <w:id w:val="-388188669"/>
          <w:citation/>
        </w:sdtPr>
        <w:sdtEndPr/>
        <w:sdtContent>
          <w:r w:rsidRPr="007012DC">
            <w:rPr>
              <w:rFonts w:eastAsia="Calibri" w:cs="Times New Roman"/>
              <w:szCs w:val="22"/>
            </w:rPr>
            <w:fldChar w:fldCharType="begin"/>
          </w:r>
          <w:r w:rsidRPr="007012DC">
            <w:rPr>
              <w:rFonts w:eastAsia="Calibri" w:cs="Times New Roman"/>
              <w:szCs w:val="22"/>
            </w:rPr>
            <w:instrText xml:space="preserve"> CITATION DoD23 \l 1033 </w:instrText>
          </w:r>
          <w:r w:rsidRPr="007012DC">
            <w:rPr>
              <w:rFonts w:eastAsia="Calibri" w:cs="Times New Roman"/>
              <w:szCs w:val="22"/>
            </w:rPr>
            <w:fldChar w:fldCharType="separate"/>
          </w:r>
          <w:r w:rsidRPr="007012DC">
            <w:rPr>
              <w:rFonts w:eastAsia="Calibri" w:cs="Times New Roman"/>
              <w:noProof/>
              <w:szCs w:val="22"/>
            </w:rPr>
            <w:t>[1]</w:t>
          </w:r>
          <w:r w:rsidRPr="007012DC">
            <w:rPr>
              <w:rFonts w:eastAsia="Calibri" w:cs="Times New Roman"/>
              <w:szCs w:val="22"/>
            </w:rPr>
            <w:fldChar w:fldCharType="end"/>
          </w:r>
        </w:sdtContent>
      </w:sdt>
      <w:r w:rsidRPr="007012DC">
        <w:rPr>
          <w:rFonts w:eastAsia="Calibri" w:cs="Times New Roman"/>
          <w:szCs w:val="22"/>
        </w:rPr>
        <w:t>. The DEIC is an AIAA integration committee dedicated to accelerating the integration of emerging and established digital methods and technologies.</w:t>
      </w:r>
    </w:p>
    <w:p w14:paraId="066A8397" w14:textId="5228BB38" w:rsidR="007012DC" w:rsidRPr="007012DC" w:rsidRDefault="007012DC" w:rsidP="007012DC">
      <w:pPr>
        <w:rPr>
          <w:rFonts w:eastAsia="Calibri" w:cs="Times New Roman"/>
          <w:szCs w:val="22"/>
        </w:rPr>
      </w:pPr>
      <w:commentRangeStart w:id="0"/>
      <w:commentRangeStart w:id="1"/>
      <w:r w:rsidRPr="007012DC">
        <w:rPr>
          <w:rFonts w:eastAsia="Calibri" w:cs="Times New Roman"/>
          <w:szCs w:val="22"/>
        </w:rPr>
        <w:t xml:space="preserve">The origin of DEIC-CoDADE stems from DEIC-CoDADE co-chair Rick Arthur’s identification of topics and subject areas that the other DEIC subcommittees and technical initiatives were not covering. </w:t>
      </w:r>
      <w:commentRangeEnd w:id="0"/>
      <w:r w:rsidRPr="007012DC">
        <w:rPr>
          <w:rStyle w:val="CommentReference"/>
          <w:rFonts w:eastAsia="Calibri" w:cs="Times New Roman"/>
          <w:sz w:val="24"/>
          <w:szCs w:val="22"/>
        </w:rPr>
        <w:commentReference w:id="0"/>
      </w:r>
      <w:commentRangeEnd w:id="1"/>
      <w:r w:rsidRPr="007012DC">
        <w:rPr>
          <w:rStyle w:val="CommentReference"/>
          <w:rFonts w:eastAsia="Calibri" w:cs="Times New Roman"/>
          <w:sz w:val="24"/>
          <w:szCs w:val="22"/>
        </w:rPr>
        <w:commentReference w:id="1"/>
      </w:r>
      <w:r w:rsidRPr="007012DC">
        <w:rPr>
          <w:rFonts w:eastAsia="Calibri" w:cs="Times New Roman"/>
          <w:szCs w:val="22"/>
        </w:rPr>
        <w:t xml:space="preserve"> </w:t>
      </w:r>
      <w:r w:rsidR="006800C5">
        <w:rPr>
          <w:rFonts w:eastAsia="Calibri" w:cs="Times New Roman"/>
          <w:szCs w:val="22"/>
        </w:rPr>
        <w:t>A</w:t>
      </w:r>
      <w:r w:rsidRPr="007012DC">
        <w:rPr>
          <w:rFonts w:eastAsia="Calibri" w:cs="Times New Roman"/>
          <w:szCs w:val="22"/>
        </w:rPr>
        <w:t>dvances in computational hardware performance and storage capacity (</w:t>
      </w:r>
      <w:r w:rsidR="00C84552">
        <w:rPr>
          <w:rFonts w:eastAsia="Calibri" w:cs="Times New Roman"/>
          <w:szCs w:val="22"/>
        </w:rPr>
        <w:t>high-performance</w:t>
      </w:r>
      <w:r w:rsidRPr="007012DC">
        <w:rPr>
          <w:rFonts w:eastAsia="Calibri" w:cs="Times New Roman"/>
          <w:szCs w:val="22"/>
        </w:rPr>
        <w:t xml:space="preserve"> computing / HPC) </w:t>
      </w:r>
      <w:r w:rsidR="006800C5">
        <w:rPr>
          <w:rFonts w:eastAsia="Calibri" w:cs="Times New Roman"/>
          <w:szCs w:val="22"/>
        </w:rPr>
        <w:t xml:space="preserve">are </w:t>
      </w:r>
      <w:r w:rsidRPr="007012DC">
        <w:rPr>
          <w:rFonts w:eastAsia="Calibri" w:cs="Times New Roman"/>
          <w:szCs w:val="22"/>
        </w:rPr>
        <w:t>driving breakthrough capabilities in software libraries and methods, including machine learning (ML) and artificial intelligence</w:t>
      </w:r>
      <w:r w:rsidR="00C84552">
        <w:rPr>
          <w:rFonts w:eastAsia="Calibri" w:cs="Times New Roman"/>
          <w:szCs w:val="22"/>
        </w:rPr>
        <w:t xml:space="preserve"> </w:t>
      </w:r>
      <w:r w:rsidRPr="007012DC">
        <w:rPr>
          <w:rFonts w:eastAsia="Calibri" w:cs="Times New Roman"/>
          <w:szCs w:val="22"/>
        </w:rPr>
        <w:t xml:space="preserve">(AI). Digital Engineering can then leverage this computational infrastructure </w:t>
      </w:r>
      <w:r w:rsidR="006800C5">
        <w:rPr>
          <w:rFonts w:eastAsia="Calibri" w:cs="Times New Roman"/>
          <w:szCs w:val="22"/>
        </w:rPr>
        <w:t>to support multidisciplinary workflows that employ</w:t>
      </w:r>
      <w:r w:rsidRPr="007012DC">
        <w:rPr>
          <w:rFonts w:eastAsia="Calibri" w:cs="Times New Roman"/>
          <w:szCs w:val="22"/>
        </w:rPr>
        <w:t xml:space="preserve"> physics-based models and simulations with unprecedented fidelity and interoperability. </w:t>
      </w:r>
      <w:r w:rsidR="006800C5">
        <w:rPr>
          <w:rFonts w:eastAsia="Calibri" w:cs="Times New Roman"/>
          <w:szCs w:val="22"/>
        </w:rPr>
        <w:t>These considerations</w:t>
      </w:r>
      <w:r w:rsidRPr="007012DC">
        <w:rPr>
          <w:rFonts w:eastAsia="Calibri" w:cs="Times New Roman"/>
          <w:szCs w:val="22"/>
        </w:rPr>
        <w:t xml:space="preserve"> further evolved into DEIC-CoDADE, representing both the digital architects of the DEIC and those who are stakeholders </w:t>
      </w:r>
      <w:r w:rsidR="00C84552">
        <w:rPr>
          <w:rFonts w:eastAsia="Calibri" w:cs="Times New Roman"/>
          <w:szCs w:val="22"/>
        </w:rPr>
        <w:t>in DEIC outputs – teams conducting computational design and analysis, and those who are stakeholders in</w:t>
      </w:r>
      <w:r w:rsidRPr="007012DC">
        <w:rPr>
          <w:rFonts w:eastAsia="Calibri" w:cs="Times New Roman"/>
          <w:szCs w:val="22"/>
        </w:rPr>
        <w:t xml:space="preserve"> computational design and analysis efforts (e.g., program management, end-product users, direct customers, tool vendors, regulatory bodies).</w:t>
      </w:r>
    </w:p>
    <w:p w14:paraId="3F46F958" w14:textId="77777777" w:rsidR="007012DC" w:rsidRPr="007012DC" w:rsidRDefault="007012DC" w:rsidP="00C84552">
      <w:pPr>
        <w:pStyle w:val="Heading2"/>
        <w:rPr>
          <w:rFonts w:eastAsia="Malgun Gothic"/>
        </w:rPr>
      </w:pPr>
      <w:bookmarkStart w:id="2" w:name="_Ref236216318"/>
      <w:r w:rsidRPr="007012DC">
        <w:rPr>
          <w:rFonts w:eastAsia="Malgun Gothic"/>
        </w:rPr>
        <w:t>Purpose of DEIC-CoDADE</w:t>
      </w:r>
      <w:bookmarkEnd w:id="2"/>
    </w:p>
    <w:p w14:paraId="20D8755E" w14:textId="77777777" w:rsidR="007012DC" w:rsidRPr="007012DC" w:rsidRDefault="007012DC" w:rsidP="007012DC">
      <w:pPr>
        <w:rPr>
          <w:rFonts w:eastAsia="Calibri" w:cs="Times New Roman"/>
          <w:szCs w:val="22"/>
        </w:rPr>
      </w:pPr>
      <w:commentRangeStart w:id="3"/>
      <w:r w:rsidRPr="007012DC">
        <w:rPr>
          <w:rFonts w:eastAsia="Calibri" w:cs="Times New Roman"/>
          <w:szCs w:val="22"/>
        </w:rPr>
        <w:t>The DEIC-CoDADE effort seeks to connect digital engineering end-users with the community advancing methods and infrastructure for computational science and engineering.</w:t>
      </w:r>
    </w:p>
    <w:p w14:paraId="2B1B6D2B" w14:textId="77777777" w:rsidR="007012DC" w:rsidRPr="007012DC" w:rsidRDefault="007012DC" w:rsidP="007012DC">
      <w:pPr>
        <w:numPr>
          <w:ilvl w:val="0"/>
          <w:numId w:val="1"/>
        </w:numPr>
        <w:contextualSpacing/>
        <w:rPr>
          <w:rFonts w:eastAsia="Calibri" w:cs="Times New Roman"/>
          <w:szCs w:val="22"/>
        </w:rPr>
      </w:pPr>
      <w:r w:rsidRPr="007012DC">
        <w:rPr>
          <w:rFonts w:eastAsia="Calibri" w:cs="Times New Roman"/>
          <w:szCs w:val="22"/>
        </w:rPr>
        <w:t>Monitoring and tracking barrier problems of interest, areas of study, and functional and performance gaps as opportunities poised to transform the practice of digital engineering and deliver breakthrough impact.</w:t>
      </w:r>
    </w:p>
    <w:p w14:paraId="5637D22D" w14:textId="77777777" w:rsidR="007012DC" w:rsidRPr="007012DC" w:rsidRDefault="007012DC" w:rsidP="007012DC">
      <w:pPr>
        <w:numPr>
          <w:ilvl w:val="0"/>
          <w:numId w:val="1"/>
        </w:numPr>
        <w:contextualSpacing/>
        <w:rPr>
          <w:rFonts w:eastAsia="Calibri" w:cs="Times New Roman"/>
          <w:szCs w:val="22"/>
        </w:rPr>
      </w:pPr>
      <w:r w:rsidRPr="007012DC">
        <w:rPr>
          <w:rFonts w:eastAsia="Calibri" w:cs="Times New Roman"/>
          <w:szCs w:val="22"/>
        </w:rPr>
        <w:t>Generating, collating, and reporting on engineering guidelines and best practices for leveraging computational methods in persistent and open challenges implementing digital and model-based engineering.</w:t>
      </w:r>
    </w:p>
    <w:p w14:paraId="3686F418" w14:textId="03F457E8" w:rsidR="007012DC" w:rsidRDefault="007012DC" w:rsidP="007012DC">
      <w:pPr>
        <w:numPr>
          <w:ilvl w:val="0"/>
          <w:numId w:val="1"/>
        </w:numPr>
        <w:contextualSpacing/>
        <w:rPr>
          <w:rFonts w:eastAsia="Calibri" w:cs="Times New Roman"/>
          <w:szCs w:val="22"/>
        </w:rPr>
      </w:pPr>
      <w:r w:rsidRPr="007012DC">
        <w:rPr>
          <w:rFonts w:eastAsia="Calibri" w:cs="Times New Roman"/>
          <w:szCs w:val="22"/>
        </w:rPr>
        <w:t xml:space="preserve">Improving context and clarity for effective </w:t>
      </w:r>
      <w:r w:rsidR="00C84552">
        <w:rPr>
          <w:rFonts w:eastAsia="Calibri" w:cs="Times New Roman"/>
          <w:szCs w:val="22"/>
        </w:rPr>
        <w:t>decision-making</w:t>
      </w:r>
      <w:r w:rsidRPr="007012DC">
        <w:rPr>
          <w:rFonts w:eastAsia="Calibri" w:cs="Times New Roman"/>
          <w:szCs w:val="22"/>
        </w:rPr>
        <w:t xml:space="preserve"> both in implementing a digital engineering strategy and resulting from the practice of digital engineering.</w:t>
      </w:r>
      <w:commentRangeEnd w:id="3"/>
      <w:r>
        <w:rPr>
          <w:rStyle w:val="CommentReference"/>
          <w:rFonts w:eastAsia="Calibri" w:cs="Times New Roman"/>
          <w:sz w:val="24"/>
          <w:szCs w:val="22"/>
        </w:rPr>
        <w:commentReference w:id="3"/>
      </w:r>
    </w:p>
    <w:p w14:paraId="62125720" w14:textId="77777777" w:rsidR="00C84552" w:rsidRPr="007012DC" w:rsidRDefault="00C84552" w:rsidP="00C84552">
      <w:pPr>
        <w:contextualSpacing/>
        <w:rPr>
          <w:rFonts w:eastAsia="Calibri" w:cs="Times New Roman"/>
          <w:szCs w:val="22"/>
        </w:rPr>
      </w:pPr>
    </w:p>
    <w:p w14:paraId="52606611" w14:textId="275A8E6B" w:rsidR="00AE2A63" w:rsidRDefault="007012DC" w:rsidP="00C84552">
      <w:r w:rsidRPr="007012DC">
        <w:t xml:space="preserve">The focus on CoDADE stems from the </w:t>
      </w:r>
      <w:r w:rsidR="00C84552">
        <w:t>impact of computational design and analysis (CoDA) on the aerospace industry</w:t>
      </w:r>
      <w:r w:rsidRPr="007012DC">
        <w:t xml:space="preserve">. The scope of CoDA includes the modern tools such as AI/ML for engineering as well as a vast array of state of the art methods for simulation of varying fidelities and surrogate models, computational mechanics and physics, uncertainty quantification, structural and multidisciplinary optimization, computational geometry, data analysis and fusion, </w:t>
      </w:r>
      <w:r w:rsidRPr="007012DC">
        <w:lastRenderedPageBreak/>
        <w:t>parallelization and data structure, computing software and hardware, which have been and will continue to provide the fundamental support for decision makings in a complex system. CoDA affects how aerospace-related design is conducted</w:t>
      </w:r>
      <w:r w:rsidR="006800C5">
        <w:t xml:space="preserve"> and</w:t>
      </w:r>
      <w:r w:rsidRPr="007012DC">
        <w:t xml:space="preserve"> introduces additional requirements to enable computational design and analysis (</w:t>
      </w:r>
      <w:r w:rsidR="00436A5C">
        <w:rPr>
          <w:b/>
          <w:bCs/>
          <w:i/>
          <w:iCs/>
          <w:u w:val="single"/>
        </w:rPr>
        <w:fldChar w:fldCharType="begin"/>
      </w:r>
      <w:r w:rsidR="00436A5C">
        <w:instrText xml:space="preserve"> REF _Ref231550687 \h </w:instrText>
      </w:r>
      <w:r w:rsidR="00436A5C">
        <w:rPr>
          <w:b/>
          <w:bCs/>
          <w:i/>
          <w:iCs/>
          <w:u w:val="single"/>
        </w:rPr>
      </w:r>
      <w:r w:rsidR="00436A5C">
        <w:rPr>
          <w:b/>
          <w:bCs/>
          <w:i/>
          <w:iCs/>
          <w:u w:val="single"/>
        </w:rPr>
        <w:fldChar w:fldCharType="separate"/>
      </w:r>
      <w:r w:rsidR="00436A5C">
        <w:t xml:space="preserve">Figure </w:t>
      </w:r>
      <w:r w:rsidR="00436A5C">
        <w:rPr>
          <w:noProof/>
        </w:rPr>
        <w:t>1</w:t>
      </w:r>
      <w:r w:rsidR="00436A5C">
        <w:rPr>
          <w:b/>
          <w:bCs/>
          <w:i/>
          <w:iCs/>
          <w:u w:val="single"/>
        </w:rPr>
        <w:fldChar w:fldCharType="end"/>
      </w:r>
      <w:r w:rsidRPr="00436A5C">
        <w:t>)</w:t>
      </w:r>
      <w:r w:rsidRPr="007012DC">
        <w:t>, which</w:t>
      </w:r>
      <w:r w:rsidR="00436A5C">
        <w:t>,</w:t>
      </w:r>
      <w:r w:rsidRPr="007012DC">
        <w:t xml:space="preserve"> in turn, critically influence engineering </w:t>
      </w:r>
      <w:r w:rsidR="00C84552">
        <w:t>solutions and operations</w:t>
      </w:r>
      <w:r w:rsidRPr="007012DC">
        <w:t>. One of CoDADE’s objectives is to demonstrate how digital engineering can support CoDA's positive impacts and provide recommendations to mitigate its drawbacks.</w:t>
      </w:r>
    </w:p>
    <w:p w14:paraId="1D14A4FD" w14:textId="77777777" w:rsidR="00436A5C" w:rsidRDefault="00436A5C" w:rsidP="00436A5C">
      <w:pPr>
        <w:keepNext/>
        <w:ind w:firstLine="0"/>
      </w:pPr>
      <w:commentRangeStart w:id="4"/>
      <w:commentRangeStart w:id="5"/>
      <w:r>
        <w:rPr>
          <w:noProof/>
        </w:rPr>
        <w:drawing>
          <wp:inline distT="0" distB="0" distL="0" distR="0" wp14:anchorId="70545AC5" wp14:editId="6F2B24BC">
            <wp:extent cx="5943600" cy="3241675"/>
            <wp:effectExtent l="0" t="0" r="0" b="0"/>
            <wp:docPr id="749814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14509" name="Picture 749814509"/>
                    <pic:cNvPicPr/>
                  </pic:nvPicPr>
                  <pic:blipFill>
                    <a:blip r:embed="rId10">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commentRangeEnd w:id="4"/>
      <w:r>
        <w:rPr>
          <w:rStyle w:val="CommentReference"/>
          <w:sz w:val="24"/>
          <w:szCs w:val="24"/>
        </w:rPr>
        <w:commentReference w:id="4"/>
      </w:r>
      <w:commentRangeEnd w:id="5"/>
      <w:r w:rsidR="00BF3034">
        <w:rPr>
          <w:rStyle w:val="CommentReference"/>
          <w:sz w:val="24"/>
          <w:szCs w:val="24"/>
        </w:rPr>
        <w:commentReference w:id="5"/>
      </w:r>
    </w:p>
    <w:p w14:paraId="3C0A405F" w14:textId="77777777" w:rsidR="00436A5C" w:rsidRPr="00CC08BC" w:rsidRDefault="00436A5C" w:rsidP="00436A5C">
      <w:pPr>
        <w:pStyle w:val="Caption"/>
      </w:pPr>
      <w:bookmarkStart w:id="6" w:name="_Ref231550687"/>
      <w:r>
        <w:t xml:space="preserve">Figure </w:t>
      </w:r>
      <w:fldSimple w:instr=" SEQ Figure \* ARABIC ">
        <w:r>
          <w:rPr>
            <w:noProof/>
          </w:rPr>
          <w:t>1</w:t>
        </w:r>
      </w:fldSimple>
      <w:bookmarkEnd w:id="6"/>
      <w:r>
        <w:t>: Some of the many ways that computational design, analysis and digital engineering could integrate to support aerospace system design and sustainment. (Graphic generated with Gemini)</w:t>
      </w:r>
    </w:p>
    <w:p w14:paraId="64F7E054" w14:textId="2A5E40A5" w:rsidR="004C3315" w:rsidRDefault="004C3315" w:rsidP="004C3315">
      <w:r>
        <w:t xml:space="preserve">This position paper </w:t>
      </w:r>
      <w:r w:rsidR="006800C5">
        <w:t>contributes</w:t>
      </w:r>
      <w:r>
        <w:t xml:space="preserve"> to CoDADE </w:t>
      </w:r>
      <w:r w:rsidR="006800C5">
        <w:t>serving as a “bridge” between DEIC and those who would benefit from DEIC's output</w:t>
      </w:r>
      <w:r>
        <w:t xml:space="preserve"> (i.e., those who would utilize digital engineering to conduct CoDA). As a result, this position paper:</w:t>
      </w:r>
    </w:p>
    <w:p w14:paraId="1465D048" w14:textId="302AB02F" w:rsidR="004C3315" w:rsidRPr="00422E70" w:rsidRDefault="004C3315" w:rsidP="004C3315">
      <w:pPr>
        <w:pStyle w:val="ListParagraph"/>
        <w:numPr>
          <w:ilvl w:val="0"/>
          <w:numId w:val="4"/>
        </w:numPr>
      </w:pPr>
      <w:r w:rsidRPr="00422E70">
        <w:t>Provide</w:t>
      </w:r>
      <w:r w:rsidR="006800C5">
        <w:t>s</w:t>
      </w:r>
      <w:r w:rsidRPr="00422E70">
        <w:t xml:space="preserve"> </w:t>
      </w:r>
      <w:r w:rsidR="006800C5">
        <w:t>guidelines, standards, and best practices for people to us</w:t>
      </w:r>
      <w:r w:rsidRPr="00422E70">
        <w:t>e to realize the full benefits of digital engineering</w:t>
      </w:r>
      <w:r>
        <w:t>.</w:t>
      </w:r>
    </w:p>
    <w:p w14:paraId="20F424DD" w14:textId="0806E598" w:rsidR="004C3315" w:rsidRDefault="004C3315" w:rsidP="004C3315">
      <w:pPr>
        <w:pStyle w:val="ListParagraph"/>
        <w:numPr>
          <w:ilvl w:val="0"/>
          <w:numId w:val="4"/>
        </w:numPr>
      </w:pPr>
      <w:r w:rsidRPr="00422E70">
        <w:t>Identif</w:t>
      </w:r>
      <w:r w:rsidR="006800C5">
        <w:t>ies</w:t>
      </w:r>
      <w:r w:rsidRPr="00422E70">
        <w:t xml:space="preserve"> current </w:t>
      </w:r>
      <w:r w:rsidR="006800C5">
        <w:t>knowledge or practice gaps that can serve as avenues for</w:t>
      </w:r>
      <w:r w:rsidRPr="00422E70">
        <w:t xml:space="preserve"> further research and development.</w:t>
      </w:r>
    </w:p>
    <w:p w14:paraId="5136E96F" w14:textId="2E744CE5" w:rsidR="004C3315" w:rsidRDefault="004C3315" w:rsidP="004C3315">
      <w:r>
        <w:t xml:space="preserve">Considering the vast field </w:t>
      </w:r>
      <w:r w:rsidR="006800C5">
        <w:t>of CoDA for aerospace design, DEIC-CoDADE sought input and feedback from those who</w:t>
      </w:r>
      <w:r>
        <w:t xml:space="preserve"> would utilize digital engineering to conduct CoDA for aerospace problems</w:t>
      </w:r>
      <w:r w:rsidR="006800C5">
        <w:t xml:space="preserve"> (</w:t>
      </w:r>
      <w:r>
        <w:t xml:space="preserve">Section </w:t>
      </w:r>
      <w:r>
        <w:fldChar w:fldCharType="begin"/>
      </w:r>
      <w:r>
        <w:instrText xml:space="preserve"> REF _Ref187249546 \w \h </w:instrText>
      </w:r>
      <w:r>
        <w:fldChar w:fldCharType="separate"/>
      </w:r>
      <w:r>
        <w:t>2.2</w:t>
      </w:r>
      <w:r>
        <w:fldChar w:fldCharType="end"/>
      </w:r>
      <w:r w:rsidR="006800C5">
        <w:t>)</w:t>
      </w:r>
      <w:r>
        <w:t>.</w:t>
      </w:r>
    </w:p>
    <w:p w14:paraId="42A6152D" w14:textId="77777777" w:rsidR="004C3315" w:rsidRDefault="004C3315" w:rsidP="004C3315">
      <w:pPr>
        <w:pStyle w:val="Heading2"/>
      </w:pPr>
      <w:r>
        <w:t>Scoping This Position Paper</w:t>
      </w:r>
    </w:p>
    <w:p w14:paraId="27F92BDE" w14:textId="23187B5E" w:rsidR="00436A5C" w:rsidRDefault="004C3315" w:rsidP="004C3315">
      <w:pPr>
        <w:ind w:firstLine="0"/>
      </w:pPr>
      <w:r>
        <w:t xml:space="preserve">Based on the </w:t>
      </w:r>
      <w:r w:rsidR="006800C5">
        <w:t>DEIC-CoDADE subcommittee charter, one approach to scoping this position paper is to review existing gap analyses and vision statements from various</w:t>
      </w:r>
      <w:r>
        <w:t xml:space="preserve"> entities within the aerospace community. Another approach </w:t>
      </w:r>
      <w:r w:rsidR="006800C5">
        <w:t>to scoping the position paper is to survey directly those who use</w:t>
      </w:r>
      <w:r>
        <w:t xml:space="preserve"> digital engineering for computational design and analysis. </w:t>
      </w:r>
      <w:r w:rsidR="006800C5">
        <w:t>To scope the topics for</w:t>
      </w:r>
      <w:r>
        <w:t xml:space="preserve"> discussion in this position paper, the authors employed both approaches.</w:t>
      </w:r>
    </w:p>
    <w:p w14:paraId="690F44FE" w14:textId="77777777" w:rsidR="002A1DEC" w:rsidRDefault="002A1DEC" w:rsidP="002A1DEC">
      <w:pPr>
        <w:pStyle w:val="Heading3"/>
      </w:pPr>
      <w:r>
        <w:lastRenderedPageBreak/>
        <w:t>Existing Visions, Positions, and Publications</w:t>
      </w:r>
    </w:p>
    <w:p w14:paraId="09D6B2A5" w14:textId="77777777" w:rsidR="002A1DEC" w:rsidRPr="00854888" w:rsidRDefault="002A1DEC" w:rsidP="002A1DEC">
      <w:r w:rsidRPr="00854888">
        <w:t>DEIC-CoDADE utilizes the following definitions for various aspects of digital engineering, including:</w:t>
      </w:r>
    </w:p>
    <w:p w14:paraId="0C902CC6" w14:textId="77777777" w:rsidR="002A1DEC" w:rsidRPr="00854888" w:rsidRDefault="002A1DEC" w:rsidP="002A1DEC">
      <w:pPr>
        <w:numPr>
          <w:ilvl w:val="0"/>
          <w:numId w:val="5"/>
        </w:numPr>
      </w:pPr>
      <w:r w:rsidRPr="00854888">
        <w:t xml:space="preserve">Digital engineering - A means of using and integrating digital models and the underlying data to support the development, test and evaluation, and sustainment of a system </w:t>
      </w:r>
      <w:sdt>
        <w:sdtPr>
          <w:id w:val="1494909391"/>
          <w:citation/>
        </w:sdtPr>
        <w:sdtEndPr/>
        <w:sdtContent>
          <w:r w:rsidRPr="00854888">
            <w:fldChar w:fldCharType="begin"/>
          </w:r>
          <w:r w:rsidRPr="00854888">
            <w:instrText xml:space="preserve"> CITATION DoD23 \l 1033 </w:instrText>
          </w:r>
          <w:r w:rsidRPr="00854888">
            <w:fldChar w:fldCharType="separate"/>
          </w:r>
          <w:r w:rsidRPr="00BA2076">
            <w:rPr>
              <w:noProof/>
            </w:rPr>
            <w:t>[1]</w:t>
          </w:r>
          <w:r w:rsidRPr="00854888">
            <w:fldChar w:fldCharType="end"/>
          </w:r>
        </w:sdtContent>
      </w:sdt>
      <w:r w:rsidRPr="00854888">
        <w:t>.</w:t>
      </w:r>
    </w:p>
    <w:p w14:paraId="121270B0" w14:textId="0B107DA0" w:rsidR="002A1DEC" w:rsidRPr="00854888" w:rsidRDefault="002A1DEC" w:rsidP="002A1DEC">
      <w:pPr>
        <w:numPr>
          <w:ilvl w:val="0"/>
          <w:numId w:val="6"/>
        </w:numPr>
      </w:pPr>
      <w:r w:rsidRPr="00854888">
        <w:t xml:space="preserve">Digital twin - A set of virtual information constructs that mimics the structure, context and behavior of an </w:t>
      </w:r>
      <w:r w:rsidR="006800C5">
        <w:t>individual/unique</w:t>
      </w:r>
      <w:r w:rsidRPr="00854888">
        <w:t xml:space="preserve"> physical asset or a group of physical assets</w:t>
      </w:r>
      <w:r w:rsidR="006800C5">
        <w:t xml:space="preserve"> and</w:t>
      </w:r>
      <w:r w:rsidRPr="00854888">
        <w:t xml:space="preserve"> is dynamically updated with data from its physical twin throughout its life cycle and informs decisions that realize value </w:t>
      </w:r>
      <w:sdt>
        <w:sdtPr>
          <w:id w:val="-317958332"/>
          <w:citation/>
        </w:sdtPr>
        <w:sdtEndPr/>
        <w:sdtContent>
          <w:r w:rsidRPr="00854888">
            <w:fldChar w:fldCharType="begin"/>
          </w:r>
          <w:r w:rsidRPr="00854888">
            <w:instrText xml:space="preserve"> CITATION Art20 \l 1033  \m Arn23</w:instrText>
          </w:r>
          <w:r w:rsidRPr="00854888">
            <w:fldChar w:fldCharType="separate"/>
          </w:r>
          <w:r w:rsidRPr="00BA2076">
            <w:rPr>
              <w:noProof/>
            </w:rPr>
            <w:t>[2, 3]</w:t>
          </w:r>
          <w:r w:rsidRPr="00854888">
            <w:fldChar w:fldCharType="end"/>
          </w:r>
        </w:sdtContent>
      </w:sdt>
      <w:r w:rsidRPr="00854888">
        <w:t>.</w:t>
      </w:r>
    </w:p>
    <w:p w14:paraId="6879D1B9" w14:textId="4DA9CB0E" w:rsidR="002A1DEC" w:rsidRPr="00854888" w:rsidRDefault="002A1DEC" w:rsidP="002A1DEC">
      <w:pPr>
        <w:numPr>
          <w:ilvl w:val="0"/>
          <w:numId w:val="6"/>
        </w:numPr>
      </w:pPr>
      <w:r w:rsidRPr="00854888">
        <w:t xml:space="preserve">Digital thread: A collection of linked authoritative digital information </w:t>
      </w:r>
      <w:r w:rsidR="006800C5">
        <w:t>about</w:t>
      </w:r>
      <w:r w:rsidRPr="00854888">
        <w:t xml:space="preserve"> a process, product, or system</w:t>
      </w:r>
      <w:r w:rsidR="006800C5">
        <w:t xml:space="preserve"> with actively managed </w:t>
      </w:r>
      <w:r w:rsidRPr="00854888">
        <w:t>consistency</w:t>
      </w:r>
      <w:r w:rsidR="006800C5">
        <w:t xml:space="preserve"> </w:t>
      </w:r>
      <w:r w:rsidRPr="00854888">
        <w:t xml:space="preserve">throughout the life cycle. </w:t>
      </w:r>
      <w:r w:rsidR="006800C5">
        <w:t xml:space="preserve">The </w:t>
      </w:r>
      <w:r w:rsidR="006800C5" w:rsidRPr="00854888">
        <w:t>collection of linked</w:t>
      </w:r>
      <w:r w:rsidR="006800C5">
        <w:t>, authoritative digital information enables accessibility, traceability, currency, applicability, and credibility, thus facilitating the capture, communication, use, a</w:t>
      </w:r>
      <w:r w:rsidRPr="00854888">
        <w:t xml:space="preserve">nd reuse of knowledge to inform decisions that realize value </w:t>
      </w:r>
      <w:sdt>
        <w:sdtPr>
          <w:id w:val="-1945065036"/>
          <w:citation/>
        </w:sdtPr>
        <w:sdtEndPr/>
        <w:sdtContent>
          <w:r w:rsidRPr="00854888">
            <w:fldChar w:fldCharType="begin"/>
          </w:r>
          <w:r w:rsidRPr="00854888">
            <w:instrText xml:space="preserve"> CITATION Arn231 \l 1033 </w:instrText>
          </w:r>
          <w:r w:rsidRPr="00854888">
            <w:fldChar w:fldCharType="separate"/>
          </w:r>
          <w:r w:rsidRPr="00BA2076">
            <w:rPr>
              <w:noProof/>
            </w:rPr>
            <w:t>[4]</w:t>
          </w:r>
          <w:r w:rsidRPr="00854888">
            <w:fldChar w:fldCharType="end"/>
          </w:r>
        </w:sdtContent>
      </w:sdt>
      <w:r w:rsidRPr="00854888">
        <w:t>.</w:t>
      </w:r>
    </w:p>
    <w:p w14:paraId="246F927B" w14:textId="77777777" w:rsidR="002A1DEC" w:rsidRPr="00854888" w:rsidRDefault="002A1DEC" w:rsidP="002A1DEC">
      <w:pPr>
        <w:numPr>
          <w:ilvl w:val="0"/>
          <w:numId w:val="6"/>
        </w:numPr>
      </w:pPr>
      <w:r w:rsidRPr="00854888">
        <w:t>Digital ecosystem: (</w:t>
      </w:r>
      <w:r w:rsidRPr="00854888">
        <w:rPr>
          <w:b/>
          <w:bCs/>
          <w:i/>
          <w:iCs/>
          <w:u w:val="single"/>
        </w:rPr>
        <w:t>INCLUDE DEFINITION FROM THEIR POSITION PAPER)</w:t>
      </w:r>
    </w:p>
    <w:p w14:paraId="67533E37" w14:textId="77777777" w:rsidR="002A1DEC" w:rsidRPr="00854888" w:rsidRDefault="002A1DEC" w:rsidP="002A1DEC"/>
    <w:p w14:paraId="7F86B365" w14:textId="09F2A094" w:rsidR="002A1DEC" w:rsidRDefault="002A1DEC" w:rsidP="002A1DEC">
      <w:r>
        <w:t>With these definitions in mind, DEIC-CoDADE next scoped the topics</w:t>
      </w:r>
      <w:r w:rsidR="006800C5">
        <w:t xml:space="preserve"> </w:t>
      </w:r>
      <w:r>
        <w:t>in CoDA. One source of this scoping was</w:t>
      </w:r>
      <w:r w:rsidRPr="00807882">
        <w:t xml:space="preserve"> NASA’s 2040 Vision</w:t>
      </w:r>
      <w:r>
        <w:t>:</w:t>
      </w:r>
      <w:r w:rsidRPr="00807882">
        <w:t xml:space="preserve"> </w:t>
      </w:r>
      <w:r>
        <w:t xml:space="preserve">A </w:t>
      </w:r>
      <w:r w:rsidRPr="00854888">
        <w:t>Roadmap for Integrated, Multiscale</w:t>
      </w:r>
      <w:r>
        <w:t xml:space="preserve"> </w:t>
      </w:r>
      <w:r w:rsidRPr="00854888">
        <w:t>Modeling and Simulation of Materials and Systems</w:t>
      </w:r>
      <w:r w:rsidRPr="00807882">
        <w:t>. The 2040 Vision’s desired realized state is “a cyber-physical-social ecosystem that impacts the supply chain to accelerate model-based concurrent design, development, and deployment</w:t>
      </w:r>
      <w:r>
        <w:t xml:space="preserve"> of materials and systems throughout the product life cycle for affordable, producible aerospace applications” </w:t>
      </w:r>
      <w:sdt>
        <w:sdtPr>
          <w:id w:val="-1611507770"/>
          <w:citation/>
        </w:sdtPr>
        <w:sdtEndPr/>
        <w:sdtContent>
          <w:r>
            <w:fldChar w:fldCharType="begin"/>
          </w:r>
          <w:r>
            <w:instrText xml:space="preserve"> CITATION Liu181 \l 1033 </w:instrText>
          </w:r>
          <w:r>
            <w:fldChar w:fldCharType="separate"/>
          </w:r>
          <w:r w:rsidRPr="00BA2076">
            <w:rPr>
              <w:noProof/>
            </w:rPr>
            <w:t>[5]</w:t>
          </w:r>
          <w:r>
            <w:fldChar w:fldCharType="end"/>
          </w:r>
        </w:sdtContent>
      </w:sdt>
      <w:r>
        <w:t xml:space="preserve">. While this roadmap </w:t>
      </w:r>
      <w:r w:rsidR="006800C5">
        <w:t>was</w:t>
      </w:r>
      <w:r>
        <w:t xml:space="preserve"> for materials systems, the key scientific elements are directly translatable to multiple disciplines in aerospace, broadly covering mechanics with validation/verification, computer engineering, computational sciences and mathematics. The 2040 Vision identified 9 key development areas, </w:t>
      </w:r>
      <w:r w:rsidR="006800C5">
        <w:t>117 technical gaps, 180 recommended actions to close those gaps, and 9 interdisciplinary engineering challenge problems</w:t>
      </w:r>
      <w:r>
        <w:t>. The 9 key development areas and the critical gaps within th</w:t>
      </w:r>
      <w:r w:rsidR="006800C5">
        <w:t>em are</w:t>
      </w:r>
      <w:r>
        <w:t xml:space="preserve"> in </w:t>
      </w:r>
      <w:r>
        <w:fldChar w:fldCharType="begin"/>
      </w:r>
      <w:r>
        <w:instrText xml:space="preserve"> REF _Ref187280644 \h </w:instrText>
      </w:r>
      <w:r>
        <w:fldChar w:fldCharType="separate"/>
      </w:r>
      <w:r>
        <w:t xml:space="preserve">Table </w:t>
      </w:r>
      <w:r>
        <w:rPr>
          <w:noProof/>
        </w:rPr>
        <w:t>1</w:t>
      </w:r>
      <w:r>
        <w:fldChar w:fldCharType="end"/>
      </w:r>
      <w:r>
        <w:t>.</w:t>
      </w:r>
    </w:p>
    <w:p w14:paraId="6D9D2DB6" w14:textId="54FBFAC7" w:rsidR="002A1DEC" w:rsidRDefault="002A1DEC" w:rsidP="002A1DEC">
      <w:pPr>
        <w:pStyle w:val="Caption"/>
        <w:keepNext/>
      </w:pPr>
      <w:bookmarkStart w:id="7" w:name="_Ref187280644"/>
      <w:r>
        <w:lastRenderedPageBreak/>
        <w:t xml:space="preserve">Table </w:t>
      </w:r>
      <w:fldSimple w:instr=" SEQ Table \* ARABIC ">
        <w:r w:rsidR="00BF25C3">
          <w:rPr>
            <w:noProof/>
          </w:rPr>
          <w:t>1</w:t>
        </w:r>
      </w:fldSimple>
      <w:bookmarkEnd w:id="7"/>
      <w:r>
        <w:t xml:space="preserve">: </w:t>
      </w:r>
      <w:r w:rsidRPr="006F1B8E">
        <w:t>Key elements for realizing the NASA 2040 Vision State, descriptions of each key element</w:t>
      </w:r>
      <w:r>
        <w:t xml:space="preserve"> and the critical gaps</w:t>
      </w:r>
      <w:r w:rsidRPr="006F1B8E">
        <w:t xml:space="preserve"> for each key element </w:t>
      </w:r>
      <w:sdt>
        <w:sdtPr>
          <w:id w:val="626667423"/>
          <w:citation/>
        </w:sdtPr>
        <w:sdtEndPr/>
        <w:sdtContent>
          <w:r>
            <w:fldChar w:fldCharType="begin"/>
          </w:r>
          <w:r>
            <w:instrText xml:space="preserve"> CITATION Liu181 \l 1033  \m Arn19</w:instrText>
          </w:r>
          <w:r>
            <w:fldChar w:fldCharType="separate"/>
          </w:r>
          <w:r w:rsidRPr="00BA2076">
            <w:rPr>
              <w:noProof/>
            </w:rPr>
            <w:t>[5, 6]</w:t>
          </w:r>
          <w:r>
            <w:fldChar w:fldCharType="end"/>
          </w:r>
        </w:sdtContent>
      </w:sdt>
      <w:r w:rsidRPr="006F1B8E">
        <w:t>.</w:t>
      </w:r>
    </w:p>
    <w:p w14:paraId="41EFA16B" w14:textId="77777777" w:rsidR="002A1DEC" w:rsidRDefault="002A1DEC" w:rsidP="002A1DEC">
      <w:pPr>
        <w:ind w:firstLine="0"/>
        <w:jc w:val="center"/>
      </w:pPr>
      <w:r>
        <w:rPr>
          <w:noProof/>
        </w:rPr>
        <w:drawing>
          <wp:inline distT="0" distB="0" distL="0" distR="0" wp14:anchorId="29F17E7C" wp14:editId="308E3749">
            <wp:extent cx="5943600" cy="4707255"/>
            <wp:effectExtent l="0" t="0" r="0" b="0"/>
            <wp:docPr id="41026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66383" name=""/>
                    <pic:cNvPicPr/>
                  </pic:nvPicPr>
                  <pic:blipFill>
                    <a:blip r:embed="rId11"/>
                    <a:stretch>
                      <a:fillRect/>
                    </a:stretch>
                  </pic:blipFill>
                  <pic:spPr>
                    <a:xfrm>
                      <a:off x="0" y="0"/>
                      <a:ext cx="5943600" cy="4707255"/>
                    </a:xfrm>
                    <a:prstGeom prst="rect">
                      <a:avLst/>
                    </a:prstGeom>
                  </pic:spPr>
                </pic:pic>
              </a:graphicData>
            </a:graphic>
          </wp:inline>
        </w:drawing>
      </w:r>
    </w:p>
    <w:p w14:paraId="21105AEB" w14:textId="2122C678" w:rsidR="002A1DEC" w:rsidRDefault="002A1DEC" w:rsidP="002A1DEC">
      <w:r>
        <w:t xml:space="preserve">These key elements </w:t>
      </w:r>
      <w:r w:rsidR="006800C5">
        <w:t>became</w:t>
      </w:r>
      <w:r>
        <w:t xml:space="preserve"> four fundamental pillars </w:t>
      </w:r>
      <w:r w:rsidR="006800C5">
        <w:t>for study:</w:t>
      </w:r>
      <w:r w:rsidR="00337CAB">
        <w:t xml:space="preserve"> </w:t>
      </w:r>
      <w:r w:rsidR="00ED164B">
        <w:t xml:space="preserve">computational design and analysis (CoDA), </w:t>
      </w:r>
      <w:r>
        <w:t xml:space="preserve">data management, hardware/software infrastructure co-design, and the role of </w:t>
      </w:r>
      <w:r w:rsidR="00D61E03">
        <w:t>organizational</w:t>
      </w:r>
      <w:r>
        <w:t xml:space="preserve"> strategy and culture. Further discussion o</w:t>
      </w:r>
      <w:r w:rsidR="006800C5">
        <w:t>f the topics within each of these disciplines that will be included in this position paper is</w:t>
      </w:r>
      <w:r>
        <w:t xml:space="preserve"> in Section </w:t>
      </w:r>
      <w:r>
        <w:fldChar w:fldCharType="begin"/>
      </w:r>
      <w:r>
        <w:instrText xml:space="preserve"> REF _Ref187282184 \w \h </w:instrText>
      </w:r>
      <w:r>
        <w:fldChar w:fldCharType="separate"/>
      </w:r>
      <w:r>
        <w:t>2.4</w:t>
      </w:r>
      <w:r>
        <w:fldChar w:fldCharType="end"/>
      </w:r>
      <w:r>
        <w:t>.</w:t>
      </w:r>
    </w:p>
    <w:p w14:paraId="0B7CA312" w14:textId="08C9CEF7" w:rsidR="002A1DEC" w:rsidRDefault="002A1DEC" w:rsidP="002A1DEC">
      <w:r>
        <w:t xml:space="preserve">Building on these four pillars, further refinement </w:t>
      </w:r>
      <w:r w:rsidR="006800C5">
        <w:t>came from the AI Readiness Survey distributed</w:t>
      </w:r>
      <w:commentRangeStart w:id="8"/>
      <w:commentRangeStart w:id="9"/>
      <w:r w:rsidR="00A75C15">
        <w:t xml:space="preserve"> by NAFEMS in 2024 </w:t>
      </w:r>
      <w:sdt>
        <w:sdtPr>
          <w:id w:val="1013802838"/>
          <w:citation/>
        </w:sdtPr>
        <w:sdtEndPr/>
        <w:sdtContent>
          <w:r w:rsidR="00A75C15">
            <w:fldChar w:fldCharType="begin"/>
          </w:r>
          <w:r w:rsidR="00A75C15">
            <w:instrText xml:space="preserve"> CITATION Ste25 \l 1033 </w:instrText>
          </w:r>
          <w:r w:rsidR="00A75C15">
            <w:fldChar w:fldCharType="separate"/>
          </w:r>
          <w:r w:rsidR="00A75C15" w:rsidRPr="00E077D1">
            <w:rPr>
              <w:noProof/>
            </w:rPr>
            <w:t>[7]</w:t>
          </w:r>
          <w:r w:rsidR="00A75C15">
            <w:fldChar w:fldCharType="end"/>
          </w:r>
        </w:sdtContent>
      </w:sdt>
      <w:r w:rsidR="00A75C15">
        <w:t>.</w:t>
      </w:r>
      <w:commentRangeEnd w:id="8"/>
      <w:r w:rsidR="00A75C15">
        <w:rPr>
          <w:rStyle w:val="CommentReference"/>
          <w:sz w:val="24"/>
          <w:szCs w:val="24"/>
        </w:rPr>
        <w:commentReference w:id="8"/>
      </w:r>
      <w:commentRangeEnd w:id="9"/>
      <w:r>
        <w:rPr>
          <w:rStyle w:val="CommentReference"/>
          <w:sz w:val="24"/>
          <w:szCs w:val="24"/>
        </w:rPr>
        <w:commentReference w:id="9"/>
      </w:r>
      <w:r w:rsidR="00A75C15">
        <w:t xml:space="preserve"> </w:t>
      </w:r>
      <w:r>
        <w:t xml:space="preserve">There were 802 respondents to the survey, who </w:t>
      </w:r>
      <w:r w:rsidR="006800C5">
        <w:t>answered questions about how their organization uses AI/ML for engineering simulation, the level of AI maturity within the organization, and barriers to AI adoption, among other</w:t>
      </w:r>
      <w:r>
        <w:t xml:space="preserve">s. </w:t>
      </w:r>
      <w:commentRangeStart w:id="10"/>
      <w:commentRangeStart w:id="11"/>
      <w:r>
        <w:t xml:space="preserve">Ultimately, the survey results demonstrated that most </w:t>
      </w:r>
      <w:r w:rsidR="006800C5">
        <w:t>respondents’ organizations lack mature AI capabilities, and the vast majority are</w:t>
      </w:r>
      <w:r>
        <w:t xml:space="preserve"> not utilizing ML/AI </w:t>
      </w:r>
      <w:r w:rsidR="006800C5">
        <w:t>ethically and responsibly</w:t>
      </w:r>
      <w:r>
        <w:t xml:space="preserve">. Based on these findings, the DEIC-CoDADE further identified the need to address concerns </w:t>
      </w:r>
      <w:r w:rsidR="00A75C15">
        <w:t xml:space="preserve">about “AI-readiness” of data, tool interoperability, and the appropriate use of digital engineering </w:t>
      </w:r>
      <w:r>
        <w:t>methods and technologies within each high-level discipline. The definitions of appropriate use and interoperability are as follows:</w:t>
      </w:r>
      <w:commentRangeEnd w:id="10"/>
      <w:r>
        <w:rPr>
          <w:rStyle w:val="CommentReference"/>
          <w:sz w:val="24"/>
          <w:szCs w:val="24"/>
        </w:rPr>
        <w:commentReference w:id="10"/>
      </w:r>
      <w:commentRangeEnd w:id="11"/>
      <w:r>
        <w:rPr>
          <w:rStyle w:val="CommentReference"/>
          <w:sz w:val="24"/>
          <w:szCs w:val="24"/>
        </w:rPr>
        <w:commentReference w:id="11"/>
      </w:r>
    </w:p>
    <w:p w14:paraId="478897C5" w14:textId="77777777" w:rsidR="002A1DEC" w:rsidRPr="00C74A1E" w:rsidRDefault="002A1DEC" w:rsidP="002A1DEC">
      <w:pPr>
        <w:pStyle w:val="ListParagraph"/>
        <w:numPr>
          <w:ilvl w:val="0"/>
          <w:numId w:val="7"/>
        </w:numPr>
      </w:pPr>
      <w:r>
        <w:t>Appropriate use - A subset of considerations within responsible use of methods, appropriate use considers the following: (</w:t>
      </w:r>
      <w:r w:rsidRPr="00C74A1E">
        <w:t xml:space="preserve">1) Are the models, data, and decision-making process </w:t>
      </w:r>
      <w:r>
        <w:t>validated</w:t>
      </w:r>
      <w:r w:rsidRPr="00C74A1E">
        <w:t xml:space="preserve"> for the desired application? (2) Are the models, data, and decision-</w:t>
      </w:r>
      <w:r w:rsidRPr="00C74A1E">
        <w:lastRenderedPageBreak/>
        <w:t>making process sufficiently mature for quantification of uncertainty and establishing trust?</w:t>
      </w:r>
    </w:p>
    <w:p w14:paraId="5E333D2D" w14:textId="37181990" w:rsidR="002A1DEC" w:rsidRDefault="002A1DEC" w:rsidP="002A1DEC">
      <w:pPr>
        <w:pStyle w:val="ListParagraph"/>
        <w:numPr>
          <w:ilvl w:val="0"/>
          <w:numId w:val="7"/>
        </w:numPr>
      </w:pPr>
      <w:r>
        <w:t xml:space="preserve">Interoperability - </w:t>
      </w:r>
      <w:r w:rsidRPr="00C74A1E">
        <w:t xml:space="preserve">The ability of systems, units, or </w:t>
      </w:r>
      <w:commentRangeStart w:id="12"/>
      <w:r w:rsidRPr="00C74A1E">
        <w:t xml:space="preserve">forces </w:t>
      </w:r>
      <w:commentRangeEnd w:id="12"/>
      <w:r w:rsidRPr="00C74A1E">
        <w:rPr>
          <w:rStyle w:val="CommentReference"/>
          <w:sz w:val="24"/>
          <w:szCs w:val="24"/>
        </w:rPr>
        <w:commentReference w:id="12"/>
      </w:r>
      <w:r w:rsidRPr="00C74A1E">
        <w:t xml:space="preserve">to provide data, information, </w:t>
      </w:r>
      <w:commentRangeStart w:id="13"/>
      <w:r w:rsidRPr="00C74A1E">
        <w:t>materiel</w:t>
      </w:r>
      <w:commentRangeEnd w:id="13"/>
      <w:r w:rsidRPr="00C74A1E">
        <w:rPr>
          <w:rStyle w:val="CommentReference"/>
          <w:sz w:val="24"/>
          <w:szCs w:val="24"/>
        </w:rPr>
        <w:commentReference w:id="13"/>
      </w:r>
      <w:r w:rsidRPr="00C74A1E">
        <w:t xml:space="preserve">, and services to, and accept the same from, other systems, units, or forces, and to use the data, information, materiel, and services exchanged to </w:t>
      </w:r>
      <w:r w:rsidR="006800C5">
        <w:t>operate together and provide reliable quantities of interest effectively i</w:t>
      </w:r>
      <w:r w:rsidRPr="00C74A1E">
        <w:t xml:space="preserve">n the context of </w:t>
      </w:r>
      <w:commentRangeStart w:id="14"/>
      <w:commentRangeStart w:id="15"/>
      <w:commentRangeStart w:id="16"/>
      <w:r w:rsidRPr="00C74A1E">
        <w:t>non-deterministic methods (including, but not limited to, AI</w:t>
      </w:r>
      <w:r w:rsidR="00BB5C9B">
        <w:t xml:space="preserve"> and uncertainty quantification (UQ)</w:t>
      </w:r>
      <w:r w:rsidRPr="00C74A1E">
        <w:t xml:space="preserve">), </w:t>
      </w:r>
      <w:commentRangeEnd w:id="14"/>
      <w:r w:rsidRPr="00C74A1E">
        <w:rPr>
          <w:rStyle w:val="CommentReference"/>
          <w:sz w:val="24"/>
          <w:szCs w:val="24"/>
        </w:rPr>
        <w:commentReference w:id="14"/>
      </w:r>
      <w:commentRangeEnd w:id="15"/>
      <w:r w:rsidRPr="00C74A1E">
        <w:rPr>
          <w:rStyle w:val="CommentReference"/>
          <w:sz w:val="24"/>
          <w:szCs w:val="24"/>
        </w:rPr>
        <w:commentReference w:id="15"/>
      </w:r>
      <w:commentRangeEnd w:id="16"/>
      <w:r w:rsidRPr="00C74A1E">
        <w:rPr>
          <w:rStyle w:val="CommentReference"/>
          <w:sz w:val="24"/>
          <w:szCs w:val="24"/>
        </w:rPr>
        <w:commentReference w:id="16"/>
      </w:r>
      <w:r w:rsidRPr="00C74A1E">
        <w:t xml:space="preserve">the goal is to emphasize how interoperability of these methods with other digital infrastructure can be supported </w:t>
      </w:r>
      <w:r w:rsidR="006800C5">
        <w:t>appropriately</w:t>
      </w:r>
      <w:r>
        <w:t xml:space="preserve"> </w:t>
      </w:r>
      <w:sdt>
        <w:sdtPr>
          <w:id w:val="-890877740"/>
          <w:citation/>
        </w:sdtPr>
        <w:sdtEndPr/>
        <w:sdtContent>
          <w:r>
            <w:fldChar w:fldCharType="begin"/>
          </w:r>
          <w:r>
            <w:instrText xml:space="preserve"> CITATION DoD22 \l 1033 </w:instrText>
          </w:r>
          <w:r>
            <w:fldChar w:fldCharType="separate"/>
          </w:r>
          <w:r w:rsidRPr="00BA2076">
            <w:rPr>
              <w:noProof/>
            </w:rPr>
            <w:t>[7]</w:t>
          </w:r>
          <w:r>
            <w:fldChar w:fldCharType="end"/>
          </w:r>
        </w:sdtContent>
      </w:sdt>
      <w:r w:rsidRPr="00C74A1E">
        <w:t>.</w:t>
      </w:r>
    </w:p>
    <w:p w14:paraId="6EBED4AA" w14:textId="26EBA6C6" w:rsidR="002A1DEC" w:rsidRPr="005B75B6" w:rsidRDefault="002A1DEC" w:rsidP="002A1DEC">
      <w:r>
        <w:t xml:space="preserve">Considering the above definitions for digital engineering constructs, the high-level subject areas that will compose chapters of this position paper, and critical characteristics for supporting CoDADE, Section </w:t>
      </w:r>
      <w:r w:rsidR="006800C5">
        <w:fldChar w:fldCharType="begin"/>
      </w:r>
      <w:r w:rsidR="006800C5">
        <w:instrText xml:space="preserve"> REF _Ref236218142 \r \h </w:instrText>
      </w:r>
      <w:r w:rsidR="006800C5">
        <w:fldChar w:fldCharType="separate"/>
      </w:r>
      <w:r w:rsidR="006800C5">
        <w:t>2.2.2</w:t>
      </w:r>
      <w:r w:rsidR="006800C5">
        <w:fldChar w:fldCharType="end"/>
      </w:r>
      <w:r w:rsidR="006800C5">
        <w:t xml:space="preserve"> </w:t>
      </w:r>
      <w:r>
        <w:t xml:space="preserve">will review the survey that DEIC-CoDADE circulated and </w:t>
      </w:r>
      <w:r w:rsidR="006800C5">
        <w:t>its results</w:t>
      </w:r>
      <w:r>
        <w:t>.</w:t>
      </w:r>
    </w:p>
    <w:p w14:paraId="4E51DA05" w14:textId="77777777" w:rsidR="00765AA9" w:rsidRDefault="00765AA9" w:rsidP="00765AA9">
      <w:pPr>
        <w:pStyle w:val="Heading3"/>
      </w:pPr>
      <w:bookmarkStart w:id="17" w:name="_Ref236218142"/>
      <w:r>
        <w:t>AIAA DEIC-CoDADE Survey</w:t>
      </w:r>
      <w:bookmarkEnd w:id="17"/>
    </w:p>
    <w:p w14:paraId="2CD7ACDC" w14:textId="6579D297" w:rsidR="002A1DEC" w:rsidRDefault="00765AA9" w:rsidP="00765AA9">
      <w:r>
        <w:t xml:space="preserve">DEIC-CoDADE </w:t>
      </w:r>
      <w:r w:rsidR="006800C5">
        <w:t>developed a survey and fielded it from October to</w:t>
      </w:r>
      <w:r>
        <w:t xml:space="preserve"> November 2024. The survey </w:t>
      </w:r>
      <w:r w:rsidR="004761CE">
        <w:t>elicit</w:t>
      </w:r>
      <w:r w:rsidR="006800C5">
        <w:t>ed</w:t>
      </w:r>
      <w:r w:rsidR="004761CE">
        <w:t xml:space="preserve"> input from those who utilize digital engineering on the current and future views of CoDA in aerospace digital engineering</w:t>
      </w:r>
      <w:r>
        <w:t>.</w:t>
      </w:r>
      <w:r w:rsidR="004761CE">
        <w:t xml:space="preserve">  Further discussion on the survey, survey topics and questions, and a detailed discussion of the results is in Ram </w:t>
      </w:r>
      <w:sdt>
        <w:sdtPr>
          <w:id w:val="2081172782"/>
          <w:citation/>
        </w:sdtPr>
        <w:sdtEndPr/>
        <w:sdtContent>
          <w:r w:rsidR="004761CE">
            <w:fldChar w:fldCharType="begin"/>
          </w:r>
          <w:r w:rsidR="004761CE">
            <w:instrText xml:space="preserve"> CITATION Ram26 \l 1033 </w:instrText>
          </w:r>
          <w:r w:rsidR="004761CE">
            <w:fldChar w:fldCharType="separate"/>
          </w:r>
          <w:r w:rsidR="004761CE" w:rsidRPr="00151A60">
            <w:rPr>
              <w:noProof/>
            </w:rPr>
            <w:t>[9]</w:t>
          </w:r>
          <w:r w:rsidR="004761CE">
            <w:fldChar w:fldCharType="end"/>
          </w:r>
        </w:sdtContent>
      </w:sdt>
      <w:r w:rsidR="004761CE">
        <w:t>.</w:t>
      </w:r>
    </w:p>
    <w:p w14:paraId="14C541D4" w14:textId="499B5BE3" w:rsidR="004432BB" w:rsidRDefault="004432BB" w:rsidP="004432BB">
      <w:r>
        <w:t xml:space="preserve">Ultimately, the survey yielded a statistically significant number of responses, and these responses demonstrated shared challenges. Note that responses included </w:t>
      </w:r>
      <w:r w:rsidR="00C52115">
        <w:t xml:space="preserve">multiple-choice questions that allowed </w:t>
      </w:r>
      <w:r w:rsidR="00B33200">
        <w:t>respondents to provide a high-level representation of their perspective along with opportunities to respond in writing to a series of questions.</w:t>
      </w:r>
      <w:r>
        <w:t xml:space="preserve"> One of these shared challenges is that respondents identified the use of AI/ML and </w:t>
      </w:r>
      <w:r w:rsidR="00B33200">
        <w:t>traditional</w:t>
      </w:r>
      <w:r>
        <w:t xml:space="preserve"> modeling/simulation methods in a hybrid, integrated fashion and </w:t>
      </w:r>
      <w:r w:rsidR="006800C5">
        <w:t>the application of AI/ML to automation and data analysis</w:t>
      </w:r>
      <w:r>
        <w:t xml:space="preserve"> as areas of desired study. Respondents believe that these AI/ML topics are currently deriving the least benefit from digital engineering and need additional guidelines to maximize interoperability and appropriate use.</w:t>
      </w:r>
    </w:p>
    <w:p w14:paraId="6E7B2A78" w14:textId="1FE0812E" w:rsidR="004432BB" w:rsidRDefault="004432BB" w:rsidP="004432BB">
      <w:r>
        <w:t>Respondents also noted the need</w:t>
      </w:r>
      <w:r w:rsidR="006800C5">
        <w:t xml:space="preserve"> for, and the importance of, standardization and guidelines for</w:t>
      </w:r>
      <w:r>
        <w:t xml:space="preserve"> best practices across all subject areas discussed in the survey to better support the realization of digital engineering. </w:t>
      </w:r>
      <w:r w:rsidR="006800C5">
        <w:t>Regarding data management, respondents emphasized the need for additional standardization and guidelines for</w:t>
      </w:r>
      <w:r>
        <w:t xml:space="preserve"> managing simulation verification and validation data, unstructured text data, and metadata. </w:t>
      </w:r>
      <w:r w:rsidR="00BF3034">
        <w:t>One observation was</w:t>
      </w:r>
      <w:r>
        <w:t xml:space="preserve"> the need </w:t>
      </w:r>
      <w:r w:rsidR="00B33200">
        <w:t xml:space="preserve">to standardize methodologies for incorporating process-driven tools </w:t>
      </w:r>
      <w:r>
        <w:t xml:space="preserve">across the product life cycle in a digital environment. Another </w:t>
      </w:r>
      <w:r w:rsidR="00BF3034">
        <w:t>observation</w:t>
      </w:r>
      <w:r>
        <w:t xml:space="preserve"> </w:t>
      </w:r>
      <w:r w:rsidR="00B33200">
        <w:t xml:space="preserve">highlighted that guidelines on interoperability and the appropriate use of digital engineering and open standards for model and data management would support the </w:t>
      </w:r>
      <w:r>
        <w:t>adoption of these open standards and fully realize the promise of digital engineering.</w:t>
      </w:r>
    </w:p>
    <w:p w14:paraId="0619303D" w14:textId="18AE7CCE" w:rsidR="004432BB" w:rsidRDefault="004432BB" w:rsidP="004432BB">
      <w:r>
        <w:t xml:space="preserve">However, according to respondents, the greatest challenges for advancing and fully realizing digital engineering include training developers, educating leadership, and aligning needs/goals across their respective organizations. </w:t>
      </w:r>
      <w:r w:rsidRPr="00B64518">
        <w:t xml:space="preserve">One </w:t>
      </w:r>
      <w:r w:rsidR="00BF3034">
        <w:t>observation was</w:t>
      </w:r>
      <w:r w:rsidRPr="00B64518">
        <w:t xml:space="preserve"> that “senior staff members view </w:t>
      </w:r>
      <w:r w:rsidR="00B33200">
        <w:t>hardware-in-the-loop</w:t>
      </w:r>
      <w:r w:rsidRPr="00B64518">
        <w:t xml:space="preserve"> testbeds as more reliable than digital twins. Digital twin developers are younger and have less experience with HW and SW issues that they should model.”</w:t>
      </w:r>
      <w:r>
        <w:t xml:space="preserve"> Consequently, additional guidelines </w:t>
      </w:r>
      <w:r w:rsidR="006800C5">
        <w:t xml:space="preserve">for demonstrating utility, validation, and trust in digital twin development would support leadership education </w:t>
      </w:r>
      <w:r>
        <w:t xml:space="preserve">in technical roles. </w:t>
      </w:r>
    </w:p>
    <w:p w14:paraId="36772B4F" w14:textId="0DC5D670" w:rsidR="004432BB" w:rsidRDefault="00BF3034" w:rsidP="004432BB">
      <w:r>
        <w:lastRenderedPageBreak/>
        <w:t>Another observation was</w:t>
      </w:r>
      <w:r w:rsidR="004432BB" w:rsidRPr="00B64518">
        <w:t xml:space="preserve"> that it “(…) appears that systems architecture is what folks are focused on as opposed to connecting the digital thread to everyday tasking” and that “Digital engineering workflows and culture shifts in corporations need to happen at the working level in order to meet the demand customers have for aerospace products.”</w:t>
      </w:r>
      <w:r w:rsidR="004432BB">
        <w:t xml:space="preserve"> </w:t>
      </w:r>
      <w:r w:rsidR="006800C5">
        <w:t>This quote</w:t>
      </w:r>
      <w:r w:rsidR="004432BB">
        <w:t xml:space="preserve"> implies that </w:t>
      </w:r>
      <w:r w:rsidR="00A75C15">
        <w:t>those who</w:t>
      </w:r>
      <w:r w:rsidR="004432BB">
        <w:t xml:space="preserve"> would utilize digital engineering need examples o</w:t>
      </w:r>
      <w:r w:rsidR="006800C5">
        <w:t>f how to apply digital engineering constructs to solve problems they regularly face, rather than just an</w:t>
      </w:r>
      <w:r w:rsidR="004432BB">
        <w:t xml:space="preserve"> emphasis on digital engineering architectures.</w:t>
      </w:r>
    </w:p>
    <w:p w14:paraId="549D5B52" w14:textId="5E4F3106" w:rsidR="006800C5" w:rsidRDefault="006800C5" w:rsidP="006800C5">
      <w:pPr>
        <w:pStyle w:val="Heading2"/>
      </w:pPr>
      <w:r>
        <w:t>Offerings of this Position Paper</w:t>
      </w:r>
    </w:p>
    <w:p w14:paraId="0FCC3D9E" w14:textId="5D2B3E73" w:rsidR="006800C5" w:rsidRPr="006800C5" w:rsidRDefault="006800C5" w:rsidP="006800C5">
      <w:r>
        <w:t xml:space="preserve">While other AIAA DEIC position papers emphasize the technological offerings they provide and their perspectives on the directions technology will take, this position paper emphasizes how digital engineering connects with </w:t>
      </w:r>
      <w:r w:rsidR="00BF3034">
        <w:t>its key stakeholders and how to ensure these stakeholders use it</w:t>
      </w:r>
      <w:r>
        <w:t xml:space="preserve"> appropriately. As a result, this position paper examines how digital engineering impacts an organization at every level, from the individual workflow developers or workflow developer teams using digital engineering to support computational design and analysis</w:t>
      </w:r>
      <w:r w:rsidR="00B63862">
        <w:t xml:space="preserve"> (Section </w:t>
      </w:r>
      <w:r w:rsidR="00B63862">
        <w:fldChar w:fldCharType="begin"/>
      </w:r>
      <w:r w:rsidR="00B63862">
        <w:instrText xml:space="preserve"> REF _Ref236218535 \r \h </w:instrText>
      </w:r>
      <w:r w:rsidR="00B63862">
        <w:fldChar w:fldCharType="separate"/>
      </w:r>
      <w:r w:rsidR="00B63862">
        <w:t>3</w:t>
      </w:r>
      <w:r w:rsidR="00B63862">
        <w:fldChar w:fldCharType="end"/>
      </w:r>
      <w:r w:rsidR="00B63862">
        <w:t>)</w:t>
      </w:r>
      <w:r>
        <w:t>, the teaming between hardware, software, and systems engineers to build sufficient capability to handle digital engineering requirements for enabling these workflows</w:t>
      </w:r>
      <w:r w:rsidR="00B63862">
        <w:t xml:space="preserve"> (Section </w:t>
      </w:r>
      <w:r w:rsidR="00B63862">
        <w:fldChar w:fldCharType="begin"/>
      </w:r>
      <w:r w:rsidR="00B63862">
        <w:instrText xml:space="preserve"> REF _Ref236216471 \r \h </w:instrText>
      </w:r>
      <w:r w:rsidR="00B63862">
        <w:fldChar w:fldCharType="separate"/>
      </w:r>
      <w:r w:rsidR="00B63862">
        <w:t>4</w:t>
      </w:r>
      <w:r w:rsidR="00B63862">
        <w:fldChar w:fldCharType="end"/>
      </w:r>
      <w:r w:rsidR="00B63862">
        <w:t>)</w:t>
      </w:r>
      <w:r>
        <w:t>, at the very top level of the organization itself, whose culture and overall disposition towards digital engineering greatly impact the digital transformation capability within the organization</w:t>
      </w:r>
      <w:r w:rsidR="00B63862">
        <w:t xml:space="preserve"> (Section </w:t>
      </w:r>
      <w:r w:rsidR="00B63862">
        <w:fldChar w:fldCharType="begin"/>
      </w:r>
      <w:r w:rsidR="00B63862">
        <w:instrText xml:space="preserve"> REF _Ref236218567 \r \h </w:instrText>
      </w:r>
      <w:r w:rsidR="00B63862">
        <w:fldChar w:fldCharType="separate"/>
      </w:r>
      <w:r w:rsidR="00B63862">
        <w:t>5</w:t>
      </w:r>
      <w:r w:rsidR="00B63862">
        <w:fldChar w:fldCharType="end"/>
      </w:r>
      <w:r w:rsidR="00B63862">
        <w:t>)</w:t>
      </w:r>
      <w:r>
        <w:t>.</w:t>
      </w:r>
    </w:p>
    <w:p w14:paraId="539DC437" w14:textId="77777777" w:rsidR="001521E8" w:rsidRPr="001521E8" w:rsidRDefault="001521E8" w:rsidP="0095305B">
      <w:pPr>
        <w:pStyle w:val="Heading1"/>
      </w:pPr>
      <w:bookmarkStart w:id="18" w:name="_Ref187413419"/>
      <w:bookmarkStart w:id="19" w:name="_Ref236218535"/>
      <w:r w:rsidRPr="001521E8">
        <w:t xml:space="preserve">Computational Design and Analysis (CoDA) </w:t>
      </w:r>
      <w:bookmarkEnd w:id="18"/>
      <w:r w:rsidRPr="001521E8">
        <w:t xml:space="preserve">and Digital </w:t>
      </w:r>
      <w:commentRangeStart w:id="20"/>
      <w:r w:rsidRPr="001521E8">
        <w:t>Engineering</w:t>
      </w:r>
      <w:bookmarkEnd w:id="19"/>
      <w:commentRangeEnd w:id="20"/>
      <w:r w:rsidRPr="001521E8">
        <w:rPr>
          <w:rStyle w:val="CommentReference"/>
          <w:sz w:val="32"/>
          <w:szCs w:val="40"/>
        </w:rPr>
        <w:commentReference w:id="20"/>
      </w:r>
    </w:p>
    <w:p w14:paraId="667D5A32" w14:textId="76DB90F4" w:rsidR="001521E8" w:rsidRDefault="001521E8" w:rsidP="0095305B">
      <w:r w:rsidRPr="001521E8">
        <w:t>Computational methods and tools have been extensively developed and utilized in aerospace engineering and across major engineering disciplines, enabling the era of digital engineering</w:t>
      </w:r>
      <w:sdt>
        <w:sdtPr>
          <w:id w:val="306438467"/>
          <w:citation/>
        </w:sdtPr>
        <w:sdtEndPr/>
        <w:sdtContent>
          <w:r w:rsidRPr="001521E8">
            <w:fldChar w:fldCharType="begin"/>
          </w:r>
          <w:r w:rsidRPr="001521E8">
            <w:instrText xml:space="preserve"> CITATION Dep18 \l 1033 </w:instrText>
          </w:r>
          <w:r w:rsidRPr="001521E8">
            <w:fldChar w:fldCharType="separate"/>
          </w:r>
          <w:r w:rsidRPr="001521E8">
            <w:t xml:space="preserve"> [14]</w:t>
          </w:r>
          <w:r w:rsidRPr="001521E8">
            <w:fldChar w:fldCharType="end"/>
          </w:r>
        </w:sdtContent>
      </w:sdt>
      <w:sdt>
        <w:sdtPr>
          <w:id w:val="-1645346363"/>
          <w:citation/>
        </w:sdtPr>
        <w:sdtEndPr/>
        <w:sdtContent>
          <w:r w:rsidRPr="001521E8">
            <w:fldChar w:fldCharType="begin"/>
          </w:r>
          <w:r w:rsidRPr="001521E8">
            <w:instrText xml:space="preserve"> CITATION Wil23 \l 1033 </w:instrText>
          </w:r>
          <w:r w:rsidRPr="001521E8">
            <w:fldChar w:fldCharType="separate"/>
          </w:r>
          <w:r w:rsidRPr="001521E8">
            <w:t xml:space="preserve"> [15]</w:t>
          </w:r>
          <w:r w:rsidRPr="001521E8">
            <w:fldChar w:fldCharType="end"/>
          </w:r>
        </w:sdtContent>
      </w:sdt>
      <w:r w:rsidRPr="001521E8">
        <w:t xml:space="preserve">.  Ever since the birth of the Turing machine, engineering has exploited ever-increasing computing power to solve discretized representations of physical and mathematical problems through large numbers of repetitive calculations. This has enabled more accurate computation (e.g. more and finer-grained time steps and mesh density) and automation (e.g. constructing a series of mathematical operations within a logic algorithm) in many engineering tasks – including data processing, 3D modeling, geometry manipulation, modeling and simulation (including empirical models), probabilistic modeling and uncertainty quantification (UQ), optimization and inverse methods, and AI and ML. </w:t>
      </w:r>
      <w:commentRangeStart w:id="21"/>
      <w:r w:rsidRPr="001521E8">
        <w:t xml:space="preserve">The increase in processing speed, memory, and storage over the past few decades has paralleled </w:t>
      </w:r>
      <w:r w:rsidR="006800C5">
        <w:t>leaps in the scale and fidelity of problems engineers can solve, offering</w:t>
      </w:r>
      <w:r w:rsidRPr="001521E8">
        <w:t xml:space="preserve"> unprecedented insights into the complexity of aerospace engineering sciences and design. </w:t>
      </w:r>
      <w:commentRangeEnd w:id="21"/>
      <w:r>
        <w:rPr>
          <w:rStyle w:val="CommentReference"/>
          <w:sz w:val="24"/>
          <w:szCs w:val="24"/>
        </w:rPr>
        <w:commentReference w:id="21"/>
      </w:r>
    </w:p>
    <w:p w14:paraId="77DF151C" w14:textId="31C1618C" w:rsidR="007243C4" w:rsidRPr="001521E8" w:rsidRDefault="007243C4" w:rsidP="0095305B">
      <w:r>
        <w:t>Perhaps the most consequential outcomes of computational design and analysis are the decisions that result. Employing models, simulations, and analyses helps address uncertainties, complexities, and ambiguities and should promote consistency and specificity. Recognizing pragmatic limits to the completeness and correctness of these methods, formal capture of contextual metadata</w:t>
      </w:r>
      <w:r w:rsidR="006800C5">
        <w:t>, such as assumptions, unknowns, and alternatives, improves understanding of</w:t>
      </w:r>
      <w:r>
        <w:t xml:space="preserve"> the decision and can promote robust adaptation to changes in mission, environment, and knowledge.  These metadata form “decision provenance”, akin to the established practice of data provenance curation </w:t>
      </w:r>
      <w:sdt>
        <w:sdtPr>
          <w:id w:val="-241945156"/>
          <w:citation/>
        </w:sdtPr>
        <w:sdtEndPr/>
        <w:sdtContent>
          <w:r w:rsidR="002D3141">
            <w:fldChar w:fldCharType="begin"/>
          </w:r>
          <w:r w:rsidR="002D3141">
            <w:instrText xml:space="preserve"> CITATION Art26 \l 1033 </w:instrText>
          </w:r>
          <w:r w:rsidR="002D3141">
            <w:fldChar w:fldCharType="separate"/>
          </w:r>
          <w:r w:rsidR="002D3141" w:rsidRPr="002D3141">
            <w:rPr>
              <w:noProof/>
            </w:rPr>
            <w:t>[18]</w:t>
          </w:r>
          <w:r w:rsidR="002D3141">
            <w:fldChar w:fldCharType="end"/>
          </w:r>
        </w:sdtContent>
      </w:sdt>
      <w:r>
        <w:t>.</w:t>
      </w:r>
    </w:p>
    <w:p w14:paraId="71FA141E" w14:textId="2DDACE8A" w:rsidR="001521E8" w:rsidRPr="001521E8" w:rsidRDefault="001521E8" w:rsidP="0095305B">
      <w:r w:rsidRPr="001521E8">
        <w:t xml:space="preserve">Today, digital engineering represents a new generation of integrating computational methods and tools for engineering, highlighting simultaneous integration of multiple disciplinary considerations </w:t>
      </w:r>
      <w:commentRangeStart w:id="22"/>
      <w:r w:rsidRPr="001521E8">
        <w:t xml:space="preserve">(often referred to as co-design, in contrast to the DOE’s published definition of the </w:t>
      </w:r>
      <w:r w:rsidRPr="001521E8">
        <w:lastRenderedPageBreak/>
        <w:t xml:space="preserve">same word, see Section 4), multifidelity modeling, i.e. mathematical formalization of integrating heterogeneous data/models (e.g. experimental data and computational models), continuous stream of data and model update throughout life-cycle (e.g. system modeling, digital twin, digital threads), incorporating multiple design scenarios and uncertainties in system design, and optimization-informed decision making. </w:t>
      </w:r>
      <w:commentRangeEnd w:id="22"/>
      <w:r w:rsidRPr="001521E8">
        <w:rPr>
          <w:rStyle w:val="CommentReference"/>
          <w:sz w:val="24"/>
          <w:szCs w:val="24"/>
        </w:rPr>
        <w:commentReference w:id="22"/>
      </w:r>
      <w:r w:rsidRPr="001521E8">
        <w:t xml:space="preserve">In addition to design and manufacturing, computational methods are </w:t>
      </w:r>
      <w:r w:rsidR="006800C5">
        <w:t>used for simultaneous data management and computation to support</w:t>
      </w:r>
      <w:r w:rsidR="00E72CF6">
        <w:t xml:space="preserve"> planning, resource management</w:t>
      </w:r>
      <w:r w:rsidRPr="001521E8">
        <w:t xml:space="preserve">, and other aspects of business and enterprise operations. Such integration and concurrency of </w:t>
      </w:r>
      <w:r w:rsidR="00E72CF6">
        <w:t>multidisciplinary processes can dramatically shorten engineering cycles, which is critical to maintaining competitiveness in complex-systems</w:t>
      </w:r>
      <w:r w:rsidRPr="001521E8">
        <w:t xml:space="preserve"> industries such as aerospace.    </w:t>
      </w:r>
    </w:p>
    <w:p w14:paraId="21E2A894" w14:textId="5BCE02EE" w:rsidR="001521E8" w:rsidRPr="001521E8" w:rsidRDefault="006800C5" w:rsidP="0095305B">
      <w:r>
        <w:t>As efforts to integrate computational methods for predicting and understanding complex aerospace systems intensify, it is increasingly challenging for a single engineer or a few engineers to fully characterize the effects of a single design change, which</w:t>
      </w:r>
      <w:r w:rsidR="002D258D">
        <w:t xml:space="preserve"> requires extensive multidisciplinary analyses and uncertainty propagation throughout</w:t>
      </w:r>
      <w:r w:rsidR="001521E8" w:rsidRPr="001521E8">
        <w:t xml:space="preserve"> the system. In addition, many of the design changes require high-fidelity modeling; thus, counterfactual (“what-if”) design effects cannot be fully realized </w:t>
      </w:r>
      <w:r w:rsidR="001521E8" w:rsidRPr="001521E8">
        <w:rPr>
          <w:i/>
          <w:iCs/>
        </w:rPr>
        <w:t>a priori</w:t>
      </w:r>
      <w:r w:rsidR="001521E8" w:rsidRPr="001521E8">
        <w:t xml:space="preserve">. Disciplines such as systems engineering and multidisciplinary design optimization have emerged to predict the effects of </w:t>
      </w:r>
      <w:r>
        <w:t>design changes across the entire system and to balanc</w:t>
      </w:r>
      <w:r w:rsidR="001521E8" w:rsidRPr="001521E8">
        <w:t xml:space="preserve">e conflicting criteria. While these system-level or top-down approaches have long been adopted in aerospace, </w:t>
      </w:r>
      <w:r w:rsidR="00E72CF6">
        <w:t>in practice they predominantly employ lower-fidelity models and limit multidisciplinary and system-response</w:t>
      </w:r>
      <w:r w:rsidR="001521E8" w:rsidRPr="001521E8">
        <w:t xml:space="preserve"> prediction. </w:t>
      </w:r>
      <w:r w:rsidR="00E72CF6">
        <w:t xml:space="preserve">In the era of digital engineering, a major shift </w:t>
      </w:r>
      <w:r>
        <w:t>is needed to incorporate multiple higher-fidelity models and UQ early in the design process</w:t>
      </w:r>
      <w:r w:rsidR="001521E8" w:rsidRPr="001521E8">
        <w:t xml:space="preserve">. There have been numerous cases </w:t>
      </w:r>
      <w:r>
        <w:t>in which design optimization has generated novel designs</w:t>
      </w:r>
      <w:r w:rsidR="00E72CF6">
        <w:t>viously unknown and/or discovered new ways to manage trade-offs, leading to more competitive engineering designs</w:t>
      </w:r>
      <w:sdt>
        <w:sdtPr>
          <w:id w:val="1257484624"/>
          <w:citation/>
        </w:sdtPr>
        <w:sdtEndPr/>
        <w:sdtContent>
          <w:r w:rsidR="001521E8" w:rsidRPr="001521E8">
            <w:fldChar w:fldCharType="begin"/>
          </w:r>
          <w:r w:rsidR="001521E8" w:rsidRPr="001521E8">
            <w:instrText xml:space="preserve"> CITATION Sob97 \l 1033 </w:instrText>
          </w:r>
          <w:r w:rsidR="001521E8" w:rsidRPr="001521E8">
            <w:fldChar w:fldCharType="separate"/>
          </w:r>
          <w:r w:rsidR="001521E8" w:rsidRPr="001521E8">
            <w:t xml:space="preserve"> [16]</w:t>
          </w:r>
          <w:r w:rsidR="001521E8" w:rsidRPr="001521E8">
            <w:fldChar w:fldCharType="end"/>
          </w:r>
        </w:sdtContent>
      </w:sdt>
      <w:sdt>
        <w:sdtPr>
          <w:id w:val="-81532820"/>
          <w:citation/>
        </w:sdtPr>
        <w:sdtEndPr/>
        <w:sdtContent>
          <w:r w:rsidR="001521E8" w:rsidRPr="001521E8">
            <w:fldChar w:fldCharType="begin"/>
          </w:r>
          <w:r w:rsidR="001521E8" w:rsidRPr="001521E8">
            <w:instrText xml:space="preserve"> CITATION Ben88 \l 1033 </w:instrText>
          </w:r>
          <w:r w:rsidR="001521E8" w:rsidRPr="001521E8">
            <w:fldChar w:fldCharType="separate"/>
          </w:r>
          <w:r w:rsidR="001521E8" w:rsidRPr="001521E8">
            <w:t xml:space="preserve"> [17]</w:t>
          </w:r>
          <w:r w:rsidR="001521E8" w:rsidRPr="001521E8">
            <w:fldChar w:fldCharType="end"/>
          </w:r>
        </w:sdtContent>
      </w:sdt>
      <w:r w:rsidR="001521E8" w:rsidRPr="001521E8">
        <w:t xml:space="preserve">. </w:t>
      </w:r>
      <w:commentRangeStart w:id="23"/>
      <w:r w:rsidR="001521E8" w:rsidRPr="001521E8">
        <w:t>Recent developments in AI/ML accelerate the trend.</w:t>
      </w:r>
      <w:commentRangeEnd w:id="23"/>
      <w:r w:rsidR="001521E8" w:rsidRPr="001521E8">
        <w:rPr>
          <w:rStyle w:val="CommentReference"/>
          <w:sz w:val="24"/>
          <w:szCs w:val="24"/>
        </w:rPr>
        <w:commentReference w:id="23"/>
      </w:r>
    </w:p>
    <w:p w14:paraId="0F69FBFA" w14:textId="5D5B35AC" w:rsidR="001521E8" w:rsidRPr="001521E8" w:rsidRDefault="001521E8" w:rsidP="0095305B">
      <w:r w:rsidRPr="001521E8">
        <w:t xml:space="preserve">Before reviewing the landscape of digital engineering, we establish the scope of this section.  </w:t>
      </w:r>
      <w:r w:rsidRPr="00F87775">
        <w:t xml:space="preserve">Digital </w:t>
      </w:r>
      <w:r w:rsidR="00F87775" w:rsidRPr="00F87775">
        <w:t>twins are being considered today across sectors</w:t>
      </w:r>
      <w:r w:rsidRPr="001521E8">
        <w:t xml:space="preserve"> such as engineering, climate, and life sciences. We note that many of the methods and tools share the same fundamentals across disciplines. However, we </w:t>
      </w:r>
      <w:r w:rsidR="00F87775">
        <w:t>focus on the methods significant to</w:t>
      </w:r>
      <w:r w:rsidRPr="001521E8">
        <w:t xml:space="preserve"> aerospace engineering in this paper. For further reading on a high-level perspective on </w:t>
      </w:r>
      <w:r w:rsidR="006800C5">
        <w:t>the future direction of digital twins,</w:t>
      </w:r>
      <w:r w:rsidRPr="001521E8">
        <w:t>eaders are referred to the National Academies consensus report on Foundational Research Gaps and Future Directions for Digital Twins</w:t>
      </w:r>
      <w:r w:rsidR="00F87775">
        <w:t xml:space="preserve"> </w:t>
      </w:r>
      <w:sdt>
        <w:sdtPr>
          <w:id w:val="-1266300813"/>
          <w:citation/>
        </w:sdtPr>
        <w:sdtEndPr/>
        <w:sdtContent>
          <w:r w:rsidR="00F87775">
            <w:fldChar w:fldCharType="begin"/>
          </w:r>
          <w:r w:rsidR="00F87775">
            <w:instrText xml:space="preserve"> CITATION Wil23 \l 1033 </w:instrText>
          </w:r>
          <w:r w:rsidR="00F87775">
            <w:fldChar w:fldCharType="separate"/>
          </w:r>
          <w:r w:rsidR="00F87775" w:rsidRPr="00F87775">
            <w:rPr>
              <w:noProof/>
            </w:rPr>
            <w:t>[17]</w:t>
          </w:r>
          <w:r w:rsidR="00F87775">
            <w:fldChar w:fldCharType="end"/>
          </w:r>
        </w:sdtContent>
      </w:sdt>
      <w:r w:rsidRPr="001521E8">
        <w:t xml:space="preserve">. In the context of </w:t>
      </w:r>
      <w:r w:rsidR="00F87775">
        <w:t>the engineering of physical assets (i.e., structures and materials), the concept of the digital twin has been a vision of the discipline known as Integrated Computational Materials and Engineering (ICME), which has received considerable attention over</w:t>
      </w:r>
      <w:r w:rsidRPr="001521E8">
        <w:t xml:space="preserve"> the last couple of decades. The NASA Vision 2040 report, which lays out a Roadmap for Integrated Multiscale Modeling and Simulation of Materials and Systems </w:t>
      </w:r>
      <w:sdt>
        <w:sdtPr>
          <w:id w:val="1656943455"/>
          <w:citation/>
        </w:sdtPr>
        <w:sdtEndPr/>
        <w:sdtContent>
          <w:r w:rsidR="00533B07">
            <w:fldChar w:fldCharType="begin"/>
          </w:r>
          <w:r w:rsidR="00533B07">
            <w:instrText xml:space="preserve"> CITATION Liu181 \l 1033 </w:instrText>
          </w:r>
          <w:r w:rsidR="00533B07">
            <w:fldChar w:fldCharType="separate"/>
          </w:r>
          <w:r w:rsidR="00533B07" w:rsidRPr="00533B07">
            <w:rPr>
              <w:noProof/>
            </w:rPr>
            <w:t>[5]</w:t>
          </w:r>
          <w:r w:rsidR="00533B07">
            <w:fldChar w:fldCharType="end"/>
          </w:r>
        </w:sdtContent>
      </w:sdt>
      <w:r w:rsidRPr="001521E8">
        <w:t>, identifies nine key enabling elements</w:t>
      </w:r>
      <w:r w:rsidR="00322737">
        <w:t xml:space="preserve"> (see </w:t>
      </w:r>
      <w:r w:rsidR="00322737">
        <w:fldChar w:fldCharType="begin"/>
      </w:r>
      <w:r w:rsidR="00322737">
        <w:instrText xml:space="preserve"> REF _Ref187280644 \h </w:instrText>
      </w:r>
      <w:r w:rsidR="00322737">
        <w:fldChar w:fldCharType="separate"/>
      </w:r>
      <w:r w:rsidR="00322737">
        <w:t xml:space="preserve">Table </w:t>
      </w:r>
      <w:r w:rsidR="00322737">
        <w:rPr>
          <w:noProof/>
        </w:rPr>
        <w:t>1</w:t>
      </w:r>
      <w:r w:rsidR="00322737">
        <w:fldChar w:fldCharType="end"/>
      </w:r>
      <w:r w:rsidR="00322737">
        <w:t>), most</w:t>
      </w:r>
      <w:r w:rsidR="00F87775">
        <w:t xml:space="preserve"> of which map directly to computational methods and tools in</w:t>
      </w:r>
      <w:r w:rsidRPr="001521E8">
        <w:t xml:space="preserve"> digital engineering. The following sections will review the current trends and remaining challenges in these areas.</w:t>
      </w:r>
    </w:p>
    <w:p w14:paraId="6FF460DC" w14:textId="77777777" w:rsidR="001521E8" w:rsidRPr="001521E8" w:rsidRDefault="001521E8" w:rsidP="0095305B">
      <w:pPr>
        <w:pStyle w:val="Heading2"/>
      </w:pPr>
      <w:bookmarkStart w:id="24" w:name="_Ref236216369"/>
      <w:r w:rsidRPr="001521E8">
        <w:t>Modeling</w:t>
      </w:r>
      <w:bookmarkEnd w:id="24"/>
    </w:p>
    <w:p w14:paraId="26104A7F" w14:textId="77777777" w:rsidR="00710220" w:rsidRDefault="001521E8" w:rsidP="00710220">
      <w:r w:rsidRPr="001521E8">
        <w:t xml:space="preserve">Modeling here refers to computational methods that represent </w:t>
      </w:r>
      <w:r w:rsidR="00322737">
        <w:t>a system's behavior</w:t>
      </w:r>
      <w:r w:rsidRPr="001521E8">
        <w:t xml:space="preserve"> using physical principles, mathematical approximations, and test data. </w:t>
      </w:r>
      <w:r w:rsidR="00710220">
        <w:t xml:space="preserve">George Box famously stated, “all models are wrong, but some are useful.” Models are an essential part of digital engineering workflows. Therefore, understanding their wrongness is crucial to their usefulness. For example, modeling methods that embody clear rules and algorithms usefully offer transparency and predictable extrapolation, but are wrong insofar as they approximate understanding of the system of interest. On the other hand, data-derived models (machine learning, etc.) are useful in modeling </w:t>
      </w:r>
      <w:r w:rsidR="00710220">
        <w:lastRenderedPageBreak/>
        <w:t>systems too complex or imprecisely understood to capture as rules, but wrong through susceptibility to poor data quality (“garbage in, garbage out”), wrong beyond the confinement of interpolation within training data, and often opaque to explaining their outputs. Current AI discourse has introduced the concept of “hallucination” to describe generative models confidently asserting results with no basis. Through the lens of George Box, one might conclude “models always hallucinate, but sometimes the hallucination aligns with reality.”</w:t>
      </w:r>
    </w:p>
    <w:p w14:paraId="0D34DD39" w14:textId="4ACA6B7D" w:rsidR="001521E8" w:rsidRDefault="001521E8" w:rsidP="0095305B">
      <w:r w:rsidRPr="001521E8">
        <w:t xml:space="preserve">Modeling approaches can be broadly distinguished by their primary purpose. Some models are developed primarily to </w:t>
      </w:r>
      <w:r w:rsidR="00533B07">
        <w:t>comprehensively encompass all components and their characteristics of specific systems or phenomena, and to observe</w:t>
      </w:r>
      <w:r w:rsidRPr="001521E8">
        <w:t xml:space="preserve"> system behavior over time, such as molecular dynamics simulations or image-based models of material microstructures obtained from CT scans. These models can provide scientific and engineering insights, identify dominant mechanisms, and quantify key parameters, but their predictive validity is usually limited. Other models are developed primarily for prediction and decision support: they are intended to estimate quantities of interest as input parameters, designs, operating conditions, or uncertainties vary. This category includes many models from computational mechanics and computational engineering, as well as surrogate, statistical, and probabilistic models. They have been serving engineers to (i) estimate a quantity of interest which may (with a high computational cost) or may not be measured experimentally, (ii) enable an engineer to investigate many what-if scenarios to provide data and insights towards design, or (iii) compute quantities that can provide detailed insights </w:t>
      </w:r>
      <w:r w:rsidR="00322737">
        <w:t>into</w:t>
      </w:r>
      <w:r w:rsidRPr="001521E8">
        <w:t xml:space="preserve"> the system behavior.</w:t>
      </w:r>
    </w:p>
    <w:p w14:paraId="40178C94" w14:textId="01979C4E" w:rsidR="001521E8" w:rsidRPr="001521E8" w:rsidRDefault="001521E8" w:rsidP="0095305B">
      <w:r w:rsidRPr="001521E8">
        <w:t xml:space="preserve">The </w:t>
      </w:r>
      <w:r w:rsidRPr="001521E8">
        <w:rPr>
          <w:i/>
          <w:iCs/>
        </w:rPr>
        <w:t>digital twin</w:t>
      </w:r>
      <w:r w:rsidRPr="001521E8">
        <w:t xml:space="preserve"> concept integrates these two categories of models, </w:t>
      </w:r>
      <w:r w:rsidR="00322737">
        <w:t>yet a number of fundamental challenges remain</w:t>
      </w:r>
      <w:r w:rsidRPr="001521E8">
        <w:t>. One major goal of computational mechanics has been to develop mathematical formulations and solvers to estimate the quantities of interest more accurately, while balancing computational resources, i.e., no free</w:t>
      </w:r>
      <w:r w:rsidRPr="001521E8">
        <w:rPr>
          <w:i/>
          <w:iCs/>
        </w:rPr>
        <w:t xml:space="preserve"> lunch</w:t>
      </w:r>
      <w:r w:rsidRPr="001521E8">
        <w:t xml:space="preserve">. </w:t>
      </w:r>
      <w:r w:rsidR="00322737">
        <w:t>Reduced-order</w:t>
      </w:r>
      <w:r w:rsidRPr="001521E8">
        <w:t xml:space="preserve"> surrogate models</w:t>
      </w:r>
      <w:r w:rsidR="00322737" w:rsidRPr="001521E8">
        <w:t xml:space="preserve"> have</w:t>
      </w:r>
      <w:r w:rsidRPr="001521E8">
        <w:t xml:space="preserve"> become indispensable for real-time or many-query analyses, such as UQ, optimization, and control</w:t>
      </w:r>
      <w:sdt>
        <w:sdtPr>
          <w:id w:val="1456604268"/>
          <w:citation/>
        </w:sdtPr>
        <w:sdtEndPr/>
        <w:sdtContent>
          <w:r w:rsidRPr="001521E8">
            <w:fldChar w:fldCharType="begin"/>
          </w:r>
          <w:r w:rsidRPr="001521E8">
            <w:instrText xml:space="preserve"> CITATION Ben15 \l 1033 </w:instrText>
          </w:r>
          <w:r w:rsidRPr="001521E8">
            <w:fldChar w:fldCharType="separate"/>
          </w:r>
          <w:r w:rsidRPr="001521E8">
            <w:t xml:space="preserve"> [18]</w:t>
          </w:r>
          <w:r w:rsidRPr="001521E8">
            <w:fldChar w:fldCharType="end"/>
          </w:r>
        </w:sdtContent>
      </w:sdt>
      <w:sdt>
        <w:sdtPr>
          <w:id w:val="-2053844506"/>
          <w:citation/>
        </w:sdtPr>
        <w:sdtEndPr/>
        <w:sdtContent>
          <w:r w:rsidRPr="001521E8">
            <w:fldChar w:fldCharType="begin"/>
          </w:r>
          <w:r w:rsidRPr="001521E8">
            <w:instrText xml:space="preserve"> CITATION Qua15 \l 1033 </w:instrText>
          </w:r>
          <w:r w:rsidRPr="001521E8">
            <w:fldChar w:fldCharType="separate"/>
          </w:r>
          <w:r w:rsidRPr="001521E8">
            <w:t xml:space="preserve"> [19]</w:t>
          </w:r>
          <w:r w:rsidRPr="001521E8">
            <w:fldChar w:fldCharType="end"/>
          </w:r>
        </w:sdtContent>
      </w:sdt>
      <w:r w:rsidRPr="001521E8">
        <w:t xml:space="preserve">. Many AI/ML methods are applied in this context. The most straightforward approach is </w:t>
      </w:r>
      <w:r w:rsidR="00322737">
        <w:t>to replace a traditional mechanics model with a regression on</w:t>
      </w:r>
      <w:r w:rsidRPr="001521E8">
        <w:t xml:space="preserve"> experimental and other existing data. However, the most substantial benefits are realized when data-driven techniques are incorporated into the mechanics models. They may appear under different names (Physics-informed, Physics-guided NN/ML, Scientific Machine Learning); however, the fundamental idea is to use the mathematical structure of physical principles as the basis and incorporate data-driven approaches where assumptions or approximations are made in the computational model</w:t>
      </w:r>
      <w:sdt>
        <w:sdtPr>
          <w:id w:val="-1633553034"/>
          <w:citation/>
        </w:sdtPr>
        <w:sdtEndPr/>
        <w:sdtContent>
          <w:r w:rsidRPr="001521E8">
            <w:fldChar w:fldCharType="begin"/>
          </w:r>
          <w:r w:rsidRPr="001521E8">
            <w:instrText xml:space="preserve"> CITATION Bak19 \l 1033 </w:instrText>
          </w:r>
          <w:r w:rsidRPr="001521E8">
            <w:fldChar w:fldCharType="separate"/>
          </w:r>
          <w:r w:rsidRPr="001521E8">
            <w:t xml:space="preserve"> [20]</w:t>
          </w:r>
          <w:r w:rsidRPr="001521E8">
            <w:fldChar w:fldCharType="end"/>
          </w:r>
        </w:sdtContent>
      </w:sdt>
      <w:sdt>
        <w:sdtPr>
          <w:id w:val="-124700361"/>
          <w:citation/>
        </w:sdtPr>
        <w:sdtEndPr/>
        <w:sdtContent>
          <w:r w:rsidRPr="001521E8">
            <w:fldChar w:fldCharType="begin"/>
          </w:r>
          <w:r w:rsidRPr="001521E8">
            <w:instrText xml:space="preserve"> CITATION Kar21 \l 1033 </w:instrText>
          </w:r>
          <w:r w:rsidRPr="001521E8">
            <w:fldChar w:fldCharType="separate"/>
          </w:r>
          <w:r w:rsidRPr="001521E8">
            <w:t xml:space="preserve"> [21]</w:t>
          </w:r>
          <w:r w:rsidRPr="001521E8">
            <w:fldChar w:fldCharType="end"/>
          </w:r>
        </w:sdtContent>
      </w:sdt>
      <w:r w:rsidRPr="001521E8">
        <w:t xml:space="preserve">.  It is now </w:t>
      </w:r>
      <w:r w:rsidR="00343AAB">
        <w:t>well understood</w:t>
      </w:r>
      <w:r w:rsidRPr="001521E8">
        <w:t xml:space="preserve"> that fundamental physics is critical </w:t>
      </w:r>
      <w:r w:rsidR="00343AAB">
        <w:t>to a predictive model in sparse data spaces, which are</w:t>
      </w:r>
      <w:r w:rsidRPr="001521E8">
        <w:t xml:space="preserve"> common in engineering. There are </w:t>
      </w:r>
      <w:r w:rsidR="00343AAB" w:rsidRPr="001521E8">
        <w:t>increasingly</w:t>
      </w:r>
      <w:r w:rsidRPr="001521E8">
        <w:t xml:space="preserve"> physics-based modeling methods that integrate data-driven techniques and neural networks. They enhance predictive modeling capabilities for complex behaviors</w:t>
      </w:r>
      <w:r w:rsidR="00343AAB">
        <w:t xml:space="preserve">, such as those in </w:t>
      </w:r>
      <w:r w:rsidRPr="001521E8">
        <w:t>highly nonlinear and/or coupled multiphysics and multiscale systems.</w:t>
      </w:r>
    </w:p>
    <w:p w14:paraId="6278DE6F" w14:textId="77FFB818" w:rsidR="001521E8" w:rsidRPr="001521E8" w:rsidRDefault="001521E8" w:rsidP="0095305B">
      <w:r w:rsidRPr="001521E8">
        <w:t xml:space="preserve">One significant development </w:t>
      </w:r>
      <w:r w:rsidR="00343AAB">
        <w:t>is the substantial progress in</w:t>
      </w:r>
      <w:r w:rsidRPr="001521E8">
        <w:t xml:space="preserve"> ML approaches to characterize material properties. Materials are inherently stochastic, e.g., composite fibers are not uniformly spaced, and the fiber angles are not aligned exactly; crystalline grain structures. However, </w:t>
      </w:r>
      <w:r w:rsidR="00343AAB">
        <w:t>when modeling a structural continuum, homogenization is applied to obtain deterministic material properties</w:t>
      </w:r>
      <w:r w:rsidRPr="001521E8">
        <w:t xml:space="preserve">. There is a variety of homogenization models that can estimate material properties, but the effects of material </w:t>
      </w:r>
      <w:r w:rsidR="002270C6">
        <w:t>stochasticity across</w:t>
      </w:r>
      <w:r w:rsidRPr="001521E8">
        <w:t xml:space="preserve"> scales are not </w:t>
      </w:r>
      <w:r w:rsidR="00343AAB">
        <w:t>well understood</w:t>
      </w:r>
      <w:r w:rsidRPr="001521E8">
        <w:t xml:space="preserve">, and in practice, material properties are almost always experimentally characterized for this reason. ML has been extensively developed and applied </w:t>
      </w:r>
      <w:r w:rsidR="00343AAB">
        <w:t>to constitutive modeling across a wide range of materials, accelerating</w:t>
      </w:r>
      <w:r w:rsidRPr="001521E8">
        <w:t xml:space="preserve"> the </w:t>
      </w:r>
      <w:r w:rsidRPr="001521E8">
        <w:lastRenderedPageBreak/>
        <w:t>adoption of new generations of materials and processing, e.g., new composites and additively manufactured materials.</w:t>
      </w:r>
    </w:p>
    <w:p w14:paraId="51FA2BE7" w14:textId="0FA1BEB6" w:rsidR="001521E8" w:rsidRPr="001521E8" w:rsidRDefault="001521E8" w:rsidP="0095305B">
      <w:r w:rsidRPr="001521E8">
        <w:t>Reviewing NASA’s CFD Vision 2030 Roadmap (2020)</w:t>
      </w:r>
      <w:r w:rsidR="00343AAB">
        <w:t xml:space="preserve"> </w:t>
      </w:r>
      <w:sdt>
        <w:sdtPr>
          <w:id w:val="83579055"/>
          <w:citation/>
        </w:sdtPr>
        <w:sdtEndPr/>
        <w:sdtContent>
          <w:r w:rsidR="002270C6">
            <w:fldChar w:fldCharType="begin"/>
          </w:r>
          <w:r w:rsidR="002270C6">
            <w:instrText xml:space="preserve"> CITATION Car21 \l 1033 </w:instrText>
          </w:r>
          <w:r w:rsidR="002270C6">
            <w:fldChar w:fldCharType="separate"/>
          </w:r>
          <w:r w:rsidR="002270C6" w:rsidRPr="002270C6">
            <w:rPr>
              <w:noProof/>
            </w:rPr>
            <w:t>[24]</w:t>
          </w:r>
          <w:r w:rsidR="002270C6">
            <w:fldChar w:fldCharType="end"/>
          </w:r>
        </w:sdtContent>
      </w:sdt>
      <w:r w:rsidRPr="001521E8">
        <w:t xml:space="preserve"> offers </w:t>
      </w:r>
      <w:r w:rsidR="002270C6">
        <w:t>good insight into developing a</w:t>
      </w:r>
      <w:r w:rsidRPr="001521E8">
        <w:t xml:space="preserve"> strategy to enable physics-based modeling of 3D unsteady maneuvering flight and combustion by 2030. With the overall vision being to model complex flow that cannot currently be analyzed, they identify five key enabling domains: (i) </w:t>
      </w:r>
      <w:r w:rsidR="00343AAB">
        <w:t>high-performance</w:t>
      </w:r>
      <w:r w:rsidRPr="001521E8">
        <w:t xml:space="preserve"> computing (HPC); (ii) algorithms; (iii) geometry and grid generation; (iv) knowledge extraction and visualization; and (v) multidisciplinary design analysis and optimization (MDAO) with UQ.  While </w:t>
      </w:r>
      <w:r w:rsidR="002270C6">
        <w:t>the document appears to treat complexity as arising within a single discipline, the physical nature of flow changes across the various flow regimes (and interdisciplinary input is required in some regimes, such as chemical kinetics for combustion), thereby sharing</w:t>
      </w:r>
      <w:r w:rsidRPr="001521E8">
        <w:t xml:space="preserve"> common challenges with </w:t>
      </w:r>
      <w:r w:rsidRPr="001521E8">
        <w:rPr>
          <w:i/>
          <w:iCs/>
        </w:rPr>
        <w:t>digital engineering</w:t>
      </w:r>
      <w:r w:rsidRPr="001521E8">
        <w:t>. We address the topics of HPC in Section 4, of knowledge extraction and visualization in Section 3.4, of MDO in Section 3.2, and UQ in Section 3.3.</w:t>
      </w:r>
    </w:p>
    <w:p w14:paraId="0573261F" w14:textId="080AB306" w:rsidR="001521E8" w:rsidRPr="001521E8" w:rsidRDefault="001521E8" w:rsidP="0095305B">
      <w:r w:rsidRPr="001521E8">
        <w:t xml:space="preserve">In particular, </w:t>
      </w:r>
      <w:r w:rsidR="002270C6">
        <w:t>geometry/mesh generation is also a challenging area</w:t>
      </w:r>
      <w:r w:rsidRPr="001521E8">
        <w:t xml:space="preserve"> in digital engineering.  CFD in aerospace modeling typically requires high computational costs and provides the key inputs for the vehicle's performance. The most generalizable </w:t>
      </w:r>
      <w:r w:rsidR="002270C6">
        <w:t>geometric representation for PDE-based solvers is a mesh, which is used by most</w:t>
      </w:r>
      <w:r w:rsidRPr="001521E8">
        <w:t xml:space="preserve"> established fluid and solid PDE solvers (e.g., finite element and finite volume methods). Therefore, this is the current pathway </w:t>
      </w:r>
      <w:r w:rsidR="002270C6">
        <w:t>for most</w:t>
      </w:r>
      <w:r w:rsidRPr="001521E8">
        <w:t xml:space="preserve"> high-fidelity simulation methods. However, reliable automatic 3D mesh generation remains a challenge and </w:t>
      </w:r>
      <w:r w:rsidR="002270C6">
        <w:t>a computational bottleneck</w:t>
      </w:r>
      <w:sdt>
        <w:sdtPr>
          <w:id w:val="-1786181870"/>
          <w:citation/>
        </w:sdtPr>
        <w:sdtEndPr/>
        <w:sdtContent>
          <w:r w:rsidRPr="001521E8">
            <w:fldChar w:fldCharType="begin"/>
          </w:r>
          <w:r w:rsidRPr="001521E8">
            <w:instrText xml:space="preserve"> CITATION Slo14 \l 1033 </w:instrText>
          </w:r>
          <w:r w:rsidRPr="001521E8">
            <w:fldChar w:fldCharType="separate"/>
          </w:r>
          <w:r w:rsidRPr="001521E8">
            <w:t xml:space="preserve"> [22]</w:t>
          </w:r>
          <w:r w:rsidRPr="001521E8">
            <w:fldChar w:fldCharType="end"/>
          </w:r>
        </w:sdtContent>
      </w:sdt>
      <w:sdt>
        <w:sdtPr>
          <w:id w:val="-735551406"/>
          <w:citation/>
        </w:sdtPr>
        <w:sdtEndPr/>
        <w:sdtContent>
          <w:r w:rsidRPr="001521E8">
            <w:fldChar w:fldCharType="begin"/>
          </w:r>
          <w:r w:rsidRPr="001521E8">
            <w:instrText xml:space="preserve"> CITATION Car21 \l 1033 </w:instrText>
          </w:r>
          <w:r w:rsidRPr="001521E8">
            <w:fldChar w:fldCharType="separate"/>
          </w:r>
          <w:r w:rsidRPr="001521E8">
            <w:t xml:space="preserve"> [23]</w:t>
          </w:r>
          <w:r w:rsidRPr="001521E8">
            <w:fldChar w:fldCharType="end"/>
          </w:r>
        </w:sdtContent>
      </w:sdt>
      <w:r w:rsidRPr="001521E8">
        <w:t xml:space="preserve">. The quality of the mesh and elements fundamentally governs the accuracy of the results, and the </w:t>
      </w:r>
      <w:r w:rsidR="002270C6">
        <w:t>measures of element quality differ across different physical behaviors</w:t>
      </w:r>
      <w:r w:rsidRPr="001521E8">
        <w:t xml:space="preserve">. The physics-dependent nature of </w:t>
      </w:r>
      <w:r w:rsidR="002270C6">
        <w:t>mesh qualities fundamentally limits a single mesh from serving as</w:t>
      </w:r>
      <w:r w:rsidRPr="001521E8">
        <w:t xml:space="preserve"> the original source of true design. Today, the common presentation for the source of truth is the CAD parameterization. However, the </w:t>
      </w:r>
      <w:r w:rsidR="002270C6">
        <w:t xml:space="preserve">lack of reliable mesh-generation techniques remains a barrier to ensuring </w:t>
      </w:r>
      <w:r w:rsidR="002D258D">
        <w:t>consistency between the as-designed and as-analyzed designs</w:t>
      </w:r>
      <w:r w:rsidRPr="001521E8">
        <w:t>. Significant work continues in CAD-to-mesh and mesh-to-CAD mapping, automatic mesh generation, mesh morphing, and related approaches such as isogeometric analysis</w:t>
      </w:r>
      <w:sdt>
        <w:sdtPr>
          <w:id w:val="1943879025"/>
          <w:citation/>
        </w:sdtPr>
        <w:sdtEndPr/>
        <w:sdtContent>
          <w:r w:rsidRPr="001521E8">
            <w:fldChar w:fldCharType="begin"/>
          </w:r>
          <w:r w:rsidRPr="001521E8">
            <w:instrText xml:space="preserve"> CITATION Cot09 \l 1033 </w:instrText>
          </w:r>
          <w:r w:rsidRPr="001521E8">
            <w:fldChar w:fldCharType="separate"/>
          </w:r>
          <w:r w:rsidRPr="001521E8">
            <w:t xml:space="preserve"> [24]</w:t>
          </w:r>
          <w:r w:rsidRPr="001521E8">
            <w:fldChar w:fldCharType="end"/>
          </w:r>
        </w:sdtContent>
      </w:sdt>
      <w:r w:rsidRPr="001521E8">
        <w:t>, which seeks to use CAD-compatible geometric representations directly in numerical analysis; nevertheless, outstanding challenges remain for complex three-dimensional aerospace geometries.</w:t>
      </w:r>
    </w:p>
    <w:p w14:paraId="2D8A27A3" w14:textId="5B9CB603" w:rsidR="001521E8" w:rsidRPr="001521E8" w:rsidRDefault="002270C6" w:rsidP="0095305B">
      <w:r>
        <w:t>An alternative to automated body-fitted mesh, geometry parameterization based on Eulerian or voxel-grid approaches,</w:t>
      </w:r>
      <w:r w:rsidR="001521E8" w:rsidRPr="001521E8">
        <w:t xml:space="preserve"> also continues to be developed. While they avoid costly and unreliable mesh generation challenges, </w:t>
      </w:r>
      <w:r>
        <w:t>sub-voxel accuracy presents various challenges, and they are generally perceived</w:t>
      </w:r>
      <w:r w:rsidR="001521E8" w:rsidRPr="001521E8">
        <w:t xml:space="preserve"> as less accurate than the Lagrangian mesh framework. However, the regular grid structures have been exploited to develop highly efficient data structures and algorithms. Ongoing research demonstrates </w:t>
      </w:r>
      <w:r>
        <w:t xml:space="preserve">that </w:t>
      </w:r>
      <w:r w:rsidR="001521E8" w:rsidRPr="001521E8">
        <w:t xml:space="preserve">reliable geometry manipulation and extremely efficient </w:t>
      </w:r>
      <w:r>
        <w:t>PDE-solve formulations are feasible using implicit geometry representations, sparse-grid techniques, multigrid approaches, and neural-network-based</w:t>
      </w:r>
      <w:r w:rsidR="001521E8" w:rsidRPr="001521E8">
        <w:t xml:space="preserve"> interpolation, among others.</w:t>
      </w:r>
    </w:p>
    <w:p w14:paraId="281F70C8" w14:textId="566A9374" w:rsidR="001521E8" w:rsidRPr="001521E8" w:rsidRDefault="001521E8" w:rsidP="0095305B">
      <w:r w:rsidRPr="001521E8">
        <w:t>Although somewhat less common, continuing research efforts are seen in developing mesh-free methods</w:t>
      </w:r>
      <w:sdt>
        <w:sdtPr>
          <w:id w:val="-214423293"/>
          <w:citation/>
        </w:sdtPr>
        <w:sdtEndPr/>
        <w:sdtContent>
          <w:r w:rsidRPr="001521E8">
            <w:fldChar w:fldCharType="begin"/>
          </w:r>
          <w:r w:rsidRPr="001521E8">
            <w:instrText xml:space="preserve"> CITATION Bel23 \l 1033 </w:instrText>
          </w:r>
          <w:r w:rsidRPr="001521E8">
            <w:fldChar w:fldCharType="separate"/>
          </w:r>
          <w:r w:rsidRPr="001521E8">
            <w:t xml:space="preserve"> [25]</w:t>
          </w:r>
          <w:r w:rsidRPr="001521E8">
            <w:fldChar w:fldCharType="end"/>
          </w:r>
        </w:sdtContent>
      </w:sdt>
      <w:r w:rsidRPr="001521E8">
        <w:t xml:space="preserve">.  Mesh-free methods commonly utilize a particle distribution and avoid the challenges of meshing altogether.  Classical meshfree formulations have often been criticized for </w:t>
      </w:r>
      <w:r w:rsidR="002270C6">
        <w:t>lacking the Kronecker-delta property, which complicates the direct imposition of essential boundary conditions. Although</w:t>
      </w:r>
      <w:r w:rsidRPr="001521E8">
        <w:t xml:space="preserve"> many techniques have been developed to address this issue, boundary-condition enforcement and numerical integration remain important considerations in practical meshfree analysis. While there are fewer implementations and software available, they are applied to challenging problems with large deformations and topological changes, where mesh </w:t>
      </w:r>
      <w:r w:rsidRPr="001521E8">
        <w:lastRenderedPageBreak/>
        <w:t>distortion and discontinuities often prevent an accurate solution. Such a point cloud-based representation and conversion to a different parameterization is usually straightforward.</w:t>
      </w:r>
    </w:p>
    <w:p w14:paraId="58E0689F" w14:textId="6F49C0F3" w:rsidR="002D258D" w:rsidRPr="001521E8" w:rsidRDefault="001521E8" w:rsidP="002D258D">
      <w:r w:rsidRPr="001521E8">
        <w:t xml:space="preserve">Geometry parameterization is intimately related to the modeling formulation, which describes </w:t>
      </w:r>
      <w:r w:rsidR="00500050" w:rsidRPr="001521E8">
        <w:t>physical</w:t>
      </w:r>
      <w:r w:rsidRPr="001521E8">
        <w:t xml:space="preserve"> behavior. In a digital twin, it is unlikely that </w:t>
      </w:r>
      <w:r w:rsidR="00500050">
        <w:t>a single model would comprehensively describe the entire system's</w:t>
      </w:r>
      <w:r w:rsidRPr="001521E8">
        <w:t xml:space="preserve"> behavior.  For example, a CFD model would be constructed </w:t>
      </w:r>
      <w:r w:rsidR="00500050">
        <w:t>to compute the aerodynamic pressure distribution on a body, and the pressures would be</w:t>
      </w:r>
      <w:r w:rsidRPr="001521E8">
        <w:t xml:space="preserve"> applied to a solid model (different from the CFD model) to compute the displacement distribution. The displacement field of a component is applied to a </w:t>
      </w:r>
      <w:r w:rsidR="00500050">
        <w:t xml:space="preserve">microscale material model to compute the stress field, which can be used to </w:t>
      </w:r>
      <w:r w:rsidRPr="001521E8">
        <w:t xml:space="preserve">determine the probability of failure. Today, each model requires a subject matter expert to build, and obtaining an accurate solution cannot be automated. The </w:t>
      </w:r>
      <w:r w:rsidR="00500050">
        <w:t>experience in applying boundary conditions correctly and setting appropriate numerical and hyperparameter values is</w:t>
      </w:r>
      <w:r w:rsidRPr="001521E8">
        <w:t xml:space="preserve"> necessary to build and validate each of these models. This expert judgment is difficult to generalize or abstract across disciplines. As a result, constructing a computational model of a multiphysics and multiscale system cannot be easily automated, particularly when the relevant quantities of interest are not known </w:t>
      </w:r>
      <w:r w:rsidRPr="001521E8">
        <w:rPr>
          <w:i/>
          <w:iCs/>
        </w:rPr>
        <w:t>a priori</w:t>
      </w:r>
      <w:r w:rsidRPr="001521E8">
        <w:t xml:space="preserve">. We also see increasing research efforts </w:t>
      </w:r>
      <w:r w:rsidR="00500050">
        <w:t>to utilize AI agents to perform some of these expert tasks, thereby accelerating</w:t>
      </w:r>
      <w:r w:rsidRPr="001521E8">
        <w:t xml:space="preserve"> the engineering process. Further development of algorithms and data architectures is required to efficiently communicate all necessary data and assumptions </w:t>
      </w:r>
      <w:r w:rsidR="00500050">
        <w:t>among the models, enabling the models</w:t>
      </w:r>
      <w:r w:rsidRPr="001521E8">
        <w:t xml:space="preserve"> to address the complexity challenges arising from multidisciplinary interactions and conflicts.</w:t>
      </w:r>
    </w:p>
    <w:p w14:paraId="197E67BA" w14:textId="77777777" w:rsidR="001521E8" w:rsidRPr="001521E8" w:rsidRDefault="001521E8" w:rsidP="0095305B">
      <w:pPr>
        <w:pStyle w:val="Heading2"/>
      </w:pPr>
      <w:bookmarkStart w:id="25" w:name="_Ref236216355"/>
      <w:r w:rsidRPr="001521E8">
        <w:t>Optimization</w:t>
      </w:r>
      <w:bookmarkEnd w:id="25"/>
    </w:p>
    <w:p w14:paraId="215E126E" w14:textId="5335FE7B" w:rsidR="001521E8" w:rsidRPr="001521E8" w:rsidRDefault="001521E8" w:rsidP="0095305B">
      <w:r w:rsidRPr="001521E8">
        <w:t xml:space="preserve">Mathematical optimization has been widely used for many complex decision-making tasks, from preliminary aircraft design to financial investments. </w:t>
      </w:r>
      <w:r w:rsidRPr="001521E8">
        <w:rPr>
          <w:i/>
          <w:iCs/>
        </w:rPr>
        <w:t>Generative AI</w:t>
      </w:r>
      <w:r w:rsidRPr="001521E8">
        <w:t xml:space="preserve"> also solves an optimization problem, thus considered a subclass of optimization here. Optimization develops a variety of numerical methods </w:t>
      </w:r>
      <w:r w:rsidR="009D1445">
        <w:t>to minimize/maximize a desired metric (objective function),</w:t>
      </w:r>
      <w:r w:rsidRPr="001521E8">
        <w:t xml:space="preserve"> with or without specified requirements or constraints. When the objective function is the error between the true values and the predicted values, the optimization reduces to solving a regression problem. The majority of machine learning algorithms also fall into the </w:t>
      </w:r>
      <w:r w:rsidR="009D1445">
        <w:t>optimization problem class</w:t>
      </w:r>
      <w:r w:rsidRPr="001521E8">
        <w:t xml:space="preserve">. As another example, when the objective function is specified as the total energy in a typical variational mechanics formulation, then the solution is the equilibrium state. When the objective function is a system performance metric (e.g., weight, lift/drag) and the variables are design parameters, </w:t>
      </w:r>
      <w:r w:rsidR="009D1445">
        <w:t>the optimization solution yields the optimal</w:t>
      </w:r>
      <w:r w:rsidRPr="001521E8">
        <w:t xml:space="preserve"> design. Many engineering problems and decision-making </w:t>
      </w:r>
      <w:r w:rsidR="009D1445">
        <w:t>problems can be formulated as optimization problems</w:t>
      </w:r>
      <w:r w:rsidRPr="001521E8">
        <w:t xml:space="preserve"> to find the “best” solution.</w:t>
      </w:r>
    </w:p>
    <w:p w14:paraId="30F5C0DB" w14:textId="52DE872C" w:rsidR="001521E8" w:rsidRPr="001521E8" w:rsidRDefault="001521E8" w:rsidP="0095305B">
      <w:r w:rsidRPr="001521E8">
        <w:t xml:space="preserve">One important characteristic of optimization problems is that there may or may not be a solution.  Also, there may be more than one solution. In </w:t>
      </w:r>
      <w:r w:rsidR="009D1445">
        <w:t>aerospace design optimization, we usually do not know a priori whether a solution exists</w:t>
      </w:r>
      <w:r w:rsidRPr="001521E8">
        <w:t xml:space="preserve">. It depends on the performance metrics and </w:t>
      </w:r>
      <w:r w:rsidR="009D1445">
        <w:t>function formulations, which need to be tailored to</w:t>
      </w:r>
      <w:r w:rsidRPr="001521E8">
        <w:t xml:space="preserve"> each engineering problem. There is usually one or a few metrics to minimize or maximize. Typically, there are also many constraints, </w:t>
      </w:r>
      <w:r w:rsidR="009D1445">
        <w:t>the nature of which is</w:t>
      </w:r>
      <w:r w:rsidRPr="001521E8">
        <w:t xml:space="preserve"> unknown.  In </w:t>
      </w:r>
      <w:r w:rsidR="009D1445">
        <w:t>typical design practice, the design activities themselves provide insights into these internal conflicts and feasible requirements, thereby revising and updating the problem formulation</w:t>
      </w:r>
      <w:r w:rsidRPr="001521E8">
        <w:t xml:space="preserve"> during design. This is an important limitation to the design optimization of a complex system: the problem is </w:t>
      </w:r>
      <w:r w:rsidRPr="001521E8">
        <w:rPr>
          <w:i/>
          <w:iCs/>
        </w:rPr>
        <w:t>ill-defined</w:t>
      </w:r>
      <w:r w:rsidRPr="001521E8">
        <w:t xml:space="preserve">. Therefore, we do not believe the engineering design of aerospace systems can be </w:t>
      </w:r>
      <w:r w:rsidRPr="001521E8">
        <w:rPr>
          <w:i/>
          <w:iCs/>
        </w:rPr>
        <w:t xml:space="preserve">fully </w:t>
      </w:r>
      <w:r w:rsidRPr="001521E8">
        <w:t>automated.</w:t>
      </w:r>
    </w:p>
    <w:p w14:paraId="5EF4628E" w14:textId="1DCC96F2" w:rsidR="001521E8" w:rsidRPr="001521E8" w:rsidRDefault="001521E8" w:rsidP="0095305B">
      <w:r w:rsidRPr="001521E8">
        <w:t xml:space="preserve">There are design optimization problems at a component level or within a limited scope, which are </w:t>
      </w:r>
      <w:r w:rsidR="009D1445">
        <w:t>well understood</w:t>
      </w:r>
      <w:r w:rsidRPr="001521E8">
        <w:t xml:space="preserve">. With expertise, such optimization formulations are not challenging and can </w:t>
      </w:r>
      <w:r w:rsidRPr="001521E8">
        <w:lastRenderedPageBreak/>
        <w:t xml:space="preserve">provide a reliable optimum solution. For a complex aerospace system, optimization offers a convenient tool to accelerate </w:t>
      </w:r>
      <w:r w:rsidR="009D1445">
        <w:t>design iterations, which in turn provide insights for revising and refining</w:t>
      </w:r>
      <w:r w:rsidRPr="001521E8">
        <w:t xml:space="preserve"> the design problem formulation. With the forward modeling tools, engineers would typically run many simulations to evaluate various candidate designs (evaluation being level 5 in Bloom’s taxonomy of cognitive complexity), and rely on the cognitive capability of the engineers to create a new design. </w:t>
      </w:r>
      <w:r w:rsidR="009D1445">
        <w:t>By optimizing to compute the most effective search directions, engineers can interrogate the optimization results to identify the design features and parameters that are most</w:t>
      </w:r>
      <w:r w:rsidRPr="001521E8">
        <w:t xml:space="preserve"> influential for each design requirement or function. This provides direct insights into creative and synthesis thinking (the highest level of cognitive complexity)</w:t>
      </w:r>
      <w:r w:rsidR="009D1445">
        <w:t xml:space="preserve"> that would otherwise be unavailable</w:t>
      </w:r>
      <w:r w:rsidRPr="001521E8">
        <w:t xml:space="preserve">.  This is a paradigm shift in </w:t>
      </w:r>
      <w:r w:rsidR="009D1445">
        <w:t xml:space="preserve">the cognitive function support </w:t>
      </w:r>
      <w:r w:rsidRPr="001521E8">
        <w:t>available to engineers.  With these next-level insights available to engineers, it is reasonable to expect a step-change in future engineering innovation.</w:t>
      </w:r>
    </w:p>
    <w:p w14:paraId="6075C8FC" w14:textId="13FBCE3E" w:rsidR="001521E8" w:rsidRPr="001521E8" w:rsidRDefault="001521E8" w:rsidP="0095305B">
      <w:r w:rsidRPr="001521E8">
        <w:t xml:space="preserve">Noting that the usefulness of design optimization is to provide insights into design requirements and problem formulation, the explainability of AI becomes more important than the optimum solution itself. Without a well-defined design problem (which implies that the </w:t>
      </w:r>
      <w:r w:rsidR="009D1445">
        <w:t>optimal design is at least partially known), a</w:t>
      </w:r>
      <w:r w:rsidRPr="001521E8">
        <w:t xml:space="preserve"> black-box AI is unlikely to generate a useful design solution. Without explainability, the solution by itself provides little information for modifying the problem</w:t>
      </w:r>
      <w:r w:rsidR="009D1445">
        <w:t xml:space="preserve">, nor the </w:t>
      </w:r>
      <w:r w:rsidRPr="001521E8">
        <w:t>significance of a particular design feature or parameters.  The research community is actively developing explainable AI, which would be an important milestone for generative AI in engineering design.</w:t>
      </w:r>
    </w:p>
    <w:p w14:paraId="21AC5EDD" w14:textId="63E97C0A" w:rsidR="001521E8" w:rsidRPr="001521E8" w:rsidRDefault="001521E8" w:rsidP="0095305B">
      <w:r w:rsidRPr="001521E8">
        <w:t xml:space="preserve">The </w:t>
      </w:r>
      <w:r w:rsidR="009D1445">
        <w:t xml:space="preserve">implications of the discussions above were that gradient information provides the most effective search directions for smooth, continuous problems, assuming </w:t>
      </w:r>
      <w:r w:rsidRPr="001521E8">
        <w:t xml:space="preserve">gradients are available. The current trend is that differentiability is automatically built into forward modeling and neural networks (since they also utilize gradient-based optimization).  Research has been active in recent years, with many automatic differentiation tools now available, some of which add little to no additional computational cost. There are also a number of numerical techniques that relax discrete parameters </w:t>
      </w:r>
      <w:r w:rsidR="009D1445">
        <w:t>to enable</w:t>
      </w:r>
      <w:r w:rsidRPr="001521E8">
        <w:t xml:space="preserve"> gradient-based optimization. However, they are not applicable to all discrete problems, and some problems must be solved without gradients.  For those problems, there are </w:t>
      </w:r>
      <w:r w:rsidR="009D1445">
        <w:t>several optimization methods that do not use</w:t>
      </w:r>
      <w:r w:rsidRPr="001521E8">
        <w:t xml:space="preserve"> gradients. Although </w:t>
      </w:r>
      <w:r w:rsidR="009D1445">
        <w:t>they are typically one or more orders of magnitude more costly and convergence is more challenging, it is possible to optimize with</w:t>
      </w:r>
      <w:r w:rsidRPr="001521E8">
        <w:t xml:space="preserve"> a reliable predictive forward model. Gradient-free optimization methods include genetic algorithms or swarm-based optimization methods. It is common to consider decomposing or decoupling non-differentiable parameters in multi-level optimization. The field of MDO has developed decomposition methodologies for system optimization and offers a range of computational tools.</w:t>
      </w:r>
    </w:p>
    <w:p w14:paraId="6CC00CAA" w14:textId="296A398A" w:rsidR="001521E8" w:rsidRPr="001521E8" w:rsidRDefault="001521E8" w:rsidP="0095305B">
      <w:r w:rsidRPr="001521E8">
        <w:t xml:space="preserve">One note for this section is that </w:t>
      </w:r>
      <w:r w:rsidR="009D1445">
        <w:t>although optimization is prevalent in engineering and AI, a typical undergraduate engineering program does not teach it</w:t>
      </w:r>
      <w:r w:rsidRPr="001521E8">
        <w:t>. Graduating students experience mostly deterministic forward modeling and some probabilistic modeling. While education and training are outside the scope of this document, we believe this is an urgent need.</w:t>
      </w:r>
    </w:p>
    <w:p w14:paraId="1EB2C16F" w14:textId="77777777" w:rsidR="001521E8" w:rsidRPr="001521E8" w:rsidRDefault="001521E8" w:rsidP="0095305B">
      <w:pPr>
        <w:pStyle w:val="Heading2"/>
      </w:pPr>
      <w:bookmarkStart w:id="26" w:name="_Ref236216270"/>
      <w:r w:rsidRPr="001521E8">
        <w:t>Verification, Validation, and Uncertainty Quantification</w:t>
      </w:r>
      <w:bookmarkEnd w:id="26"/>
    </w:p>
    <w:p w14:paraId="4AB3738D" w14:textId="77777777" w:rsidR="001521E8" w:rsidRPr="001521E8" w:rsidRDefault="001521E8" w:rsidP="0095305B">
      <w:r w:rsidRPr="001521E8">
        <w:t>Verification, Validation, and Uncertainty Quantification (VVUQ)</w:t>
      </w:r>
      <w:sdt>
        <w:sdtPr>
          <w:id w:val="-1149744857"/>
          <w:citation/>
        </w:sdtPr>
        <w:sdtEndPr/>
        <w:sdtContent>
          <w:r w:rsidRPr="001521E8">
            <w:fldChar w:fldCharType="begin"/>
          </w:r>
          <w:r w:rsidRPr="001521E8">
            <w:instrText xml:space="preserve"> CITATION Obe10 \l 1033 </w:instrText>
          </w:r>
          <w:r w:rsidRPr="001521E8">
            <w:fldChar w:fldCharType="separate"/>
          </w:r>
          <w:r w:rsidRPr="001521E8">
            <w:t xml:space="preserve"> [26]</w:t>
          </w:r>
          <w:r w:rsidRPr="001521E8">
            <w:fldChar w:fldCharType="end"/>
          </w:r>
        </w:sdtContent>
      </w:sdt>
      <w:sdt>
        <w:sdtPr>
          <w:id w:val="258332581"/>
          <w:citation/>
        </w:sdtPr>
        <w:sdtEndPr/>
        <w:sdtContent>
          <w:r w:rsidRPr="001521E8">
            <w:fldChar w:fldCharType="begin"/>
          </w:r>
          <w:r w:rsidRPr="001521E8">
            <w:instrText xml:space="preserve"> CITATION Ame98 \l 1033 </w:instrText>
          </w:r>
          <w:r w:rsidRPr="001521E8">
            <w:fldChar w:fldCharType="separate"/>
          </w:r>
          <w:r w:rsidRPr="001521E8">
            <w:t xml:space="preserve"> [27]</w:t>
          </w:r>
          <w:r w:rsidRPr="001521E8">
            <w:fldChar w:fldCharType="end"/>
          </w:r>
        </w:sdtContent>
      </w:sdt>
      <w:sdt>
        <w:sdtPr>
          <w:id w:val="-77902041"/>
          <w:citation/>
        </w:sdtPr>
        <w:sdtEndPr/>
        <w:sdtContent>
          <w:r w:rsidRPr="001521E8">
            <w:fldChar w:fldCharType="begin"/>
          </w:r>
          <w:r w:rsidRPr="001521E8">
            <w:instrText xml:space="preserve">CITATION ASM06 \l 1033 </w:instrText>
          </w:r>
          <w:r w:rsidRPr="001521E8">
            <w:fldChar w:fldCharType="separate"/>
          </w:r>
          <w:r w:rsidRPr="001521E8">
            <w:t xml:space="preserve"> [28]</w:t>
          </w:r>
          <w:r w:rsidRPr="001521E8">
            <w:fldChar w:fldCharType="end"/>
          </w:r>
        </w:sdtContent>
      </w:sdt>
      <w:r w:rsidRPr="001521E8">
        <w:t xml:space="preserve"> is another important class of computational methods in digital engineering. As engineering decisions become increasingly dependent on coupled computational models, model credibility must be established not only for individual disciplinary simulations but also for the integrated workflows through </w:t>
      </w:r>
      <w:r w:rsidRPr="001521E8">
        <w:lastRenderedPageBreak/>
        <w:t>which model outputs are transferred, transformed, and used in decision-making. Verification addresses whether the mathematical and numerical models are implemented and solved correctly, while validation addresses whether the models adequately represent the relevant physical behavior for their intended use. In a complex aerospace system, this intended use is rarely isolated: the output of one model may become the input to another, and local modeling errors or assumptions can propagate through the system in ways that are difficult to anticipate. </w:t>
      </w:r>
    </w:p>
    <w:p w14:paraId="6164B2D9" w14:textId="68219C5A" w:rsidR="001521E8" w:rsidRPr="001521E8" w:rsidRDefault="001521E8" w:rsidP="0095305B">
      <w:r w:rsidRPr="001521E8">
        <w:t xml:space="preserve">Certification presents an additional challenge for digital engineering. Traditional certification processes rely heavily on physical tests, prescribed analyses, and accumulated engineering experience. Digital engineering </w:t>
      </w:r>
      <w:r w:rsidR="009D1445">
        <w:t xml:space="preserve">enables the more extensive use of computational evidence </w:t>
      </w:r>
      <w:r w:rsidRPr="001521E8">
        <w:t>across design, manufacturing, operation, and sustainment, but this requires a credible basis for trusting simulations, data-driven models, model updates, and automated workflows. For certification-relevant decisions, it is therefore not sufficient to report a simulation result. The provenance of the model, assumptions, data, numerical settings, uncertainty treatment, validation evidence, and range of applicability must also be traceable and reviewable. This need for traceable credibility is especially important for digital twins, whose models may evolve as new sensor data, inspection results, or operational histories become available.</w:t>
      </w:r>
    </w:p>
    <w:p w14:paraId="6F2E2BBC" w14:textId="53ACCBF1" w:rsidR="001521E8" w:rsidRPr="001521E8" w:rsidRDefault="001521E8" w:rsidP="0095305B">
      <w:r w:rsidRPr="001521E8">
        <w:t xml:space="preserve">The challenge is further exacerbated by numerical and modeling uncertainties inherent in computational methods. Because most engineering simulations rely on discrete numerical representations, solution accuracy depends on discretization, parameterization, mesh resolution, numerical schemes, solver tolerances, and, increasingly, model hyperparameters. Computational results are also subject to round-off and precision errors, which can become significant when coupled systems contain quantities spanning many orders of magnitude. Iterative solvers introduce additional dependence on convergence criteria, conditioning, and numerical stability. Although robust and general-purpose solvers have long been a goal of computational science and engineering, no single solver can be sufficiently fast, accurate, and insensitive to all of these factors across the full range of aerospace applications. When a system contains quantities across many orders of magnitude, the system matrix may become ill-conditioned, leading to an inaccurate solution or divergence. In addition, for a general-purpose digital twin, it is unknown </w:t>
      </w:r>
      <w:r w:rsidRPr="001521E8">
        <w:rPr>
          <w:i/>
          <w:iCs/>
        </w:rPr>
        <w:t>a priori</w:t>
      </w:r>
      <w:r w:rsidRPr="001521E8">
        <w:t xml:space="preserve"> how a result would be interpreted and used. The only option, therefore, is to store the highest </w:t>
      </w:r>
      <w:r w:rsidR="009D1445">
        <w:t xml:space="preserve">possible precision, which can drastically increase </w:t>
      </w:r>
      <w:r w:rsidRPr="001521E8">
        <w:t>data storage requirements, much of which is likely to be wasteful.</w:t>
      </w:r>
    </w:p>
    <w:p w14:paraId="5950C3A1" w14:textId="539C127C" w:rsidR="001521E8" w:rsidRPr="001521E8" w:rsidRDefault="001521E8" w:rsidP="0095305B">
      <w:r w:rsidRPr="001521E8">
        <w:t>There are also many sources of physical and epistemic uncertainty in practice. Operating and environmental conditions are uncertain; material properties vary across scales; experimental measurements contain noise, bias, and limited observability; manufacturing and processing introduce variability; and edge cases involving human interaction, degradation, damage, or off-nominal operation may be difficult to characterize</w:t>
      </w:r>
      <w:r w:rsidRPr="001521E8">
        <w:rPr>
          <w:i/>
          <w:iCs/>
        </w:rPr>
        <w:t xml:space="preserve"> a priori</w:t>
      </w:r>
      <w:r w:rsidRPr="001521E8">
        <w:t xml:space="preserve">. In digital twins, these uncertainties are compounded by the need to update models continuously as new data </w:t>
      </w:r>
      <w:r w:rsidR="009D1445">
        <w:t>becomes</w:t>
      </w:r>
      <w:r w:rsidRPr="001521E8">
        <w:t xml:space="preserve"> available. With so many </w:t>
      </w:r>
      <w:r w:rsidR="009D1445">
        <w:t>sources of uncertainty</w:t>
      </w:r>
      <w:r w:rsidRPr="001521E8">
        <w:t xml:space="preserve"> and possible interactions, uncertainty must be propagated, managed, and communicated before computational predictions can be used reliably in engineering decisions.</w:t>
      </w:r>
    </w:p>
    <w:p w14:paraId="0A6DECE8" w14:textId="6DE44113" w:rsidR="001521E8" w:rsidRPr="001521E8" w:rsidRDefault="001521E8" w:rsidP="0095305B">
      <w:r w:rsidRPr="001521E8">
        <w:t xml:space="preserve">A major research challenge is reducing the computational cost of uncertainty propagation for high-fidelity, multidisciplinary systems. Exhaustively evaluating all uncertain cases is usually infeasible, so practical approaches include probabilistic and stochastic methods, sensitivity analysis, reduced-order models, surrogate modeling, multifidelity modeling, and machine-learning-enabled emulators. However, the quality of uncertainty estimates depends strongly on sampling strategies, model assumptions, validation data, and the decision context. As a result, </w:t>
      </w:r>
      <w:r w:rsidRPr="001521E8">
        <w:lastRenderedPageBreak/>
        <w:t xml:space="preserve">VVUQ cannot be fully automated or generalized without careful attention to the quantities of interest, acceptable risk, and consequences of error. Many VVUQ methods remain </w:t>
      </w:r>
      <w:r w:rsidR="009D1445">
        <w:t xml:space="preserve">problem-class-specific and must be deliberately embedded </w:t>
      </w:r>
      <w:r w:rsidRPr="001521E8">
        <w:t>within modeling, optimization, and certification workflows.</w:t>
      </w:r>
    </w:p>
    <w:p w14:paraId="36262599" w14:textId="77777777" w:rsidR="001521E8" w:rsidRPr="001521E8" w:rsidRDefault="001521E8" w:rsidP="0095305B">
      <w:pPr>
        <w:pStyle w:val="Heading2"/>
      </w:pPr>
      <w:bookmarkStart w:id="27" w:name="_Ref236216311"/>
      <w:r w:rsidRPr="001521E8">
        <w:t>Data, Informatics, and Visualization</w:t>
      </w:r>
      <w:bookmarkEnd w:id="27"/>
    </w:p>
    <w:p w14:paraId="707D2397" w14:textId="5EAA8D08" w:rsidR="001521E8" w:rsidRPr="001521E8" w:rsidRDefault="001521E8" w:rsidP="0095305B">
      <w:r w:rsidRPr="001521E8">
        <w:t xml:space="preserve">The rapid expansion of high-fidelity, multiscale, and multidisciplinary simulations has produced dramatic growth in </w:t>
      </w:r>
      <w:r w:rsidR="009D1445">
        <w:t>the volume, variety, and velocity of engineering data</w:t>
      </w:r>
      <w:r w:rsidRPr="001521E8">
        <w:t xml:space="preserve">. In aerospace engineering, unsteady aerodynamic simulations, high-resolution structural analyses, and microstructural characterization can generate datasets ranging from terabytes to petabytes, depending on resolution, duration, and </w:t>
      </w:r>
      <w:r w:rsidR="009D1445">
        <w:t xml:space="preserve">the number of </w:t>
      </w:r>
      <w:r w:rsidRPr="001521E8">
        <w:t>stored quantities. The challenge is no longer only to compute the solution, but also to transform large, heterogeneous datasets into actionable engineering insight without exceeding computational, storage, transfer, or cognitive limits.</w:t>
      </w:r>
    </w:p>
    <w:p w14:paraId="0BCB3CDD" w14:textId="4FF14C7D" w:rsidR="001521E8" w:rsidRPr="001521E8" w:rsidRDefault="001521E8" w:rsidP="0095305B">
      <w:r w:rsidRPr="001521E8">
        <w:t xml:space="preserve">Traditional post-processing workflows, in which large raw datasets are written to disk, transferred, and analyzed offline, are increasingly inadequate for the largest simulations and digital engineering workflows. To reduce data movement and storage bottlenecks, the engineering community is moving toward in-situ and in-transit data processing, reduction, and visualization, moving ultimately towards </w:t>
      </w:r>
      <w:r w:rsidR="009D1445">
        <w:t xml:space="preserve">a </w:t>
      </w:r>
      <w:r w:rsidRPr="001521E8">
        <w:rPr>
          <w:i/>
          <w:iCs/>
        </w:rPr>
        <w:t>digital thread</w:t>
      </w:r>
      <w:r w:rsidRPr="001521E8">
        <w:t>. Today’s approaches aim to extract, compress, or render relevant information during or near simulation execution, rather than storing the full state for later analysis. However, they also require algorithms capable of identifying and preserving physically meaningful features, such as transient shock structures, vortex cores, localized material damage, or evolving microstructural features, without discarding information needed for verification, validation, uncertainty quantification, or later design decisions. Many of these challenges are multidisciplinary in nature, and many efforts are and should be invested in constructing a data storage and accessibility infrastructure with accompanying V&amp;V, explainability (and/or trustworthiness), and context.</w:t>
      </w:r>
    </w:p>
    <w:p w14:paraId="0EEA9812" w14:textId="44048D00" w:rsidR="001521E8" w:rsidRPr="001521E8" w:rsidRDefault="001521E8" w:rsidP="0095305B">
      <w:r w:rsidRPr="001521E8">
        <w:t xml:space="preserve">Recent advances in AI/ML have expanded the range of tasks that can be automated, including visual and signal processing, natural-language processing, multimodal data fusion, anomaly detection, and feature extraction. These capabilities create new opportunities </w:t>
      </w:r>
      <w:r w:rsidR="009D1445">
        <w:t>to automate portions of engineering data analysis</w:t>
      </w:r>
      <w:r w:rsidRPr="001521E8">
        <w:t xml:space="preserve"> while also introducing new requirements for interpretability, validation, and traceability. Data informatics provides a pathway to further automate knowledge extraction from complex engineering datasets. Rather than relying on manual inspection of scalar and vector fields, data informatics uses statistical learning, dimensionality reduction, topological data analysis, feature extraction, and AI/ML methods to identify, track, classify, and summarize physically meaningful patterns. Examples include detecting coherent structures in turbulent flows, identifying localized deformation or damage in structural simulations, and quantifying statistical variations in microstructural features. These methods can reduce the cognitive burden on engineers and help convert high-dimensional simulation or experimental outputs into quantities that are useful for modeling, optimization, UQ, and decision-making.</w:t>
      </w:r>
    </w:p>
    <w:p w14:paraId="58D89D57" w14:textId="57FDBA73" w:rsidR="001521E8" w:rsidRPr="001521E8" w:rsidRDefault="001521E8" w:rsidP="0095305B">
      <w:r w:rsidRPr="001521E8">
        <w:t xml:space="preserve">These capabilities are especially important for a digital twin, where data are heterogeneous, asynchronous, and continuously evolving. A digital twin may need to integrate real-time sensor streams, inspection data, maintenance records, low-fidelity analytical models, high-fidelity simulations, and uncertainty estimates. Surrogate and ML methods such as autoencoders, manifold learning, and other </w:t>
      </w:r>
      <w:r w:rsidR="009D1445">
        <w:t>reduced-order</w:t>
      </w:r>
      <w:r w:rsidRPr="001521E8">
        <w:t xml:space="preserve"> modeling (ROM) techniques can help project high-dimensional data into lower-dimensional spaces that are easier to query and update. However, these </w:t>
      </w:r>
      <w:r w:rsidRPr="001521E8">
        <w:lastRenderedPageBreak/>
        <w:t>representations must remain interpretable, traceable, and consistent with physical constraints to support engineering decisions.</w:t>
      </w:r>
    </w:p>
    <w:p w14:paraId="0918F24B" w14:textId="3ACF2371" w:rsidR="001521E8" w:rsidRPr="001521E8" w:rsidRDefault="001521E8" w:rsidP="0095305B">
      <w:r w:rsidRPr="001521E8">
        <w:t xml:space="preserve">Conversely, the accuracy and validity of the data </w:t>
      </w:r>
      <w:r w:rsidR="009D1445">
        <w:t>depend on how they are</w:t>
      </w:r>
      <w:r w:rsidRPr="001521E8">
        <w:t xml:space="preserve"> utilized. This </w:t>
      </w:r>
      <w:r w:rsidR="009D1445">
        <w:t>contrasts with</w:t>
      </w:r>
      <w:r w:rsidRPr="001521E8">
        <w:t xml:space="preserve"> the standard practice of model convergence criteria based on an arbitrarily small value.  The studies and experiences have shown that common default convergence values are often set unnecessarily small at an early stage of design, and </w:t>
      </w:r>
      <w:r w:rsidR="009D1445">
        <w:t>that solvers often converge reasonably quickly to the solution, but they can substantially slow down to reach</w:t>
      </w:r>
      <w:r w:rsidRPr="001521E8">
        <w:t xml:space="preserve"> the last few orders of magnitude.  As the sufficiency of accuracy can only be assessed by the purposes of the output and the decisions upon which the output data would be used, the input/output interface layers between the solvers and tools would need to communicate more than simply the solvers themselves.  Research is </w:t>
      </w:r>
      <w:r w:rsidR="009D1445">
        <w:t>ongoing to enable a broader bandwidth of data communication beyond simple input/output, including</w:t>
      </w:r>
      <w:r w:rsidRPr="001521E8">
        <w:t xml:space="preserve"> more helpful information such as uncertainty, assumptions, sensitivity, and context.  One active approach to enable this is to construct a workflow using agentic AI, although the research is yet to mature</w:t>
      </w:r>
      <w:r w:rsidR="009D1445">
        <w:t>, considering</w:t>
      </w:r>
      <w:r w:rsidRPr="001521E8">
        <w:t xml:space="preserve"> its capabilities. More research is needed to investigate and develop the most effective and safe ways to communicate deep disciplinary expertise across the system</w:t>
      </w:r>
      <w:r w:rsidR="009D1445">
        <w:t>,</w:t>
      </w:r>
      <w:r w:rsidRPr="001521E8">
        <w:t xml:space="preserve"> such that the model data can be used appropriately.</w:t>
      </w:r>
    </w:p>
    <w:p w14:paraId="1D13D900" w14:textId="7B499068" w:rsidR="001521E8" w:rsidRPr="001521E8" w:rsidRDefault="001521E8" w:rsidP="0095305B">
      <w:r w:rsidRPr="001521E8">
        <w:t xml:space="preserve">Significant barriers remain in establishing data architectures, metadata standards, ontologies, and provenance frameworks that span engineering disciplines. A CFD solution field, a structural finite element model, 3D and CAD models, a materials database, and an operational sensor stream encode different assumptions, </w:t>
      </w:r>
      <w:r w:rsidR="00FF417B" w:rsidRPr="001521E8">
        <w:t>discretization</w:t>
      </w:r>
      <w:r w:rsidRPr="001521E8">
        <w:t xml:space="preserve">, units, uncertainties, and semantics. Without robust standards for metadata, provenance, data quality, and uncertainty representation, automated knowledge extraction may not scale reliably across enterprise-level digital engineering environments. Thus, the central challenge in data informatics and visualization, in addition to data reduction, is </w:t>
      </w:r>
      <w:r w:rsidR="00FF417B">
        <w:t>preserving</w:t>
      </w:r>
      <w:r w:rsidRPr="001521E8">
        <w:t xml:space="preserve"> meaning, credibility, and context as data move across models, disciplines, and lifecycle stages.</w:t>
      </w:r>
    </w:p>
    <w:p w14:paraId="1D789FDB" w14:textId="6F04EB01" w:rsidR="001521E8" w:rsidRPr="001521E8" w:rsidRDefault="001521E8" w:rsidP="0095305B">
      <w:r w:rsidRPr="001521E8">
        <w:t xml:space="preserve">Visualization has long been an active field of research, with significant advances in recent years with the emergence of </w:t>
      </w:r>
      <w:r w:rsidR="00FF417B">
        <w:t>large-scale</w:t>
      </w:r>
      <w:r w:rsidRPr="001521E8">
        <w:t xml:space="preserve"> data</w:t>
      </w:r>
      <w:r w:rsidR="0070472E">
        <w:t xml:space="preserve"> (e.g., </w:t>
      </w:r>
      <w:sdt>
        <w:sdtPr>
          <w:id w:val="-1446386059"/>
          <w:citation/>
        </w:sdtPr>
        <w:sdtEndPr/>
        <w:sdtContent>
          <w:r w:rsidR="0070472E">
            <w:fldChar w:fldCharType="begin"/>
          </w:r>
          <w:r w:rsidR="0070472E">
            <w:instrText xml:space="preserve"> CITATION Sha22 \l 1033 </w:instrText>
          </w:r>
          <w:r w:rsidR="0070472E">
            <w:fldChar w:fldCharType="separate"/>
          </w:r>
          <w:r w:rsidR="0070472E" w:rsidRPr="0070472E">
            <w:rPr>
              <w:noProof/>
            </w:rPr>
            <w:t>[31]</w:t>
          </w:r>
          <w:r w:rsidR="0070472E">
            <w:fldChar w:fldCharType="end"/>
          </w:r>
        </w:sdtContent>
      </w:sdt>
      <w:r w:rsidR="0070472E">
        <w:t>)</w:t>
      </w:r>
      <w:r w:rsidRPr="001521E8">
        <w:t xml:space="preserve">. Advancing technologies include immersive virtual </w:t>
      </w:r>
      <w:r w:rsidR="00FF417B">
        <w:t>experiences</w:t>
      </w:r>
      <w:r w:rsidRPr="001521E8">
        <w:t xml:space="preserve"> such as WebGL, 3D holographic displays, and augmented reality. There are also a host of </w:t>
      </w:r>
      <w:r w:rsidR="00FF417B">
        <w:t>open-source</w:t>
      </w:r>
      <w:r w:rsidRPr="001521E8">
        <w:t xml:space="preserve"> tools such as ParaView and MeshLab. </w:t>
      </w:r>
      <w:r w:rsidR="00CC4A73">
        <w:t>C</w:t>
      </w:r>
      <w:r w:rsidRPr="001521E8">
        <w:t xml:space="preserve">ommercial </w:t>
      </w:r>
      <w:r w:rsidR="00F16C18">
        <w:t>software, such as Ansys, SIMULIA, and MATLAB, is</w:t>
      </w:r>
      <w:r w:rsidR="00CC4A73">
        <w:t xml:space="preserve"> still popularly used in the </w:t>
      </w:r>
      <w:r w:rsidRPr="001521E8">
        <w:t xml:space="preserve">engineering industry. For further discussion </w:t>
      </w:r>
      <w:r w:rsidR="00CC4A73">
        <w:t>of the state of the art, we refer to the same-titled</w:t>
      </w:r>
      <w:r w:rsidRPr="001521E8">
        <w:t xml:space="preserve"> chapter of the NASA Vision 2040 report. </w:t>
      </w:r>
    </w:p>
    <w:p w14:paraId="379959A5" w14:textId="5AD44097" w:rsidR="001521E8" w:rsidRPr="001521E8" w:rsidRDefault="001521E8" w:rsidP="0095305B">
      <w:pPr>
        <w:pStyle w:val="Heading2"/>
      </w:pPr>
      <w:r w:rsidRPr="001521E8">
        <w:t xml:space="preserve">Workflows and </w:t>
      </w:r>
      <w:r w:rsidR="0095305B">
        <w:t>C</w:t>
      </w:r>
      <w:r w:rsidRPr="001521E8">
        <w:t xml:space="preserve">omputational </w:t>
      </w:r>
      <w:r w:rsidR="0095305B">
        <w:t>I</w:t>
      </w:r>
      <w:r w:rsidRPr="001521E8">
        <w:t>nfrastructure</w:t>
      </w:r>
    </w:p>
    <w:p w14:paraId="1110D48E" w14:textId="50DFDD8D" w:rsidR="001521E8" w:rsidRPr="001521E8" w:rsidRDefault="001521E8" w:rsidP="0095305B">
      <w:r w:rsidRPr="001521E8">
        <w:t xml:space="preserve">The execution of digital engineering and the realization of comprehensive digital twins require robust, flexible, and scalable computational infrastructure. This infrastructure encompasses both hardware architectures, such as high-performance computing (HPC) and cloud computing, and software frameworks </w:t>
      </w:r>
      <w:r w:rsidR="00CB7257">
        <w:t>for managing</w:t>
      </w:r>
      <w:r w:rsidRPr="001521E8">
        <w:t xml:space="preserve"> complex, multidisciplinary engineering workflows. In this context, the central challenge, in addition to increasing the peak computational performance, is enabling reliable, traceable, and automated execution of interconnected models, data streams, and decision processes across the engineering lifecycle. </w:t>
      </w:r>
    </w:p>
    <w:p w14:paraId="4DB6F53F" w14:textId="2D122EE8" w:rsidR="001521E8" w:rsidRPr="001521E8" w:rsidRDefault="001521E8" w:rsidP="0095305B">
      <w:r w:rsidRPr="001521E8">
        <w:t xml:space="preserve">Modern aerospace workflows are inherently heterogeneous. A single design iteration may require updating </w:t>
      </w:r>
      <w:r w:rsidR="00CB7257">
        <w:t>CAD geometry, generating or modifying an analysis mesh, running a high-fidelity CFD simulation, mapping aerodynamic loads to a structural model, evaluating thermal or material responses</w:t>
      </w:r>
      <w:r w:rsidRPr="001521E8">
        <w:t xml:space="preserve">, propagating uncertainties, and returning results to an optimizer or decision-support tool. </w:t>
      </w:r>
      <w:r w:rsidRPr="001521E8">
        <w:lastRenderedPageBreak/>
        <w:t>Each step may rely on different software, discretizations, data formats, assumptions, numerical tolerances, and domain-specific expertise. As a result, workflow automation in digital engineering must address task execution, model coupling, data translation, error handling, provenance tracking, and uncertainty propagation.</w:t>
      </w:r>
    </w:p>
    <w:p w14:paraId="7EEB4B6C" w14:textId="08FDFABA" w:rsidR="001521E8" w:rsidRPr="001521E8" w:rsidRDefault="001521E8" w:rsidP="0095305B">
      <w:r w:rsidRPr="001521E8">
        <w:t xml:space="preserve">HPC is essential for high-fidelity aerospace analysis. However, new hardware architectures introduce new challenges. The transition toward exascale and heterogeneous computing platforms, </w:t>
      </w:r>
      <w:r w:rsidR="00CB7257">
        <w:t>combining traditional Central Processing Units (CPUs) with Graphics Processing Units (GPUs) and specialized AI accelerators, offers substantial potential to increase</w:t>
      </w:r>
      <w:r w:rsidRPr="001521E8">
        <w:t xml:space="preserve"> throughput. However, legacy aerospace simulation codes are often difficult to port efficiently to these architectures </w:t>
      </w:r>
      <w:r w:rsidR="00CB7257">
        <w:t>due to constraints in</w:t>
      </w:r>
      <w:r w:rsidRPr="001521E8">
        <w:t xml:space="preserve"> parallel scalability, memory bandwidth, load balancing, communication patterns, and software maintainability. Developing algorithms and software abstractions that can </w:t>
      </w:r>
      <w:r w:rsidR="00CB7257">
        <w:t>efficiently use heterogeneous hardware while preserving V&amp;V and reproducibility remains an important challenge</w:t>
      </w:r>
      <w:r w:rsidRPr="001521E8">
        <w:t>. </w:t>
      </w:r>
    </w:p>
    <w:p w14:paraId="23B970C3" w14:textId="17CF958F" w:rsidR="001521E8" w:rsidRPr="001521E8" w:rsidRDefault="001521E8" w:rsidP="0095305B">
      <w:r w:rsidRPr="001521E8">
        <w:t xml:space="preserve">Beyond raw computing power, the software infrastructure must support the orchestration of complex, automated workflows. In a coupled workflow, a solver may fail to converge, a mesh may </w:t>
      </w:r>
      <w:r w:rsidR="00CB7257">
        <w:t>fail to meet quality requirements, a data transfer may violate conservation or interpolation-accuracy</w:t>
      </w:r>
      <w:r w:rsidRPr="001521E8">
        <w:t xml:space="preserve"> requirements, or an optimization step may generate a physically infeasible design. Workflow systems must detect such failures, preserve diagnostic information, trigger appropriate recovery or fallback procedures, and communicate uncertainty or failure information to downstream models and decision processes. Without this robustness, automation can amplify errors rather than reduce engineering effort.</w:t>
      </w:r>
    </w:p>
    <w:p w14:paraId="1C27AC81" w14:textId="77777777" w:rsidR="001521E8" w:rsidRPr="001521E8" w:rsidRDefault="001521E8" w:rsidP="0095305B">
      <w:r w:rsidRPr="001521E8">
        <w:t>Provenance and reproducibility are also central to computational infrastructure. For computational results to support engineering decisions, verification, validation, and eventual certification, the workflow must record the models, software versions, input data, assumptions, boundary conditions, numerical settings, mesh or discretization choices, calibration data, and post-processing operations used to generate each result. This is especially important in digital twins, where models may evolve as new sensor data, inspection results, maintenance records, or operational histories become available. In such settings, the digital thread must preserve the context required to interpret and trust the data.</w:t>
      </w:r>
    </w:p>
    <w:p w14:paraId="3911852A" w14:textId="77777777" w:rsidR="001521E8" w:rsidRDefault="001521E8" w:rsidP="0095305B">
      <w:r w:rsidRPr="001521E8">
        <w:t xml:space="preserve">A final challenge is interoperability across tools, disciplines, organizations, and geographically distributed teams. Practical aerospace workflows often combine commercial CAD/CAE tools, open-source solvers, in-house legacy codes, reduced-order models, databases, and AI/ML components. Collaborative digital engineering platforms, often conceptualized as </w:t>
      </w:r>
      <w:r w:rsidRPr="001521E8">
        <w:rPr>
          <w:i/>
          <w:iCs/>
        </w:rPr>
        <w:t>collaboratories</w:t>
      </w:r>
      <w:r w:rsidRPr="001521E8">
        <w:t>, seek to provide an authoritative and traceable environment for concurrent engineering across these distributed workflows. Cloud-native architectures, containerization (e.g., Docker and Singularity), standardized application programming interfaces (APIs), and workflow managers can improve portability and integration. However, they do not eliminate deeper barriers associated with semantic interoperability, intellectual property protection, cybersecurity, export control regulations such as ITAR, certification, and long-term maintainability. Thus, the computational infrastructure for digital engineering must be designed for speed, automation, and also for trust, traceability, security, and sustained use across the lifecycle.</w:t>
      </w:r>
    </w:p>
    <w:p w14:paraId="0399A5B2" w14:textId="47EFBF45" w:rsidR="006A09B3" w:rsidRDefault="004174C8" w:rsidP="006A09B3">
      <w:pPr>
        <w:pStyle w:val="Heading2"/>
      </w:pPr>
      <w:r>
        <w:t>Machine Learning and Artificial Intelligence</w:t>
      </w:r>
    </w:p>
    <w:p w14:paraId="38764BE5" w14:textId="77777777" w:rsidR="006A09B3" w:rsidRDefault="006A09B3" w:rsidP="006A09B3">
      <w:r w:rsidRPr="00975326">
        <w:t>Digital engineering represents a major shift from traditional engineering</w:t>
      </w:r>
      <w:r>
        <w:t xml:space="preserve"> and computational design and analysis</w:t>
      </w:r>
      <w:r w:rsidRPr="00975326">
        <w:t xml:space="preserve"> by embedding advanced digital technologies—such as AI, data analytics, </w:t>
      </w:r>
      <w:r w:rsidRPr="00975326">
        <w:lastRenderedPageBreak/>
        <w:t>simulation models, and digital twins—into every stage of the engineering process. This transformation has important implications for the relationship between AI-driven insights and human expectations in engineering projects.</w:t>
      </w:r>
    </w:p>
    <w:p w14:paraId="13741C93" w14:textId="7A6F7F8F" w:rsidR="006800C5" w:rsidRDefault="006800C5" w:rsidP="006800C5">
      <w:r>
        <w:t xml:space="preserve">Before considering how to use AI in an interoperable and appropriate manner in digital engineering workflows, DEIC-CoDADE will provide its position on what AI is. Professor Emeritus John McCarthy, who originally coined the term “Artificial </w:t>
      </w:r>
      <w:r w:rsidRPr="00A92872">
        <w:t xml:space="preserve">Intelligence”, defines AI as “the science and engineering of making intelligent machines, especially intelligent computer programs. It is related to the similar task of using computers to understand human intelligence, but AI does not have to confine itself to </w:t>
      </w:r>
      <w:r>
        <w:t>biologically observable methods</w:t>
      </w:r>
      <w:r w:rsidRPr="00A92872">
        <w:t xml:space="preserve">” </w:t>
      </w:r>
      <w:sdt>
        <w:sdtPr>
          <w:id w:val="2053192333"/>
          <w:citation/>
        </w:sdtPr>
        <w:sdtEndPr/>
        <w:sdtContent>
          <w:r w:rsidRPr="00A92872">
            <w:fldChar w:fldCharType="begin"/>
          </w:r>
          <w:r w:rsidRPr="00A92872">
            <w:instrText xml:space="preserve"> CITATION McC07 \l 1033 </w:instrText>
          </w:r>
          <w:r w:rsidRPr="00A92872">
            <w:fldChar w:fldCharType="separate"/>
          </w:r>
          <w:r w:rsidRPr="00A92872">
            <w:t>[13]</w:t>
          </w:r>
          <w:r w:rsidRPr="00A92872">
            <w:fldChar w:fldCharType="end"/>
          </w:r>
        </w:sdtContent>
      </w:sdt>
      <w:r>
        <w:t xml:space="preserve">. Various governing bodies within the United States and across the globe have also developed their own definitions of AI, with a sample set presented in </w:t>
      </w:r>
      <w:r>
        <w:fldChar w:fldCharType="begin"/>
      </w:r>
      <w:r>
        <w:instrText xml:space="preserve"> REF _Ref233796388 \h </w:instrText>
      </w:r>
      <w:r>
        <w:fldChar w:fldCharType="separate"/>
      </w:r>
      <w:r>
        <w:t xml:space="preserve">Table </w:t>
      </w:r>
      <w:r>
        <w:rPr>
          <w:noProof/>
        </w:rPr>
        <w:t>2</w:t>
      </w:r>
      <w:r>
        <w:fldChar w:fldCharType="end"/>
      </w:r>
      <w:r>
        <w:t>.</w:t>
      </w:r>
    </w:p>
    <w:p w14:paraId="6878ED65" w14:textId="77777777" w:rsidR="006800C5" w:rsidRDefault="006800C5" w:rsidP="006800C5">
      <w:pPr>
        <w:pStyle w:val="Caption"/>
        <w:keepNext/>
      </w:pPr>
      <w:bookmarkStart w:id="28" w:name="_Ref233796388"/>
      <w:r>
        <w:t xml:space="preserve">Table </w:t>
      </w:r>
      <w:fldSimple w:instr=" SEQ Table \* ARABIC ">
        <w:r>
          <w:rPr>
            <w:noProof/>
          </w:rPr>
          <w:t>2</w:t>
        </w:r>
      </w:fldSimple>
      <w:bookmarkEnd w:id="28"/>
      <w:r>
        <w:t>: Definitions of artificial intelligence from a wide variety of governmental sources within the United States and across the globe.</w:t>
      </w:r>
    </w:p>
    <w:tbl>
      <w:tblPr>
        <w:tblStyle w:val="TableGrid"/>
        <w:tblW w:w="0" w:type="auto"/>
        <w:tblLook w:val="04A0" w:firstRow="1" w:lastRow="0" w:firstColumn="1" w:lastColumn="0" w:noHBand="0" w:noVBand="1"/>
      </w:tblPr>
      <w:tblGrid>
        <w:gridCol w:w="4675"/>
        <w:gridCol w:w="4675"/>
      </w:tblGrid>
      <w:tr w:rsidR="006800C5" w14:paraId="4B4BC7A3" w14:textId="77777777" w:rsidTr="00132299">
        <w:tc>
          <w:tcPr>
            <w:tcW w:w="4675" w:type="dxa"/>
            <w:shd w:val="clear" w:color="auto" w:fill="000000" w:themeFill="text1"/>
          </w:tcPr>
          <w:p w14:paraId="02382C2A" w14:textId="77777777" w:rsidR="006800C5" w:rsidRPr="00A73658" w:rsidRDefault="006800C5" w:rsidP="00132299">
            <w:pPr>
              <w:ind w:firstLine="0"/>
              <w:jc w:val="center"/>
              <w:rPr>
                <w:b/>
                <w:bCs/>
              </w:rPr>
            </w:pPr>
            <w:r w:rsidRPr="00A73658">
              <w:rPr>
                <w:b/>
                <w:bCs/>
              </w:rPr>
              <w:t>Definition of Artificial Intelligence (AI)</w:t>
            </w:r>
          </w:p>
        </w:tc>
        <w:tc>
          <w:tcPr>
            <w:tcW w:w="4675" w:type="dxa"/>
            <w:shd w:val="clear" w:color="auto" w:fill="000000" w:themeFill="text1"/>
          </w:tcPr>
          <w:p w14:paraId="4002ED06" w14:textId="77777777" w:rsidR="006800C5" w:rsidRPr="00A73658" w:rsidRDefault="006800C5" w:rsidP="00132299">
            <w:pPr>
              <w:ind w:firstLine="0"/>
              <w:jc w:val="center"/>
              <w:rPr>
                <w:b/>
                <w:bCs/>
              </w:rPr>
            </w:pPr>
            <w:r w:rsidRPr="00A73658">
              <w:rPr>
                <w:b/>
                <w:bCs/>
              </w:rPr>
              <w:t>Source of Definition</w:t>
            </w:r>
          </w:p>
        </w:tc>
      </w:tr>
      <w:tr w:rsidR="006800C5" w14:paraId="6C9BAE16" w14:textId="77777777" w:rsidTr="00132299">
        <w:tc>
          <w:tcPr>
            <w:tcW w:w="4675" w:type="dxa"/>
          </w:tcPr>
          <w:p w14:paraId="35369B7F" w14:textId="77777777" w:rsidR="006800C5" w:rsidRPr="00A73658" w:rsidRDefault="006800C5" w:rsidP="00132299">
            <w:pPr>
              <w:ind w:firstLine="0"/>
              <w:rPr>
                <w:sz w:val="20"/>
                <w:szCs w:val="20"/>
              </w:rPr>
            </w:pPr>
            <w:r w:rsidRPr="00A73658">
              <w:rPr>
                <w:sz w:val="20"/>
                <w:szCs w:val="20"/>
              </w:rPr>
              <w:t>The ability of machines to perform tasks that normally require human intelligence. For example: recognizing patterns, learning from experience, drawing conclusions, making predictions, and taking action – whether digitally of as the smart software behind autonomous physical systems.</w:t>
            </w:r>
            <w:r>
              <w:rPr>
                <w:sz w:val="20"/>
                <w:szCs w:val="20"/>
              </w:rPr>
              <w:t xml:space="preserve"> </w:t>
            </w:r>
            <w:sdt>
              <w:sdtPr>
                <w:rPr>
                  <w:sz w:val="20"/>
                  <w:szCs w:val="20"/>
                </w:rPr>
                <w:id w:val="1263418980"/>
                <w:citation/>
              </w:sdtPr>
              <w:sdtEndPr/>
              <w:sdtContent>
                <w:r>
                  <w:rPr>
                    <w:sz w:val="20"/>
                    <w:szCs w:val="20"/>
                  </w:rPr>
                  <w:fldChar w:fldCharType="begin"/>
                </w:r>
                <w:r>
                  <w:rPr>
                    <w:sz w:val="20"/>
                    <w:szCs w:val="20"/>
                  </w:rPr>
                  <w:instrText xml:space="preserve"> CITATION DAU \l 1033  \m Sum18</w:instrText>
                </w:r>
                <w:r>
                  <w:rPr>
                    <w:sz w:val="20"/>
                    <w:szCs w:val="20"/>
                  </w:rPr>
                  <w:fldChar w:fldCharType="separate"/>
                </w:r>
                <w:r w:rsidRPr="00BA2076">
                  <w:rPr>
                    <w:noProof/>
                    <w:sz w:val="20"/>
                    <w:szCs w:val="20"/>
                  </w:rPr>
                  <w:t>[8, 9]</w:t>
                </w:r>
                <w:r>
                  <w:rPr>
                    <w:sz w:val="20"/>
                    <w:szCs w:val="20"/>
                  </w:rPr>
                  <w:fldChar w:fldCharType="end"/>
                </w:r>
              </w:sdtContent>
            </w:sdt>
          </w:p>
        </w:tc>
        <w:tc>
          <w:tcPr>
            <w:tcW w:w="4675" w:type="dxa"/>
            <w:vAlign w:val="center"/>
          </w:tcPr>
          <w:p w14:paraId="0AF82477" w14:textId="77777777" w:rsidR="006800C5" w:rsidRDefault="006800C5" w:rsidP="00132299">
            <w:pPr>
              <w:ind w:firstLine="0"/>
              <w:jc w:val="center"/>
            </w:pPr>
            <w:r>
              <w:t>Summary of the 2018 DoD AI Strategy</w:t>
            </w:r>
          </w:p>
        </w:tc>
      </w:tr>
      <w:tr w:rsidR="006800C5" w14:paraId="2A0221EC" w14:textId="77777777" w:rsidTr="00132299">
        <w:tc>
          <w:tcPr>
            <w:tcW w:w="4675" w:type="dxa"/>
          </w:tcPr>
          <w:p w14:paraId="2B727F6C" w14:textId="77777777" w:rsidR="006800C5" w:rsidRPr="00A73658" w:rsidRDefault="006800C5" w:rsidP="00132299">
            <w:pPr>
              <w:ind w:firstLine="0"/>
              <w:rPr>
                <w:sz w:val="20"/>
                <w:szCs w:val="20"/>
              </w:rPr>
            </w:pPr>
            <w:r w:rsidRPr="00A73658">
              <w:rPr>
                <w:sz w:val="20"/>
                <w:szCs w:val="20"/>
              </w:rPr>
              <w:t>The term artificial intelligence includes the following: (1) Any artificial system that performs tasks under varying and unpredictable circumstances without significant human oversight, or that can learn from experience and improve performance when exposed to data sets. (2) An artificial system developed in computer software, physical hardware, or other context that solves tasks requiring human-like perception, cognition, planning, learning, communication, or physical action. (3) An artificial system designed to think or act like a human, including cognitive architectures and neural networks. (4) A set of techniques, including machine learning, that is designed to approximate a cognitive task. (5) An artificial system designed to act rationally, including an intelligent software agent or embodied robot that achieves goals using perception, planning, reasoning, learning, communicating, decision making, and acting.</w:t>
            </w:r>
            <w:sdt>
              <w:sdtPr>
                <w:rPr>
                  <w:sz w:val="20"/>
                  <w:szCs w:val="20"/>
                </w:rPr>
                <w:id w:val="1015892481"/>
                <w:citation/>
              </w:sdtPr>
              <w:sdtEndPr/>
              <w:sdtContent>
                <w:r>
                  <w:rPr>
                    <w:sz w:val="20"/>
                    <w:szCs w:val="20"/>
                  </w:rPr>
                  <w:fldChar w:fldCharType="begin"/>
                </w:r>
                <w:r>
                  <w:rPr>
                    <w:sz w:val="20"/>
                    <w:szCs w:val="20"/>
                  </w:rPr>
                  <w:instrText xml:space="preserve"> CITATION DAU \l 1033  \m HR518</w:instrText>
                </w:r>
                <w:r>
                  <w:rPr>
                    <w:sz w:val="20"/>
                    <w:szCs w:val="20"/>
                  </w:rPr>
                  <w:fldChar w:fldCharType="separate"/>
                </w:r>
                <w:r>
                  <w:rPr>
                    <w:noProof/>
                    <w:sz w:val="20"/>
                    <w:szCs w:val="20"/>
                  </w:rPr>
                  <w:t xml:space="preserve"> </w:t>
                </w:r>
                <w:r w:rsidRPr="00BA2076">
                  <w:rPr>
                    <w:noProof/>
                    <w:sz w:val="20"/>
                    <w:szCs w:val="20"/>
                  </w:rPr>
                  <w:t>[8, 10]</w:t>
                </w:r>
                <w:r>
                  <w:rPr>
                    <w:sz w:val="20"/>
                    <w:szCs w:val="20"/>
                  </w:rPr>
                  <w:fldChar w:fldCharType="end"/>
                </w:r>
              </w:sdtContent>
            </w:sdt>
          </w:p>
        </w:tc>
        <w:tc>
          <w:tcPr>
            <w:tcW w:w="4675" w:type="dxa"/>
            <w:vAlign w:val="center"/>
          </w:tcPr>
          <w:p w14:paraId="628F2EC5" w14:textId="77777777" w:rsidR="006800C5" w:rsidRDefault="006800C5" w:rsidP="00132299">
            <w:pPr>
              <w:ind w:firstLine="0"/>
              <w:jc w:val="center"/>
            </w:pPr>
            <w:r>
              <w:t xml:space="preserve">John S. McCain National Defense Authorization Act for FY2019 </w:t>
            </w:r>
            <w:r w:rsidRPr="00A73658">
              <w:t>9 – Sub B/Sect 238g</w:t>
            </w:r>
          </w:p>
        </w:tc>
      </w:tr>
      <w:tr w:rsidR="006800C5" w14:paraId="7471387E" w14:textId="77777777" w:rsidTr="00132299">
        <w:tc>
          <w:tcPr>
            <w:tcW w:w="4675" w:type="dxa"/>
          </w:tcPr>
          <w:p w14:paraId="2EDC12DB" w14:textId="77777777" w:rsidR="006800C5" w:rsidRPr="00A73658" w:rsidRDefault="006800C5" w:rsidP="00132299">
            <w:pPr>
              <w:ind w:firstLine="0"/>
              <w:rPr>
                <w:sz w:val="20"/>
                <w:szCs w:val="20"/>
              </w:rPr>
            </w:pPr>
            <w:r w:rsidRPr="00A73658">
              <w:rPr>
                <w:sz w:val="20"/>
                <w:szCs w:val="20"/>
              </w:rPr>
              <w:t>A machine-based system that can, for a given set of human-defined objectives, make predictions, recommendations or decisions influencing real or virtual environments. Artificial intelligence systems use machine and human-based inputs to—(A) perceive real and virtual environments; (B) abstract such perceptions into models through analysis in an automated manner; and (C) use model inference to formulate options for information or action.</w:t>
            </w:r>
            <w:sdt>
              <w:sdtPr>
                <w:rPr>
                  <w:sz w:val="20"/>
                  <w:szCs w:val="20"/>
                </w:rPr>
                <w:id w:val="898483715"/>
                <w:citation/>
              </w:sdtPr>
              <w:sdtEndPr/>
              <w:sdtContent>
                <w:r>
                  <w:rPr>
                    <w:sz w:val="20"/>
                    <w:szCs w:val="20"/>
                  </w:rPr>
                  <w:fldChar w:fldCharType="begin"/>
                </w:r>
                <w:r>
                  <w:rPr>
                    <w:sz w:val="20"/>
                    <w:szCs w:val="20"/>
                  </w:rPr>
                  <w:instrText xml:space="preserve"> CITATION DAU \l 1033  \m HR620</w:instrText>
                </w:r>
                <w:r>
                  <w:rPr>
                    <w:sz w:val="20"/>
                    <w:szCs w:val="20"/>
                  </w:rPr>
                  <w:fldChar w:fldCharType="separate"/>
                </w:r>
                <w:r>
                  <w:rPr>
                    <w:noProof/>
                    <w:sz w:val="20"/>
                    <w:szCs w:val="20"/>
                  </w:rPr>
                  <w:t xml:space="preserve"> </w:t>
                </w:r>
                <w:r w:rsidRPr="00BA2076">
                  <w:rPr>
                    <w:noProof/>
                    <w:sz w:val="20"/>
                    <w:szCs w:val="20"/>
                  </w:rPr>
                  <w:t>[8, 11]</w:t>
                </w:r>
                <w:r>
                  <w:rPr>
                    <w:sz w:val="20"/>
                    <w:szCs w:val="20"/>
                  </w:rPr>
                  <w:fldChar w:fldCharType="end"/>
                </w:r>
              </w:sdtContent>
            </w:sdt>
          </w:p>
        </w:tc>
        <w:tc>
          <w:tcPr>
            <w:tcW w:w="4675" w:type="dxa"/>
            <w:vAlign w:val="center"/>
          </w:tcPr>
          <w:p w14:paraId="4BCC3745" w14:textId="77777777" w:rsidR="006800C5" w:rsidRDefault="006800C5" w:rsidP="00132299">
            <w:pPr>
              <w:ind w:firstLine="0"/>
              <w:jc w:val="center"/>
            </w:pPr>
            <w:r>
              <w:t>National AI Initiative Act of 2020 (FY2021 NDAA)</w:t>
            </w:r>
          </w:p>
        </w:tc>
      </w:tr>
      <w:tr w:rsidR="006800C5" w14:paraId="4102B8F0" w14:textId="77777777" w:rsidTr="00132299">
        <w:tc>
          <w:tcPr>
            <w:tcW w:w="4675" w:type="dxa"/>
          </w:tcPr>
          <w:p w14:paraId="36911F3A" w14:textId="77777777" w:rsidR="006800C5" w:rsidRPr="00A73658" w:rsidRDefault="006800C5" w:rsidP="00132299">
            <w:pPr>
              <w:ind w:firstLine="0"/>
              <w:rPr>
                <w:sz w:val="20"/>
                <w:szCs w:val="20"/>
              </w:rPr>
            </w:pPr>
            <w:r w:rsidRPr="00A73658">
              <w:rPr>
                <w:sz w:val="20"/>
                <w:szCs w:val="20"/>
              </w:rPr>
              <w:lastRenderedPageBreak/>
              <w:t>Any artificial system that performs tasks under varying and unpredictable circumstances without significant human oversight, or that can learn from experience and improve performance when exposed to data sets.</w:t>
            </w:r>
            <w:sdt>
              <w:sdtPr>
                <w:rPr>
                  <w:sz w:val="20"/>
                  <w:szCs w:val="20"/>
                </w:rPr>
                <w:id w:val="1980499285"/>
                <w:citation/>
              </w:sdtPr>
              <w:sdtEndPr/>
              <w:sdtContent>
                <w:r>
                  <w:rPr>
                    <w:sz w:val="20"/>
                    <w:szCs w:val="20"/>
                  </w:rPr>
                  <w:fldChar w:fldCharType="begin"/>
                </w:r>
                <w:r>
                  <w:rPr>
                    <w:sz w:val="20"/>
                    <w:szCs w:val="20"/>
                  </w:rPr>
                  <w:instrText xml:space="preserve"> CITATION DAU \l 1033  \m USC19</w:instrText>
                </w:r>
                <w:r>
                  <w:rPr>
                    <w:sz w:val="20"/>
                    <w:szCs w:val="20"/>
                  </w:rPr>
                  <w:fldChar w:fldCharType="separate"/>
                </w:r>
                <w:r>
                  <w:rPr>
                    <w:noProof/>
                    <w:sz w:val="20"/>
                    <w:szCs w:val="20"/>
                  </w:rPr>
                  <w:t xml:space="preserve"> </w:t>
                </w:r>
                <w:r w:rsidRPr="00BA2076">
                  <w:rPr>
                    <w:noProof/>
                    <w:sz w:val="20"/>
                    <w:szCs w:val="20"/>
                  </w:rPr>
                  <w:t>[8, 12]</w:t>
                </w:r>
                <w:r>
                  <w:rPr>
                    <w:sz w:val="20"/>
                    <w:szCs w:val="20"/>
                  </w:rPr>
                  <w:fldChar w:fldCharType="end"/>
                </w:r>
              </w:sdtContent>
            </w:sdt>
          </w:p>
        </w:tc>
        <w:tc>
          <w:tcPr>
            <w:tcW w:w="4675" w:type="dxa"/>
            <w:vAlign w:val="center"/>
          </w:tcPr>
          <w:p w14:paraId="7867CBCF" w14:textId="77777777" w:rsidR="006800C5" w:rsidRPr="00A73658" w:rsidRDefault="006800C5" w:rsidP="00132299">
            <w:pPr>
              <w:ind w:firstLine="0"/>
              <w:jc w:val="center"/>
            </w:pPr>
            <w:r w:rsidRPr="00A73658">
              <w:t>10 U.S. Code § 2358</w:t>
            </w:r>
          </w:p>
        </w:tc>
      </w:tr>
      <w:tr w:rsidR="006800C5" w14:paraId="5D816E5E" w14:textId="77777777" w:rsidTr="00132299">
        <w:tc>
          <w:tcPr>
            <w:tcW w:w="4675" w:type="dxa"/>
          </w:tcPr>
          <w:p w14:paraId="207DA907" w14:textId="77777777" w:rsidR="006800C5" w:rsidRPr="00A73658" w:rsidRDefault="006800C5" w:rsidP="00132299">
            <w:pPr>
              <w:ind w:firstLine="0"/>
              <w:rPr>
                <w:sz w:val="20"/>
                <w:szCs w:val="20"/>
              </w:rPr>
            </w:pPr>
            <w:r w:rsidRPr="00A73658">
              <w:rPr>
                <w:sz w:val="20"/>
                <w:szCs w:val="20"/>
              </w:rPr>
              <w:t>Software and/or hardware that can learn to solve complex problems, make predictions, or undertake tasks that require human-like sensing (such as vision, speech, and touch), perception, cognition, planning, learning, communication, or physical action.</w:t>
            </w:r>
            <w:sdt>
              <w:sdtPr>
                <w:rPr>
                  <w:sz w:val="20"/>
                  <w:szCs w:val="20"/>
                </w:rPr>
                <w:id w:val="1946429342"/>
                <w:citation/>
              </w:sdtPr>
              <w:sdtEndPr/>
              <w:sdtContent>
                <w:r>
                  <w:rPr>
                    <w:sz w:val="20"/>
                    <w:szCs w:val="20"/>
                  </w:rPr>
                  <w:fldChar w:fldCharType="begin"/>
                </w:r>
                <w:r>
                  <w:rPr>
                    <w:sz w:val="20"/>
                    <w:szCs w:val="20"/>
                  </w:rPr>
                  <w:instrText xml:space="preserve"> CITATION DAU \l 1033 </w:instrText>
                </w:r>
                <w:r>
                  <w:rPr>
                    <w:sz w:val="20"/>
                    <w:szCs w:val="20"/>
                  </w:rPr>
                  <w:fldChar w:fldCharType="separate"/>
                </w:r>
                <w:r>
                  <w:rPr>
                    <w:noProof/>
                    <w:sz w:val="20"/>
                    <w:szCs w:val="20"/>
                  </w:rPr>
                  <w:t xml:space="preserve"> </w:t>
                </w:r>
                <w:r w:rsidRPr="00BA2076">
                  <w:rPr>
                    <w:noProof/>
                    <w:sz w:val="20"/>
                    <w:szCs w:val="20"/>
                  </w:rPr>
                  <w:t>[8]</w:t>
                </w:r>
                <w:r>
                  <w:rPr>
                    <w:sz w:val="20"/>
                    <w:szCs w:val="20"/>
                  </w:rPr>
                  <w:fldChar w:fldCharType="end"/>
                </w:r>
              </w:sdtContent>
            </w:sdt>
            <w:r>
              <w:rPr>
                <w:sz w:val="20"/>
                <w:szCs w:val="20"/>
              </w:rPr>
              <w:t xml:space="preserve"> </w:t>
            </w:r>
            <w:r w:rsidRPr="00026EFB">
              <w:rPr>
                <w:b/>
                <w:bCs/>
                <w:i/>
                <w:iCs/>
                <w:sz w:val="20"/>
                <w:szCs w:val="20"/>
                <w:u w:val="single"/>
              </w:rPr>
              <w:t>(NEED SOURCE HERE)</w:t>
            </w:r>
          </w:p>
        </w:tc>
        <w:tc>
          <w:tcPr>
            <w:tcW w:w="4675" w:type="dxa"/>
            <w:vAlign w:val="center"/>
          </w:tcPr>
          <w:p w14:paraId="0FCA4338" w14:textId="77777777" w:rsidR="006800C5" w:rsidRDefault="006800C5" w:rsidP="00132299">
            <w:pPr>
              <w:ind w:firstLine="0"/>
              <w:jc w:val="center"/>
            </w:pPr>
            <w:r>
              <w:t>National Institute of Standards and Technology (NIST)</w:t>
            </w:r>
          </w:p>
        </w:tc>
      </w:tr>
      <w:tr w:rsidR="006800C5" w14:paraId="6394947C" w14:textId="77777777" w:rsidTr="00132299">
        <w:tc>
          <w:tcPr>
            <w:tcW w:w="4675" w:type="dxa"/>
          </w:tcPr>
          <w:p w14:paraId="497400BD" w14:textId="77777777" w:rsidR="006800C5" w:rsidRDefault="006800C5" w:rsidP="00132299">
            <w:pPr>
              <w:ind w:firstLine="0"/>
            </w:pPr>
            <w:r w:rsidRPr="009A4E17">
              <w:rPr>
                <w:sz w:val="20"/>
                <w:szCs w:val="20"/>
              </w:rPr>
              <w:t>The science and engineering of making intelligent machines, especially intelligent computer programs. It is related to the similar task of using computers to understand human intelligence, but AI does not have to confine itself to methods that are biologically observable.</w:t>
            </w:r>
            <w:r>
              <w:rPr>
                <w:sz w:val="20"/>
                <w:szCs w:val="20"/>
              </w:rPr>
              <w:t xml:space="preserve"> </w:t>
            </w:r>
            <w:sdt>
              <w:sdtPr>
                <w:rPr>
                  <w:sz w:val="20"/>
                  <w:szCs w:val="20"/>
                </w:rPr>
                <w:id w:val="-1752342480"/>
                <w:citation/>
              </w:sdtPr>
              <w:sdtEndPr/>
              <w:sdtContent>
                <w:r>
                  <w:rPr>
                    <w:sz w:val="20"/>
                    <w:szCs w:val="20"/>
                  </w:rPr>
                  <w:fldChar w:fldCharType="begin"/>
                </w:r>
                <w:r>
                  <w:rPr>
                    <w:sz w:val="20"/>
                    <w:szCs w:val="20"/>
                  </w:rPr>
                  <w:instrText xml:space="preserve"> CITATION McC07 \l 1033 </w:instrText>
                </w:r>
                <w:r>
                  <w:rPr>
                    <w:sz w:val="20"/>
                    <w:szCs w:val="20"/>
                  </w:rPr>
                  <w:fldChar w:fldCharType="separate"/>
                </w:r>
                <w:r w:rsidRPr="00BA2076">
                  <w:rPr>
                    <w:noProof/>
                    <w:sz w:val="20"/>
                    <w:szCs w:val="20"/>
                  </w:rPr>
                  <w:t>[13]</w:t>
                </w:r>
                <w:r>
                  <w:rPr>
                    <w:sz w:val="20"/>
                    <w:szCs w:val="20"/>
                  </w:rPr>
                  <w:fldChar w:fldCharType="end"/>
                </w:r>
              </w:sdtContent>
            </w:sdt>
          </w:p>
        </w:tc>
        <w:tc>
          <w:tcPr>
            <w:tcW w:w="4675" w:type="dxa"/>
            <w:vAlign w:val="center"/>
          </w:tcPr>
          <w:p w14:paraId="024D1E6B" w14:textId="77777777" w:rsidR="006800C5" w:rsidRDefault="006800C5" w:rsidP="00132299">
            <w:pPr>
              <w:ind w:firstLine="0"/>
              <w:jc w:val="center"/>
            </w:pPr>
            <w:r>
              <w:t>Professor Emeritus John McCarthy, Who Originally Coined the Term “Artificial Intelligence”</w:t>
            </w:r>
          </w:p>
        </w:tc>
      </w:tr>
      <w:tr w:rsidR="006800C5" w14:paraId="03917221" w14:textId="77777777" w:rsidTr="00132299">
        <w:tc>
          <w:tcPr>
            <w:tcW w:w="4675" w:type="dxa"/>
          </w:tcPr>
          <w:p w14:paraId="561139EE" w14:textId="77777777" w:rsidR="006800C5" w:rsidRPr="009A4E17" w:rsidRDefault="006800C5" w:rsidP="00132299">
            <w:pPr>
              <w:ind w:firstLine="0"/>
              <w:rPr>
                <w:sz w:val="20"/>
                <w:szCs w:val="20"/>
              </w:rPr>
            </w:pPr>
            <w:r>
              <w:t>Artificial Intelligence is defined as a machine-based system that can, for a given set of human-defined objectives, make predictions, recommendations, or decisions influencing real or virtual environments. These systems may incorporate human-based inputs, but operate with varying levels of autonomy</w:t>
            </w:r>
          </w:p>
        </w:tc>
        <w:tc>
          <w:tcPr>
            <w:tcW w:w="4675" w:type="dxa"/>
            <w:vAlign w:val="center"/>
          </w:tcPr>
          <w:p w14:paraId="6DE84AFB" w14:textId="77777777" w:rsidR="006800C5" w:rsidRDefault="006800C5" w:rsidP="00132299">
            <w:pPr>
              <w:ind w:firstLine="0"/>
              <w:jc w:val="center"/>
            </w:pPr>
            <w:r>
              <w:t>U.S. Department of State AI Policy</w:t>
            </w:r>
          </w:p>
        </w:tc>
      </w:tr>
      <w:tr w:rsidR="006800C5" w14:paraId="4AEC7093" w14:textId="77777777" w:rsidTr="00132299">
        <w:tc>
          <w:tcPr>
            <w:tcW w:w="4675" w:type="dxa"/>
          </w:tcPr>
          <w:p w14:paraId="7DD401AC" w14:textId="77777777" w:rsidR="006800C5" w:rsidRPr="009A4E17" w:rsidRDefault="006800C5" w:rsidP="00132299">
            <w:pPr>
              <w:ind w:firstLine="0"/>
              <w:rPr>
                <w:sz w:val="20"/>
                <w:szCs w:val="20"/>
              </w:rPr>
            </w:pPr>
            <w:r>
              <w:t xml:space="preserve">AI is a set of technologies and engineered systems, including software and/or hardware, that are capable of performing tasks which typically require human-like intelligence. These systems are designed to learn from data and experience in order to solve complex problems, make predictions/decisions, and perform tasks involving human-like functions such as sensing (including vision, speech, and touch), perception, cognition, planning, communication, or physical action. </w:t>
            </w:r>
          </w:p>
        </w:tc>
        <w:tc>
          <w:tcPr>
            <w:tcW w:w="4675" w:type="dxa"/>
            <w:vAlign w:val="center"/>
          </w:tcPr>
          <w:p w14:paraId="495131B3" w14:textId="77777777" w:rsidR="006800C5" w:rsidRDefault="006800C5" w:rsidP="00132299">
            <w:pPr>
              <w:ind w:firstLine="0"/>
              <w:jc w:val="center"/>
            </w:pPr>
            <w:r>
              <w:t>National Institute of Standards and Technology (NIST)</w:t>
            </w:r>
          </w:p>
        </w:tc>
      </w:tr>
      <w:tr w:rsidR="006800C5" w14:paraId="4D0433DE" w14:textId="77777777" w:rsidTr="00132299">
        <w:tc>
          <w:tcPr>
            <w:tcW w:w="4675" w:type="dxa"/>
          </w:tcPr>
          <w:p w14:paraId="6BA79B5B" w14:textId="77777777" w:rsidR="006800C5" w:rsidRPr="009A4E17" w:rsidRDefault="006800C5" w:rsidP="00132299">
            <w:pPr>
              <w:ind w:firstLine="0"/>
              <w:rPr>
                <w:sz w:val="20"/>
                <w:szCs w:val="20"/>
              </w:rPr>
            </w:pPr>
            <w:r>
              <w:t>AI refers to a machine-based system that can, for a given set of human-defined objectives, make predictions, recommendations, or decisions that influence real or virtual environments. These systems rely on machine-based and/or human-based inputs to perceive both physical and digital environments, transform those perceptions into internal models through automated analysis, and use those models to suggest options for information or action.</w:t>
            </w:r>
          </w:p>
        </w:tc>
        <w:tc>
          <w:tcPr>
            <w:tcW w:w="4675" w:type="dxa"/>
            <w:vAlign w:val="center"/>
          </w:tcPr>
          <w:p w14:paraId="17FFD7BD" w14:textId="77777777" w:rsidR="006800C5" w:rsidRDefault="006800C5" w:rsidP="00132299">
            <w:pPr>
              <w:ind w:firstLine="0"/>
              <w:jc w:val="center"/>
            </w:pPr>
            <w:r>
              <w:t>15 U.S.C. § 9401 (National AI Initiative Act)</w:t>
            </w:r>
          </w:p>
        </w:tc>
      </w:tr>
      <w:tr w:rsidR="006800C5" w14:paraId="3D848BFA" w14:textId="77777777" w:rsidTr="00132299">
        <w:tc>
          <w:tcPr>
            <w:tcW w:w="4675" w:type="dxa"/>
          </w:tcPr>
          <w:p w14:paraId="3546AD0E" w14:textId="77777777" w:rsidR="006800C5" w:rsidRPr="009A4E17" w:rsidRDefault="006800C5" w:rsidP="00132299">
            <w:pPr>
              <w:ind w:firstLine="0"/>
              <w:rPr>
                <w:sz w:val="20"/>
                <w:szCs w:val="20"/>
              </w:rPr>
            </w:pPr>
            <w:r>
              <w:t xml:space="preserve">AI standardization addresses the development of foundational terminology, integration guidance, and frameworks that ensure AI systems are </w:t>
            </w:r>
            <w:r>
              <w:lastRenderedPageBreak/>
              <w:t xml:space="preserve">trustworthy, usable, and ethically deployed. Their scope covers the entire AI lifecycle, from data curation through algorithmic processing within software and hardware, and is supported by a global committee of industry, academic, and governmental experts. </w:t>
            </w:r>
          </w:p>
        </w:tc>
        <w:tc>
          <w:tcPr>
            <w:tcW w:w="4675" w:type="dxa"/>
            <w:vAlign w:val="center"/>
          </w:tcPr>
          <w:p w14:paraId="7369D104" w14:textId="77777777" w:rsidR="006800C5" w:rsidRDefault="006800C5" w:rsidP="00132299">
            <w:pPr>
              <w:ind w:firstLine="0"/>
              <w:jc w:val="center"/>
            </w:pPr>
            <w:r>
              <w:lastRenderedPageBreak/>
              <w:t>ISO/IEC JTC 1/SC 42 (AI Standards Committee)</w:t>
            </w:r>
          </w:p>
        </w:tc>
      </w:tr>
      <w:tr w:rsidR="006800C5" w14:paraId="36262F0F" w14:textId="77777777" w:rsidTr="00132299">
        <w:tc>
          <w:tcPr>
            <w:tcW w:w="4675" w:type="dxa"/>
          </w:tcPr>
          <w:p w14:paraId="20FAC3AC" w14:textId="77777777" w:rsidR="006800C5" w:rsidRPr="009A4E17" w:rsidRDefault="006800C5" w:rsidP="00132299">
            <w:pPr>
              <w:ind w:firstLine="0"/>
              <w:rPr>
                <w:sz w:val="20"/>
                <w:szCs w:val="20"/>
              </w:rPr>
            </w:pPr>
            <w:r>
              <w:t>AI is computational techniques that simulate human cognitive capabilities, spanning subsystems such as machine learning, neural networks, and statistical analytics. Emphasizing that today’s AI systems are more task-specific (narrow AI), although future aspirations aim toward more general abilities. It highlights capabilities such as visual perception, speech recognition, language translation, planning, and decision-making</w:t>
            </w:r>
          </w:p>
        </w:tc>
        <w:tc>
          <w:tcPr>
            <w:tcW w:w="4675" w:type="dxa"/>
            <w:vAlign w:val="center"/>
          </w:tcPr>
          <w:p w14:paraId="4F316CC2" w14:textId="77777777" w:rsidR="006800C5" w:rsidRDefault="006800C5" w:rsidP="00132299">
            <w:pPr>
              <w:ind w:firstLine="0"/>
              <w:jc w:val="center"/>
            </w:pPr>
            <w:r>
              <w:t>GSA AI Guide for Government</w:t>
            </w:r>
          </w:p>
        </w:tc>
      </w:tr>
      <w:tr w:rsidR="006800C5" w14:paraId="64027F81" w14:textId="77777777" w:rsidTr="00132299">
        <w:tc>
          <w:tcPr>
            <w:tcW w:w="4675" w:type="dxa"/>
          </w:tcPr>
          <w:p w14:paraId="71E83175" w14:textId="77777777" w:rsidR="006800C5" w:rsidRPr="009A4E17" w:rsidRDefault="006800C5" w:rsidP="00132299">
            <w:pPr>
              <w:ind w:firstLine="0"/>
              <w:rPr>
                <w:sz w:val="20"/>
                <w:szCs w:val="20"/>
              </w:rPr>
            </w:pPr>
            <w:r>
              <w:t xml:space="preserve">AI is an engineered system that generates outputs such as content, forecasts, recommendations or decisions for a given set of human-defined objectives. These systems operate with varying levels of autonomy and are designed to perform tasks by processing data, learning from it, and continuously improving their performance. Emphasizing that AI systems encompass a range of computational methods such as machine learning, logic-based reasoning, and statistical analysis, allowing them to model real-world scenarios and make predictions or decisions under uncertainty. </w:t>
            </w:r>
          </w:p>
        </w:tc>
        <w:tc>
          <w:tcPr>
            <w:tcW w:w="4675" w:type="dxa"/>
            <w:vAlign w:val="center"/>
          </w:tcPr>
          <w:p w14:paraId="73BE3BA1" w14:textId="77777777" w:rsidR="006800C5" w:rsidRDefault="006800C5" w:rsidP="00132299">
            <w:pPr>
              <w:ind w:firstLine="0"/>
              <w:jc w:val="center"/>
            </w:pPr>
            <w:r>
              <w:t>ISO/IEC 22989:2022 — “Artificial intelligence system”</w:t>
            </w:r>
          </w:p>
        </w:tc>
      </w:tr>
      <w:tr w:rsidR="006800C5" w14:paraId="2B421027" w14:textId="77777777" w:rsidTr="00132299">
        <w:tc>
          <w:tcPr>
            <w:tcW w:w="4675" w:type="dxa"/>
          </w:tcPr>
          <w:p w14:paraId="4EE266FB" w14:textId="77777777" w:rsidR="006800C5" w:rsidRPr="009A4E17" w:rsidRDefault="006800C5" w:rsidP="00132299">
            <w:pPr>
              <w:ind w:firstLine="0"/>
              <w:rPr>
                <w:sz w:val="20"/>
                <w:szCs w:val="20"/>
              </w:rPr>
            </w:pPr>
            <w:r>
              <w:t xml:space="preserve">AI is a machine-based system used to make estimations, predictions, recommendations or decisions to influence real or virtual environments.These systems use data inputs from machines, sensors, or humans to perceive real and virtual environments, convert that input into internal models via automated analysis, and use model inference to suggest options for information or action. Including capabilities such as algorithmic perception, predictive analytics, machine learning, and decision support functions. </w:t>
            </w:r>
          </w:p>
        </w:tc>
        <w:tc>
          <w:tcPr>
            <w:tcW w:w="4675" w:type="dxa"/>
            <w:vAlign w:val="center"/>
          </w:tcPr>
          <w:p w14:paraId="5E959355" w14:textId="77777777" w:rsidR="006800C5" w:rsidRDefault="006800C5" w:rsidP="00132299">
            <w:pPr>
              <w:ind w:firstLine="0"/>
              <w:jc w:val="center"/>
            </w:pPr>
            <w:r>
              <w:t xml:space="preserve">Federal Aviation Administration – “Roadmap for Artificial Intelligence Safety Assurance” (2024) </w:t>
            </w:r>
          </w:p>
        </w:tc>
      </w:tr>
      <w:tr w:rsidR="006800C5" w14:paraId="26AC0214" w14:textId="77777777" w:rsidTr="00132299">
        <w:tc>
          <w:tcPr>
            <w:tcW w:w="4675" w:type="dxa"/>
          </w:tcPr>
          <w:p w14:paraId="20726DB4" w14:textId="77777777" w:rsidR="006800C5" w:rsidRPr="009A4E17" w:rsidRDefault="006800C5" w:rsidP="00132299">
            <w:pPr>
              <w:ind w:firstLine="0"/>
              <w:rPr>
                <w:sz w:val="20"/>
                <w:szCs w:val="20"/>
              </w:rPr>
            </w:pPr>
            <w:r>
              <w:t xml:space="preserve">AI is technology that can, for a given set of human-defined objectives, generate outputs such as content, predictions, recommendations or decisions influencing the environments they interact with. AI capabilities include sensing, perception, reasoning, predictive forecasting, and decision-making, often through a combination of data-driven and symbolic techniques. The roadmap is meant to help check and approve the safe use of </w:t>
            </w:r>
            <w:r>
              <w:lastRenderedPageBreak/>
              <w:t>important aviation systems (runway detection, self-guided flight planning, automated air traffic control, and tools that help assess risks) so they follow aviation safety rules.</w:t>
            </w:r>
          </w:p>
        </w:tc>
        <w:tc>
          <w:tcPr>
            <w:tcW w:w="4675" w:type="dxa"/>
            <w:vAlign w:val="center"/>
          </w:tcPr>
          <w:p w14:paraId="60E75B72" w14:textId="77777777" w:rsidR="006800C5" w:rsidRDefault="006800C5" w:rsidP="00132299">
            <w:pPr>
              <w:ind w:firstLine="0"/>
              <w:jc w:val="center"/>
            </w:pPr>
            <w:r>
              <w:lastRenderedPageBreak/>
              <w:t>European Union Aviation Safety Agency – Artificial Intelligence Roadmap 2.0</w:t>
            </w:r>
          </w:p>
        </w:tc>
      </w:tr>
      <w:tr w:rsidR="006800C5" w14:paraId="39F2F536" w14:textId="77777777" w:rsidTr="00132299">
        <w:tc>
          <w:tcPr>
            <w:tcW w:w="4675" w:type="dxa"/>
          </w:tcPr>
          <w:p w14:paraId="2FD86EB1" w14:textId="77777777" w:rsidR="006800C5" w:rsidRPr="009A4E17" w:rsidRDefault="006800C5" w:rsidP="00132299">
            <w:pPr>
              <w:ind w:firstLine="0"/>
              <w:rPr>
                <w:sz w:val="20"/>
                <w:szCs w:val="20"/>
              </w:rPr>
            </w:pPr>
            <w:r>
              <w:t xml:space="preserve">AI refers to technologies that enable machines to perform tasks typically requiring human intelligence. Allowing systems to process and analyze data, learn from experience, and adapt to new information in order to make decisions or recommendations. NATO highlights that AI is central to enhancing decision-making and operational effectiveness in defense contexts. AI systems can include capabilities such as perception, reasoning, learning, and autonomous action, and they are developed to operate in complex and uncertain environments. </w:t>
            </w:r>
          </w:p>
        </w:tc>
        <w:tc>
          <w:tcPr>
            <w:tcW w:w="4675" w:type="dxa"/>
            <w:vAlign w:val="center"/>
          </w:tcPr>
          <w:p w14:paraId="1D1B4356" w14:textId="77777777" w:rsidR="006800C5" w:rsidRDefault="006800C5" w:rsidP="00132299">
            <w:pPr>
              <w:ind w:firstLine="0"/>
              <w:jc w:val="center"/>
            </w:pPr>
            <w:r>
              <w:t>NATO — Artificial Intelligence Strategy (Adopted/Updated)</w:t>
            </w:r>
          </w:p>
        </w:tc>
      </w:tr>
      <w:tr w:rsidR="006800C5" w14:paraId="1A1AF479" w14:textId="77777777" w:rsidTr="00132299">
        <w:tc>
          <w:tcPr>
            <w:tcW w:w="4675" w:type="dxa"/>
          </w:tcPr>
          <w:p w14:paraId="38B5F095" w14:textId="77777777" w:rsidR="006800C5" w:rsidRPr="009A4E17" w:rsidRDefault="006800C5" w:rsidP="00132299">
            <w:pPr>
              <w:ind w:firstLine="0"/>
              <w:rPr>
                <w:sz w:val="20"/>
                <w:szCs w:val="20"/>
              </w:rPr>
            </w:pPr>
            <w:r>
              <w:t xml:space="preserve">AI is a discipline of creating behavior that mimics aspects of human decisions at the machine level. These machine-hosted intelligences are designed to “increase the effectiveness and efficiency of controlling other devices or creating insight through problem solving and analysis. Machine Learning addresses the development of methods for a computer to ‘learn’, to acquire and retain new skills or knowledge with the objective of generalization. Emphasizing that AI applications in aviation have been more oriented toward continuously improving the performance of specific engineering systems during their operating life cycle, and that assuring the safety of such systems cannot rely on traditional aviation design assurance. </w:t>
            </w:r>
          </w:p>
        </w:tc>
        <w:tc>
          <w:tcPr>
            <w:tcW w:w="4675" w:type="dxa"/>
            <w:vAlign w:val="center"/>
          </w:tcPr>
          <w:p w14:paraId="36DB6769" w14:textId="77777777" w:rsidR="006800C5" w:rsidRDefault="006800C5" w:rsidP="00132299">
            <w:pPr>
              <w:ind w:firstLine="0"/>
              <w:jc w:val="center"/>
            </w:pPr>
            <w:r>
              <w:t xml:space="preserve">FAA – Technical Discipline: Artificial Intelligence – Machine Learning </w:t>
            </w:r>
          </w:p>
        </w:tc>
      </w:tr>
      <w:tr w:rsidR="006800C5" w14:paraId="6A64CEA8" w14:textId="77777777" w:rsidTr="00132299">
        <w:tc>
          <w:tcPr>
            <w:tcW w:w="4675" w:type="dxa"/>
          </w:tcPr>
          <w:p w14:paraId="17218AD2" w14:textId="77777777" w:rsidR="006800C5" w:rsidRDefault="006800C5" w:rsidP="00132299">
            <w:pPr>
              <w:ind w:firstLine="0"/>
            </w:pPr>
            <w:r>
              <w:t xml:space="preserve">An AI system is a machine-based system that, for explicit or implicit objectives, infers, from the input it receives, how to generate outputs such as predictions, content, recommendations, or decisions that can influence physical or virtual environments. These systems can vary in their levels of autonomy and adaptiveness after deployment, encompassing techniques such as machine learning, neural networks, and adaptive or autonomous decision-making. </w:t>
            </w:r>
          </w:p>
        </w:tc>
        <w:tc>
          <w:tcPr>
            <w:tcW w:w="4675" w:type="dxa"/>
            <w:vAlign w:val="center"/>
          </w:tcPr>
          <w:p w14:paraId="7CD74AFD" w14:textId="77777777" w:rsidR="006800C5" w:rsidRDefault="006800C5" w:rsidP="00132299">
            <w:pPr>
              <w:ind w:firstLine="0"/>
              <w:jc w:val="center"/>
            </w:pPr>
            <w:r>
              <w:t>Australian Government – Digital Transformation Agency (DTA)</w:t>
            </w:r>
          </w:p>
        </w:tc>
      </w:tr>
      <w:tr w:rsidR="006800C5" w14:paraId="1FEBF0F4" w14:textId="77777777" w:rsidTr="00132299">
        <w:tc>
          <w:tcPr>
            <w:tcW w:w="4675" w:type="dxa"/>
          </w:tcPr>
          <w:p w14:paraId="385901E3" w14:textId="77777777" w:rsidR="006800C5" w:rsidRDefault="006800C5" w:rsidP="00132299">
            <w:pPr>
              <w:ind w:firstLine="0"/>
            </w:pPr>
            <w:r>
              <w:t xml:space="preserve">AI is a technological system that, autonomously or partly autonomously, processes data related to human activities through the use of a genetic algorithm, a neural network, machine learning or another technique to generate content or make </w:t>
            </w:r>
            <w:r>
              <w:lastRenderedPageBreak/>
              <w:t>decisions, recommendations or predictions. It includes AI techniques like genetic algorithms, neural networks, and machine learning, and emphasizes both full and partial autonomy in system operation. It highlights AI’s role in generating content, making predictions, providing recommendations, and supporting decision-making based on human-related data.</w:t>
            </w:r>
          </w:p>
        </w:tc>
        <w:tc>
          <w:tcPr>
            <w:tcW w:w="4675" w:type="dxa"/>
            <w:vAlign w:val="center"/>
          </w:tcPr>
          <w:p w14:paraId="49AA28CC" w14:textId="77777777" w:rsidR="006800C5" w:rsidRDefault="006800C5" w:rsidP="00132299">
            <w:pPr>
              <w:ind w:firstLine="0"/>
              <w:jc w:val="center"/>
            </w:pPr>
            <w:r>
              <w:lastRenderedPageBreak/>
              <w:t xml:space="preserve">Government of Canada – Innovation, Science and Economic Development (ISED), Artificial Intelligence and Data Act (AIDA) Companion Document </w:t>
            </w:r>
          </w:p>
        </w:tc>
      </w:tr>
      <w:tr w:rsidR="006800C5" w14:paraId="3DBB4F3C" w14:textId="77777777" w:rsidTr="00132299">
        <w:tc>
          <w:tcPr>
            <w:tcW w:w="4675" w:type="dxa"/>
          </w:tcPr>
          <w:p w14:paraId="3987881F" w14:textId="77777777" w:rsidR="006800C5" w:rsidRDefault="006800C5" w:rsidP="00132299">
            <w:pPr>
              <w:ind w:firstLine="0"/>
            </w:pPr>
            <w:r>
              <w:t xml:space="preserve">AI is the use of digital technology to create systems capable of performing tasks commonly thought to require intelligence and a collection of interrelated technologies used to solve problems autonomously and perform tasks to achieve defined objectives without explicit guidance from humans. They range from predictive algorithms and machine learning to complex robotics, involving learning by that system, via supervised or unsupervised methods, using statistics to find patterns in large amounts of data, and possessing the ability to perform repetitive tasks with data without the need for constant human guidance. </w:t>
            </w:r>
          </w:p>
        </w:tc>
        <w:tc>
          <w:tcPr>
            <w:tcW w:w="4675" w:type="dxa"/>
            <w:vAlign w:val="center"/>
          </w:tcPr>
          <w:p w14:paraId="1F7DF20B" w14:textId="77777777" w:rsidR="006800C5" w:rsidRDefault="006800C5" w:rsidP="00132299">
            <w:pPr>
              <w:ind w:firstLine="0"/>
              <w:jc w:val="center"/>
            </w:pPr>
            <w:r>
              <w:t xml:space="preserve">United Kingdom – Office for Artificial Intelligence </w:t>
            </w:r>
          </w:p>
        </w:tc>
      </w:tr>
      <w:tr w:rsidR="006800C5" w14:paraId="261444CD" w14:textId="77777777" w:rsidTr="00132299">
        <w:tc>
          <w:tcPr>
            <w:tcW w:w="4675" w:type="dxa"/>
          </w:tcPr>
          <w:p w14:paraId="55DB9653" w14:textId="77777777" w:rsidR="006800C5" w:rsidRDefault="006800C5" w:rsidP="00132299">
            <w:pPr>
              <w:ind w:firstLine="0"/>
            </w:pPr>
            <w:r>
              <w:t>Artificial Intelligence (AI) refers to the study and use of intelligent machine learning to mimic human action and thought. The development of AI relies on the availability of Big Data, advances in computing, and the invention of new algorithms, and its applications span sectors like healthcare and banking—implying that this technology includes various capabilities such as pattern recognition, predictive analytics, adaptive decision-making, as well as intelligent automation.</w:t>
            </w:r>
          </w:p>
        </w:tc>
        <w:tc>
          <w:tcPr>
            <w:tcW w:w="4675" w:type="dxa"/>
            <w:vAlign w:val="center"/>
          </w:tcPr>
          <w:p w14:paraId="6422CCB6" w14:textId="77777777" w:rsidR="006800C5" w:rsidRDefault="006800C5" w:rsidP="00132299">
            <w:pPr>
              <w:ind w:firstLine="0"/>
              <w:jc w:val="center"/>
            </w:pPr>
            <w:r>
              <w:t>Singapore – Infocomm Media Development Authority (IMDA)</w:t>
            </w:r>
          </w:p>
        </w:tc>
      </w:tr>
      <w:tr w:rsidR="006800C5" w14:paraId="4F85C763" w14:textId="77777777" w:rsidTr="00132299">
        <w:tc>
          <w:tcPr>
            <w:tcW w:w="4675" w:type="dxa"/>
          </w:tcPr>
          <w:p w14:paraId="72A0286A" w14:textId="77777777" w:rsidR="006800C5" w:rsidRDefault="006800C5" w:rsidP="00132299">
            <w:pPr>
              <w:ind w:firstLine="0"/>
            </w:pPr>
            <w:r>
              <w:t xml:space="preserve">Artificial intelligence (AI) is both a technology as well as a scientific discipline that brings together multiple approaches and techniques, including machine learning, machine reasoning, and robotics. AI systems are software and hardware applications that demonstrate rational behavior in either the physical or digital dimension. This means they perceive and analyze their environment and, with a certain degree of autonomy, act in ways that are directed toward achieving specific goals. </w:t>
            </w:r>
          </w:p>
        </w:tc>
        <w:tc>
          <w:tcPr>
            <w:tcW w:w="4675" w:type="dxa"/>
            <w:vAlign w:val="center"/>
          </w:tcPr>
          <w:p w14:paraId="053B5057" w14:textId="77777777" w:rsidR="006800C5" w:rsidRDefault="006800C5" w:rsidP="00132299">
            <w:pPr>
              <w:ind w:firstLine="0"/>
              <w:jc w:val="center"/>
            </w:pPr>
            <w:r>
              <w:t>Germany – Federal Office for Information Security (BSI)</w:t>
            </w:r>
          </w:p>
        </w:tc>
      </w:tr>
      <w:tr w:rsidR="006800C5" w14:paraId="75A9D599" w14:textId="77777777" w:rsidTr="00132299">
        <w:tc>
          <w:tcPr>
            <w:tcW w:w="4675" w:type="dxa"/>
          </w:tcPr>
          <w:p w14:paraId="5A3EFA21" w14:textId="77777777" w:rsidR="006800C5" w:rsidRDefault="006800C5" w:rsidP="00132299">
            <w:pPr>
              <w:ind w:firstLine="0"/>
            </w:pPr>
            <w:r>
              <w:t xml:space="preserve">AI is a broad field of computer science involving the development of computer systems that are capable of performing tasks that typically require human intelligence, such as visual perception, speech recognition, decision-making, and translation between languages. Further elaborating </w:t>
            </w:r>
            <w:r>
              <w:lastRenderedPageBreak/>
              <w:t xml:space="preserve">that AI includes a wide array of applications, encompassing robotics, natural language processing, expert systems, gaming, virtual reality, and critical domains such as medical diagnosis, self-driving vehicles, and financial trading, illustrating both what AI is and what it includes across diverse, real-world use cases. </w:t>
            </w:r>
          </w:p>
        </w:tc>
        <w:tc>
          <w:tcPr>
            <w:tcW w:w="4675" w:type="dxa"/>
            <w:vAlign w:val="center"/>
          </w:tcPr>
          <w:p w14:paraId="3D0EA3AC" w14:textId="77777777" w:rsidR="006800C5" w:rsidRDefault="006800C5" w:rsidP="00132299">
            <w:pPr>
              <w:ind w:firstLine="0"/>
              <w:jc w:val="center"/>
            </w:pPr>
            <w:r>
              <w:lastRenderedPageBreak/>
              <w:t>India – IndiaAI Portal (Government-supported initiative)</w:t>
            </w:r>
          </w:p>
        </w:tc>
      </w:tr>
      <w:tr w:rsidR="006800C5" w14:paraId="6447F36D" w14:textId="77777777" w:rsidTr="00132299">
        <w:tc>
          <w:tcPr>
            <w:tcW w:w="4675" w:type="dxa"/>
          </w:tcPr>
          <w:p w14:paraId="0F743FCD" w14:textId="77777777" w:rsidR="006800C5" w:rsidRDefault="006800C5" w:rsidP="00132299">
            <w:pPr>
              <w:ind w:firstLine="0"/>
            </w:pPr>
            <w:r>
              <w:t>AI is defined as the use of digital technologies to create systems capable of performing tasks that would otherwise require human intelligence. This includes systems that can recognize speech, images, or patterns; make predictions and decisions; as well as adapt to new inputs. AI encompasses a wide range of techniques such as machine learning, natural language processing, and robotics, and it is increasingly applied across areas like healthcare, agriculture, transport, and government services.</w:t>
            </w:r>
          </w:p>
        </w:tc>
        <w:tc>
          <w:tcPr>
            <w:tcW w:w="4675" w:type="dxa"/>
            <w:vAlign w:val="center"/>
          </w:tcPr>
          <w:p w14:paraId="79C060A1" w14:textId="77777777" w:rsidR="006800C5" w:rsidRDefault="006800C5" w:rsidP="00132299">
            <w:pPr>
              <w:ind w:firstLine="0"/>
              <w:jc w:val="center"/>
            </w:pPr>
            <w:r>
              <w:t>New Zealand – Ministry of Business, Innovation &amp; Employment (MBIE)</w:t>
            </w:r>
          </w:p>
        </w:tc>
      </w:tr>
      <w:tr w:rsidR="006800C5" w14:paraId="7ECBE6F2" w14:textId="77777777" w:rsidTr="00132299">
        <w:tc>
          <w:tcPr>
            <w:tcW w:w="4675" w:type="dxa"/>
          </w:tcPr>
          <w:p w14:paraId="37528F04" w14:textId="77777777" w:rsidR="006800C5" w:rsidRDefault="006800C5" w:rsidP="00132299">
            <w:pPr>
              <w:ind w:firstLine="0"/>
            </w:pPr>
            <w:r>
              <w:t xml:space="preserve">AI is a transformative set of technologies that enable machines and computer systems to perform functions that typically require human intelligence. Including capabilities like reasoning, learning, perception, and problem-solving, with applications ranging from digital communication systems and healthcare to finance, agriculture, and public services. Also noting that AI is not limited to a single technology, but is an evolving collection of methods and systems designed to replicate or augment human cognitive functions for societal and economic benefit. </w:t>
            </w:r>
          </w:p>
        </w:tc>
        <w:tc>
          <w:tcPr>
            <w:tcW w:w="4675" w:type="dxa"/>
            <w:vAlign w:val="center"/>
          </w:tcPr>
          <w:p w14:paraId="75454DF0" w14:textId="77777777" w:rsidR="006800C5" w:rsidRDefault="006800C5" w:rsidP="00132299">
            <w:pPr>
              <w:ind w:firstLine="0"/>
              <w:jc w:val="center"/>
            </w:pPr>
            <w:r>
              <w:t>South Africa – Speech by Minister of Communications &amp; Digital Technologies</w:t>
            </w:r>
          </w:p>
        </w:tc>
      </w:tr>
      <w:tr w:rsidR="006800C5" w14:paraId="451CDDD7" w14:textId="77777777" w:rsidTr="00132299">
        <w:tc>
          <w:tcPr>
            <w:tcW w:w="4675" w:type="dxa"/>
          </w:tcPr>
          <w:p w14:paraId="6F67CE5E" w14:textId="77777777" w:rsidR="006800C5" w:rsidRDefault="006800C5" w:rsidP="00132299">
            <w:pPr>
              <w:ind w:firstLine="0"/>
            </w:pPr>
            <w:r>
              <w:t xml:space="preserve">AI is a set of technologies enabling machines and computer systems to perform tasks that would normally require human intelligence. Including capabilities like analyzing patterns in large datasets; making predictions; and supporting decision-making in complex scenarios. AI encompasses techniques such as generative AI models and other machine-learning approaches, and it is increasingly applied across federal government operations to enhance service delivery, internal workflows, and mission-critical functions. Emphasizes that while AI offers significant benefits, its deployment carries risks including misinformation, privacy concerns, and national security considerations, highlighting the need for careful, responsible implementation. </w:t>
            </w:r>
          </w:p>
        </w:tc>
        <w:tc>
          <w:tcPr>
            <w:tcW w:w="4675" w:type="dxa"/>
            <w:vAlign w:val="center"/>
          </w:tcPr>
          <w:p w14:paraId="7C64E11C" w14:textId="77777777" w:rsidR="006800C5" w:rsidRDefault="006800C5" w:rsidP="00132299">
            <w:pPr>
              <w:ind w:firstLine="0"/>
              <w:jc w:val="center"/>
            </w:pPr>
            <w:r>
              <w:t>United States – U.S. Government Accountability Office (GAO)</w:t>
            </w:r>
          </w:p>
        </w:tc>
      </w:tr>
      <w:tr w:rsidR="006800C5" w14:paraId="016602EC" w14:textId="77777777" w:rsidTr="00132299">
        <w:tc>
          <w:tcPr>
            <w:tcW w:w="4675" w:type="dxa"/>
          </w:tcPr>
          <w:p w14:paraId="7F7765E1" w14:textId="77777777" w:rsidR="006800C5" w:rsidRDefault="006800C5" w:rsidP="00132299">
            <w:pPr>
              <w:ind w:firstLine="0"/>
            </w:pPr>
            <w:r>
              <w:lastRenderedPageBreak/>
              <w:t xml:space="preserve">AI refers to information-processing technologies that integrate models and algorithms capable of learning and performing cognitive tasks such as prediction and decision-making in material and virtual environments. These systems operate with varying degrees of autonomy, using knowledge modelling, data analysis, and correlation-based computation to produce intelligent behavior. AI encompasses a range of computational techniques, including machine learning, neural networks, and reasoning systems, that enable autonomous or semi-autonomous performance of human-like functions such as perception, judgment, and adaptive learning. </w:t>
            </w:r>
          </w:p>
        </w:tc>
        <w:tc>
          <w:tcPr>
            <w:tcW w:w="4675" w:type="dxa"/>
            <w:vAlign w:val="center"/>
          </w:tcPr>
          <w:p w14:paraId="228C74B5" w14:textId="77777777" w:rsidR="006800C5" w:rsidRDefault="006800C5" w:rsidP="00132299">
            <w:pPr>
              <w:ind w:firstLine="0"/>
              <w:jc w:val="center"/>
            </w:pPr>
            <w:r>
              <w:t>United Nations Educational, Scientific and Cultural Organization (UNESCO) — Recommendation on the Ethics of Artificial Intelligence</w:t>
            </w:r>
          </w:p>
        </w:tc>
      </w:tr>
      <w:tr w:rsidR="006800C5" w14:paraId="127312DA" w14:textId="77777777" w:rsidTr="00132299">
        <w:tc>
          <w:tcPr>
            <w:tcW w:w="4675" w:type="dxa"/>
          </w:tcPr>
          <w:p w14:paraId="418ACFEE" w14:textId="77777777" w:rsidR="006800C5" w:rsidRDefault="006800C5" w:rsidP="00132299">
            <w:pPr>
              <w:ind w:firstLine="0"/>
            </w:pPr>
            <w:r>
              <w:t xml:space="preserve">AI is defined as a machine-based system designed to operate with varying levels of autonomy and, for explicit or implicit objectives, infer from the inputs it receives how to generate outputs—such as predictions, content, recommendations, or decisions—that influence physical or virtual environments. These systems may exhibit adaptiveness after deployment and rely on a variety of computational approaches, including machine learning, logic-based reasoning, and statistical modelling, to analyze data and guide decision-making. </w:t>
            </w:r>
          </w:p>
        </w:tc>
        <w:tc>
          <w:tcPr>
            <w:tcW w:w="4675" w:type="dxa"/>
            <w:vAlign w:val="center"/>
          </w:tcPr>
          <w:p w14:paraId="0557C026" w14:textId="77777777" w:rsidR="006800C5" w:rsidRDefault="006800C5" w:rsidP="00132299">
            <w:pPr>
              <w:ind w:firstLine="0"/>
              <w:jc w:val="center"/>
            </w:pPr>
            <w:r>
              <w:t xml:space="preserve">European Union — Artificial Intelligence Act </w:t>
            </w:r>
          </w:p>
        </w:tc>
      </w:tr>
      <w:tr w:rsidR="006800C5" w14:paraId="16902421" w14:textId="77777777" w:rsidTr="00132299">
        <w:tc>
          <w:tcPr>
            <w:tcW w:w="4675" w:type="dxa"/>
          </w:tcPr>
          <w:p w14:paraId="63A6ECA4" w14:textId="77777777" w:rsidR="006800C5" w:rsidRDefault="006800C5" w:rsidP="00132299">
            <w:pPr>
              <w:ind w:firstLine="0"/>
            </w:pPr>
            <w:r>
              <w:t xml:space="preserve">AI refers to a machine-based system that, for explicit or implicit objectives, infers from the input it receives how to generate outputs such as predictions, content, recommendations, or decisions that influence physical or virtual environments. These systems vary in their levels of autonomy and adaptiveness after deployment, and they encompass a wide spectrum of computational methods—such as data analytics, pattern recognition, and machine learning—that allow machines to perform complex tasks that traditionally require human intelligence. </w:t>
            </w:r>
          </w:p>
        </w:tc>
        <w:tc>
          <w:tcPr>
            <w:tcW w:w="4675" w:type="dxa"/>
            <w:vAlign w:val="center"/>
          </w:tcPr>
          <w:p w14:paraId="15D1394E" w14:textId="77777777" w:rsidR="006800C5" w:rsidRDefault="006800C5" w:rsidP="00132299">
            <w:pPr>
              <w:ind w:firstLine="0"/>
              <w:jc w:val="center"/>
            </w:pPr>
            <w:r>
              <w:t>United Kingdom Government — Artificial Intelligence Playbook for the UK Government (2025)</w:t>
            </w:r>
          </w:p>
        </w:tc>
      </w:tr>
      <w:tr w:rsidR="006800C5" w14:paraId="7FD38647" w14:textId="77777777" w:rsidTr="00132299">
        <w:tc>
          <w:tcPr>
            <w:tcW w:w="4675" w:type="dxa"/>
          </w:tcPr>
          <w:p w14:paraId="32C6C1B5" w14:textId="77777777" w:rsidR="006800C5" w:rsidRDefault="006800C5" w:rsidP="00132299">
            <w:pPr>
              <w:ind w:firstLine="0"/>
            </w:pPr>
            <w:r>
              <w:t xml:space="preserve">AI is a term describing a range of technologies and computational approaches that aim to replicate aspects of human thought and reasoning to perform complex tasks. AI systems are designed to analyze data, recognize patterns, and solve problems—functions that humans have traditionally performed using cognitive processes such as reasoning, perception, and decision-making. These technologies include machine learning, natural </w:t>
            </w:r>
            <w:r>
              <w:lastRenderedPageBreak/>
              <w:t xml:space="preserve">language processing, and automated decision systems that allow machines to support or augment human judgment in both digital and physical environments. </w:t>
            </w:r>
          </w:p>
        </w:tc>
        <w:tc>
          <w:tcPr>
            <w:tcW w:w="4675" w:type="dxa"/>
            <w:vAlign w:val="center"/>
          </w:tcPr>
          <w:p w14:paraId="0E020DAE" w14:textId="77777777" w:rsidR="006800C5" w:rsidRDefault="006800C5" w:rsidP="00132299">
            <w:pPr>
              <w:ind w:firstLine="0"/>
              <w:jc w:val="center"/>
            </w:pPr>
            <w:r>
              <w:lastRenderedPageBreak/>
              <w:t>United Kingdom — Information Commissioner’s Office (ICO)</w:t>
            </w:r>
          </w:p>
        </w:tc>
      </w:tr>
      <w:tr w:rsidR="006800C5" w14:paraId="31618BB3" w14:textId="77777777" w:rsidTr="00132299">
        <w:tc>
          <w:tcPr>
            <w:tcW w:w="4675" w:type="dxa"/>
          </w:tcPr>
          <w:p w14:paraId="70D3493A" w14:textId="77777777" w:rsidR="006800C5" w:rsidRDefault="006800C5" w:rsidP="00132299">
            <w:pPr>
              <w:ind w:firstLine="0"/>
            </w:pPr>
            <w:r>
              <w:t xml:space="preserve">AI refers to systems and tools adopted by governments that can perform tasks conventionally done by humans, often by using data, models, and algorithmic logic. These systems can assist in government operations, public service delivery, and decision-making across federal, state, and local levels. AI in this context includes technologies used in predictive analytics, automation of routine operations, and algorithmic decision support embedded in governmental workflows. </w:t>
            </w:r>
          </w:p>
        </w:tc>
        <w:tc>
          <w:tcPr>
            <w:tcW w:w="4675" w:type="dxa"/>
            <w:vAlign w:val="center"/>
          </w:tcPr>
          <w:p w14:paraId="74AD2496" w14:textId="77777777" w:rsidR="006800C5" w:rsidRDefault="006800C5" w:rsidP="00132299">
            <w:pPr>
              <w:ind w:firstLine="0"/>
              <w:jc w:val="center"/>
            </w:pPr>
            <w:r>
              <w:t xml:space="preserve">National Conference of State Legislatures, “Artificial Intelligence in Government: The Federal and State Landscape” </w:t>
            </w:r>
          </w:p>
        </w:tc>
      </w:tr>
    </w:tbl>
    <w:p w14:paraId="06391996" w14:textId="77777777" w:rsidR="006800C5" w:rsidRDefault="006800C5" w:rsidP="006800C5">
      <w:r>
        <w:t>Several clear themes emerge from all these definitions. Although the definitions use different wording and emphasize different aspects of AI, they generally describe the same concept: AI is a machine-based or computer-based system that uses data to perform tasks that typically require human intelligence.</w:t>
      </w:r>
    </w:p>
    <w:p w14:paraId="579754E0" w14:textId="77777777" w:rsidR="006800C5" w:rsidRDefault="006800C5" w:rsidP="006800C5">
      <w:r>
        <w:t xml:space="preserve">One of the strongest common themes is that AI systems process information, recognize patterns, and generate outputs such as predictions, recommendations, decisions, or content. Many definitions also highlight that AI systems can learn from data and improve their performance over time. Terms such as "machine-based system," "learning from data," "predictions," "decision-making," and "autonomy" appear often across definitions from organizations such as NIST, the FAA, the European Union, and UNESCO. Another recurring theme is the comparison between AI and human intelligence. Many definitions describe AI as performing tasks that normally require human mental abilities, such as reasoning, problem-solving, language understanding, perception, planning, and learning. However, most definitions do not claim that AI thinks exactly like humans. Instead, they focus on AI as a mimicry of certain human cognitive functions, in which AI imitates, supports, or performs tasks related to human intelligence. Lastly, government and legal definitions, such as those from the European Union AI Act, the National AI Initiative Act, and aviation authorities, focus heavily on independence, responsibility, safety, and the effects of AI systems on physical or virtual environments. </w:t>
      </w:r>
    </w:p>
    <w:p w14:paraId="639FF6DB" w14:textId="77777777" w:rsidR="006800C5" w:rsidRDefault="006800C5" w:rsidP="006800C5">
      <w:r>
        <w:t>Given how dynamic AI is in learning, how it mimics but does not exactly model human cognition, and that humans themselves have an evolving yet incomplete understanding of their own cognition, how can individuals using AI in their aerospace applications ensure they use it in an interoperable and appropriate manner?</w:t>
      </w:r>
    </w:p>
    <w:p w14:paraId="423BF65C" w14:textId="3654FD4A" w:rsidR="006800C5" w:rsidRPr="00975326" w:rsidRDefault="006800C5" w:rsidP="006800C5">
      <w:r>
        <w:t xml:space="preserve">DEIC-CoDADE’s position on this question is that one can ensure appropriate, interoperable use of AI by establishing confidence through validation. </w:t>
      </w:r>
      <w:commentRangeStart w:id="29"/>
      <w:r>
        <w:t xml:space="preserve">Validation of the AI model's application relies on a clear understanding of its intent and purpose. </w:t>
      </w:r>
      <w:commentRangeEnd w:id="29"/>
      <w:r>
        <w:rPr>
          <w:rStyle w:val="CommentReference"/>
          <w:sz w:val="24"/>
          <w:szCs w:val="24"/>
        </w:rPr>
        <w:commentReference w:id="29"/>
      </w:r>
      <w:r>
        <w:t>The intent and purpose of the application drive the requirements for applying AI appropriately and in an interoperable manner, and they also determine how to demonstrate meeting those requirements. In the context of the neural network example from before, validating the AI model also validates the topological component: how individual nodes of the AI relate to each other. The other component to validation is model validation.</w:t>
      </w:r>
    </w:p>
    <w:p w14:paraId="2D4A6CCE" w14:textId="77777777" w:rsidR="006A09B3" w:rsidRDefault="006A09B3" w:rsidP="006A09B3">
      <w:pPr>
        <w:pStyle w:val="Heading3"/>
      </w:pPr>
      <w:r>
        <w:lastRenderedPageBreak/>
        <w:t xml:space="preserve">Role of ML/AI in </w:t>
      </w:r>
      <w:r w:rsidRPr="00975326">
        <w:t>Data-Driven Decision-Making</w:t>
      </w:r>
    </w:p>
    <w:p w14:paraId="1B3CE1CC" w14:textId="77777777" w:rsidR="006A09B3" w:rsidRDefault="006A09B3" w:rsidP="006A09B3">
      <w:r w:rsidRPr="00975326">
        <w:t>Digital engineering enables real-time analysis and simulation of designs before they are physically built. AI-powered models can rapidly process massive data sets, identify optimal solutions, and predict potential issues much earlier than traditional manual methods would allow. This leads to more informed, evidence-based decisions throughout the engineering lifecycle</w:t>
      </w:r>
      <w:r>
        <w:t xml:space="preserve"> </w:t>
      </w:r>
      <w:sdt>
        <w:sdtPr>
          <w:id w:val="-2104493389"/>
          <w:citation/>
        </w:sdtPr>
        <w:sdtEndPr/>
        <w:sdtContent>
          <w:r>
            <w:fldChar w:fldCharType="begin"/>
          </w:r>
          <w:r>
            <w:instrText xml:space="preserve"> CITATION How \l 1033  \m Sim25</w:instrText>
          </w:r>
          <w:r>
            <w:fldChar w:fldCharType="separate"/>
          </w:r>
          <w:r w:rsidRPr="00FF757D">
            <w:rPr>
              <w:noProof/>
            </w:rPr>
            <w:t>[18, 19]</w:t>
          </w:r>
          <w:r>
            <w:fldChar w:fldCharType="end"/>
          </w:r>
        </w:sdtContent>
      </w:sdt>
      <w:r w:rsidRPr="00975326">
        <w:t>.</w:t>
      </w:r>
      <w:r>
        <w:t xml:space="preserve"> </w:t>
      </w:r>
      <w:r w:rsidRPr="00975326">
        <w:t xml:space="preserve">By modeling entire systems virtually, teams </w:t>
      </w:r>
      <w:r>
        <w:t xml:space="preserve">also </w:t>
      </w:r>
      <w:r w:rsidRPr="00975326">
        <w:t xml:space="preserve">gain insight into complex interactions. AI can </w:t>
      </w:r>
      <w:r>
        <w:t xml:space="preserve">also </w:t>
      </w:r>
      <w:r w:rsidRPr="00975326">
        <w:t>uncover patterns and outlier risks that humans might overlook, facilitating proactive mitigation and enabling faster innovation</w:t>
      </w:r>
      <w:sdt>
        <w:sdtPr>
          <w:id w:val="570238787"/>
          <w:citation/>
        </w:sdtPr>
        <w:sdtEndPr/>
        <w:sdtContent>
          <w:r>
            <w:fldChar w:fldCharType="begin"/>
          </w:r>
          <w:r>
            <w:instrText xml:space="preserve">CITATION Sim25 \m Rho24 \l 1033 </w:instrText>
          </w:r>
          <w:r>
            <w:fldChar w:fldCharType="separate"/>
          </w:r>
          <w:r>
            <w:rPr>
              <w:noProof/>
            </w:rPr>
            <w:t xml:space="preserve"> </w:t>
          </w:r>
          <w:r w:rsidRPr="002C7471">
            <w:rPr>
              <w:noProof/>
            </w:rPr>
            <w:t>[19, 20]</w:t>
          </w:r>
          <w:r>
            <w:fldChar w:fldCharType="end"/>
          </w:r>
        </w:sdtContent>
      </w:sdt>
      <w:r w:rsidRPr="00975326">
        <w:t>.</w:t>
      </w:r>
      <w:r>
        <w:t xml:space="preserve"> Additionally, a</w:t>
      </w:r>
      <w:r w:rsidRPr="00975326">
        <w:t>utomated processes, AI-driven optimizations, and virtual testing reduce the need for costly physical prototypes and lengthy manual adjustments. Collaboration is enhanced because all stakeholders work with centralized, up-to-date models, streamlining workflows and minimizing rework</w:t>
      </w:r>
      <w:r>
        <w:t xml:space="preserve"> </w:t>
      </w:r>
      <w:sdt>
        <w:sdtPr>
          <w:id w:val="-298997139"/>
          <w:citation/>
        </w:sdtPr>
        <w:sdtEndPr/>
        <w:sdtContent>
          <w:r>
            <w:fldChar w:fldCharType="begin"/>
          </w:r>
          <w:r>
            <w:instrText xml:space="preserve"> CITATION How \l 1033  \m Sim25 \m Rho24</w:instrText>
          </w:r>
          <w:r>
            <w:fldChar w:fldCharType="separate"/>
          </w:r>
          <w:r w:rsidRPr="002C7471">
            <w:rPr>
              <w:noProof/>
            </w:rPr>
            <w:t>[18, 19, 20]</w:t>
          </w:r>
          <w:r>
            <w:fldChar w:fldCharType="end"/>
          </w:r>
        </w:sdtContent>
      </w:sdt>
      <w:r w:rsidRPr="00975326">
        <w:t>.</w:t>
      </w:r>
      <w:r>
        <w:t xml:space="preserve"> </w:t>
      </w:r>
      <w:r w:rsidRPr="00975326">
        <w:t>Digital engineering connects all phases—design, testing, manufacturing, operation—through digital “threads” that unify data, support traceability, and enable interdisciplinary teams to act on AI-generated insights in real time</w:t>
      </w:r>
      <w:r>
        <w:t xml:space="preserve"> </w:t>
      </w:r>
      <w:sdt>
        <w:sdtPr>
          <w:id w:val="1935080402"/>
          <w:citation/>
        </w:sdtPr>
        <w:sdtEndPr/>
        <w:sdtContent>
          <w:r>
            <w:fldChar w:fldCharType="begin"/>
          </w:r>
          <w:r>
            <w:instrText xml:space="preserve"> CITATION Sim25 \l 1033 </w:instrText>
          </w:r>
          <w:r>
            <w:fldChar w:fldCharType="separate"/>
          </w:r>
          <w:r w:rsidRPr="002C7471">
            <w:rPr>
              <w:noProof/>
            </w:rPr>
            <w:t>[19]</w:t>
          </w:r>
          <w:r>
            <w:fldChar w:fldCharType="end"/>
          </w:r>
        </w:sdtContent>
      </w:sdt>
      <w:r w:rsidRPr="00975326">
        <w:t>.</w:t>
      </w:r>
    </w:p>
    <w:p w14:paraId="09AF031D" w14:textId="77777777" w:rsidR="006A09B3" w:rsidRPr="00975326" w:rsidRDefault="006A09B3" w:rsidP="006A09B3">
      <w:pPr>
        <w:pStyle w:val="Heading3"/>
      </w:pPr>
      <w:r>
        <w:t>Comparing AI Insights to Human Expectations for CoDA</w:t>
      </w:r>
    </w:p>
    <w:p w14:paraId="1A172543" w14:textId="77777777" w:rsidR="006A09B3" w:rsidRDefault="006A09B3" w:rsidP="006A09B3">
      <w:r w:rsidRPr="00975326">
        <w:t>AI excels at pattern recognition, anomaly detection, rapid simulation, and optimization within vast, complex datasets. It offers predictive insights, scenario analysis, and automated design suggestions.</w:t>
      </w:r>
      <w:r>
        <w:t xml:space="preserve"> </w:t>
      </w:r>
      <w:r w:rsidRPr="00975326">
        <w:t xml:space="preserve">AI can </w:t>
      </w:r>
      <w:r>
        <w:t xml:space="preserve">also </w:t>
      </w:r>
      <w:r w:rsidRPr="00975326">
        <w:t>reveal unexpected vulnerabilities or optimization opportunities, supporting adaptive design and rapid iteration.</w:t>
      </w:r>
      <w:r>
        <w:t xml:space="preserve"> </w:t>
      </w:r>
      <w:r w:rsidRPr="00975326">
        <w:t xml:space="preserve">ML tools automate schema matching, error detection, and even adaptive aggregation, making integration and decision-making more robust and less </w:t>
      </w:r>
      <w:r>
        <w:t>error-prone</w:t>
      </w:r>
      <w:r w:rsidRPr="00975326">
        <w:t>.</w:t>
      </w:r>
    </w:p>
    <w:p w14:paraId="04FD37E3" w14:textId="77777777" w:rsidR="006A09B3" w:rsidRPr="00975326" w:rsidRDefault="006A09B3" w:rsidP="006A09B3">
      <w:r>
        <w:t>In contrast, h</w:t>
      </w:r>
      <w:r w:rsidRPr="00975326">
        <w:t>umans often expect engineering results to align with intuition, experience, or incremental improvements relative to established norms.</w:t>
      </w:r>
      <w:r>
        <w:t xml:space="preserve"> </w:t>
      </w:r>
      <w:r w:rsidRPr="00975326">
        <w:t>Human decision-makers can misinterpret AI-derived “unexpected” recommendations or optimizations as counterintuitive or risky, especially if transparency is lacking.</w:t>
      </w:r>
      <w:r>
        <w:t xml:space="preserve"> </w:t>
      </w:r>
      <w:r w:rsidRPr="00975326">
        <w:t>Trust and understanding must be cultivated—effective collaboration relies on engineers</w:t>
      </w:r>
      <w:r>
        <w:t>' ability to interpret, challenge, and validate AI insights using</w:t>
      </w:r>
      <w:r w:rsidRPr="00975326">
        <w:t xml:space="preserve"> their practical knowledge and ethical judgment.</w:t>
      </w:r>
    </w:p>
    <w:p w14:paraId="0155A9F4" w14:textId="77777777" w:rsidR="006A09B3" w:rsidRPr="00975326" w:rsidRDefault="006A09B3" w:rsidP="006A09B3">
      <w:r w:rsidRPr="00975326">
        <w:t>The visual, model-based nature of digital engineering improves clarity and fosters consensus, helping teams align on AI-enabled design choices and outcomes. Ensuring AI insights are interpretable and explainable to human stakeholders is crucial for adoption, confidence, and accountability. Digital engineering succeeds when AI augments (not replaces) human expertise—managing computational speed and holistic system views, while humans set objectives</w:t>
      </w:r>
      <w:r>
        <w:t xml:space="preserve"> and constraints</w:t>
      </w:r>
      <w:r w:rsidRPr="00975326">
        <w:t xml:space="preserve"> and exercise critical oversight.</w:t>
      </w:r>
    </w:p>
    <w:p w14:paraId="4EB7FE0A" w14:textId="4E65A8BE" w:rsidR="006A09B3" w:rsidRDefault="006A09B3" w:rsidP="006A09B3">
      <w:pPr>
        <w:ind w:firstLine="0"/>
      </w:pPr>
      <w:r w:rsidRPr="00975326">
        <w:t>In summary, digital engineering empowers organizations to merge the speed, depth, and adaptability of AI-powered analysis with the creativity, context, and judgment of human engineers. Achieving synergy between AI insights and human expectations is pivotal for unlocking the full potential of digital transformation in engineering</w:t>
      </w:r>
      <w:r>
        <w:t xml:space="preserve"> </w:t>
      </w:r>
      <w:sdt>
        <w:sdtPr>
          <w:id w:val="-406928001"/>
          <w:citation/>
        </w:sdtPr>
        <w:sdtEndPr/>
        <w:sdtContent>
          <w:r>
            <w:fldChar w:fldCharType="begin"/>
          </w:r>
          <w:r>
            <w:instrText xml:space="preserve"> CITATION How \l 1033  \m Sim25 \m Rho24</w:instrText>
          </w:r>
          <w:r>
            <w:fldChar w:fldCharType="separate"/>
          </w:r>
          <w:r w:rsidRPr="002C7471">
            <w:rPr>
              <w:noProof/>
            </w:rPr>
            <w:t>[18, 19, 20]</w:t>
          </w:r>
          <w:r>
            <w:fldChar w:fldCharType="end"/>
          </w:r>
        </w:sdtContent>
      </w:sdt>
      <w:r w:rsidRPr="00975326">
        <w:t>.</w:t>
      </w:r>
    </w:p>
    <w:p w14:paraId="288A497C" w14:textId="77777777" w:rsidR="000E3937" w:rsidRDefault="000E3937" w:rsidP="000E3937">
      <w:pPr>
        <w:pStyle w:val="Heading2"/>
      </w:pPr>
      <w:r>
        <w:t>Methods for Supporting CoDA Ranked by Intrusiveness</w:t>
      </w:r>
    </w:p>
    <w:p w14:paraId="5C31F2B0" w14:textId="77777777" w:rsidR="000E3937" w:rsidRDefault="000E3937" w:rsidP="000E3937">
      <w:pPr>
        <w:spacing w:before="0" w:after="0"/>
        <w:ind w:firstLine="0"/>
      </w:pPr>
      <w:r>
        <w:t>When connecting and coupling models and methods, it can be useful to note the following classification of approaches by intrusiveness.  There is active research in all approaches below, and it is anticipated that they will all be utilized in digital engineering.</w:t>
      </w:r>
    </w:p>
    <w:p w14:paraId="03381F36" w14:textId="77777777" w:rsidR="000E3937" w:rsidRDefault="000E3937" w:rsidP="000E3937">
      <w:pPr>
        <w:pStyle w:val="Heading3"/>
      </w:pPr>
      <w:r>
        <w:lastRenderedPageBreak/>
        <w:t>Hardware/Software Codesign</w:t>
      </w:r>
    </w:p>
    <w:p w14:paraId="677D3014" w14:textId="26544EDF" w:rsidR="00975F8A" w:rsidRDefault="00975F8A" w:rsidP="00641FD3">
      <w:r>
        <w:t>Codesign is an approach employed when modeling problems require paradigm-shifting extreme performance beyond the state of the art. Such problems may arise from intense competition in the technological marketplace or from the transformation of practices</w:t>
      </w:r>
      <w:r w:rsidR="006800C5">
        <w:t xml:space="preserve">, shifting from legacy physical experimentation and testing to </w:t>
      </w:r>
      <w:r>
        <w:t xml:space="preserve">computational alternatives. The National Nuclear Security Administration (NNSA) of the U.S. Department of Energy launched the Advanced Simulation and Computing (ASC) Co-Design Strategy </w:t>
      </w:r>
      <w:sdt>
        <w:sdtPr>
          <w:id w:val="-227384973"/>
          <w:citation/>
        </w:sdtPr>
        <w:sdtEndPr/>
        <w:sdtContent>
          <w:r w:rsidR="00882EDC">
            <w:fldChar w:fldCharType="begin"/>
          </w:r>
          <w:r w:rsidR="00ED46F9">
            <w:instrText xml:space="preserve">CITATION Ang15 \l 1033 </w:instrText>
          </w:r>
          <w:r w:rsidR="00882EDC">
            <w:fldChar w:fldCharType="separate"/>
          </w:r>
          <w:r w:rsidR="00ED46F9" w:rsidRPr="00ED46F9">
            <w:rPr>
              <w:noProof/>
            </w:rPr>
            <w:t>[35]</w:t>
          </w:r>
          <w:r w:rsidR="00882EDC">
            <w:fldChar w:fldCharType="end"/>
          </w:r>
        </w:sdtContent>
      </w:sdt>
      <w:r>
        <w:t xml:space="preserve"> to virtualize science and engineering critical to the nuclear stockpile stewardship mission following the signing of the </w:t>
      </w:r>
      <w:r w:rsidR="006800C5">
        <w:t>International Test Ban Treaty, which forbids</w:t>
      </w:r>
      <w:r>
        <w:t xml:space="preserve"> such physical testing.</w:t>
      </w:r>
    </w:p>
    <w:p w14:paraId="48AA6BF2" w14:textId="2591AE9E" w:rsidR="00975F8A" w:rsidRDefault="00975F8A" w:rsidP="00641FD3">
      <w:r>
        <w:t xml:space="preserve">The software implementing extreme-scale models and simulations must aggressively exploit every bit of performance from hardware </w:t>
      </w:r>
      <w:r w:rsidR="006800C5">
        <w:t>architecture</w:t>
      </w:r>
      <w:r>
        <w:t xml:space="preserve">. By understanding how software performance is critically dependent on hardware design, hardware and software can co-evolve, adopting key optimizations and addressing performance bottlenecks. For example, much of the success of graphics accelerators (GPUs) and AI/ML can be attributed to these efforts. Co-design brings experts together to confront obstacles to breakthroughs: subject-matter experts in problem formulation, algorithm and data experts in software implementation, </w:t>
      </w:r>
      <w:r w:rsidR="006800C5">
        <w:t>hardware architects in system design, and</w:t>
      </w:r>
      <w:r>
        <w:t xml:space="preserve"> vendor product road</w:t>
      </w:r>
      <w:r w:rsidR="006800C5">
        <w:t>-</w:t>
      </w:r>
      <w:r>
        <w:t>mapping. Initial designs may comprise bespoke, tailored solutions but then become generalized to broader problem sets. While the objective is typically model size or solution time, optimizations may also target power, size, reliability, weight, or usability. For example, digital twins may employ local models onboard the physical assets.</w:t>
      </w:r>
    </w:p>
    <w:p w14:paraId="1D0453CB" w14:textId="77777777" w:rsidR="000E3937" w:rsidRDefault="000E3937" w:rsidP="000E3937">
      <w:pPr>
        <w:spacing w:before="0" w:after="0"/>
        <w:ind w:firstLine="0"/>
      </w:pPr>
    </w:p>
    <w:p w14:paraId="4A0F611F" w14:textId="1DCA1BD9" w:rsidR="000E3937" w:rsidRDefault="00ED46F9" w:rsidP="000E3937">
      <w:pPr>
        <w:pStyle w:val="Heading3"/>
        <w:spacing w:before="0" w:after="0"/>
      </w:pPr>
      <w:r>
        <w:t>Mathematical</w:t>
      </w:r>
    </w:p>
    <w:p w14:paraId="3205BF6F" w14:textId="3F92281D" w:rsidR="00641FD3" w:rsidRDefault="00641FD3" w:rsidP="00641FD3">
      <w:r>
        <w:rPr>
          <w:b/>
        </w:rPr>
        <w:t xml:space="preserve">Mathematical </w:t>
      </w:r>
      <w:r>
        <w:t xml:space="preserve">refers to approaches </w:t>
      </w:r>
      <w:r w:rsidR="004772A7">
        <w:t>in which a new system of equations</w:t>
      </w:r>
      <w:r>
        <w:t xml:space="preserve"> is developed. When two models are tightly coupled</w:t>
      </w:r>
      <w:r w:rsidR="006800C5">
        <w:t>,</w:t>
      </w:r>
      <w:r>
        <w:t xml:space="preserve"> and </w:t>
      </w:r>
      <w:r w:rsidR="004772A7">
        <w:t>their effects on each other are substantial, it can be beneficial to derive the mathematics that includes these effects, which may increase degrees of freedom and require a different solver,</w:t>
      </w:r>
      <w:r>
        <w:t xml:space="preserve"> as the system is fundamentally different. This is an intrusive approach as legacy software cannot be applied directly. It requires research and development to be accessible, but </w:t>
      </w:r>
      <w:r w:rsidR="004772A7">
        <w:t xml:space="preserve">it </w:t>
      </w:r>
      <w:r>
        <w:t>has</w:t>
      </w:r>
      <w:r w:rsidR="004772A7">
        <w:t xml:space="preserve"> </w:t>
      </w:r>
      <w:r>
        <w:t>the potential to be more robust than the computational approach.</w:t>
      </w:r>
    </w:p>
    <w:p w14:paraId="68F04360" w14:textId="5C16A24B" w:rsidR="000E3937" w:rsidRDefault="00ED46F9" w:rsidP="000E3937">
      <w:pPr>
        <w:pStyle w:val="Heading3"/>
      </w:pPr>
      <w:r>
        <w:t>Computational</w:t>
      </w:r>
    </w:p>
    <w:p w14:paraId="31734036" w14:textId="45933A96" w:rsidR="00856E40" w:rsidRDefault="00856E40" w:rsidP="00856E40">
      <w:r>
        <w:rPr>
          <w:b/>
        </w:rPr>
        <w:t xml:space="preserve">Computational </w:t>
      </w:r>
      <w:r>
        <w:t xml:space="preserve">refers to approaches where the existing software can be used to connect two models. This is less intrusive than mathematical approaches and can also be non-intrusive. The use of legacy software in digital engineering is advantageous </w:t>
      </w:r>
      <w:r w:rsidR="006800C5">
        <w:t>because the expertise already exists within the</w:t>
      </w:r>
      <w:r>
        <w:t xml:space="preserve"> organization. In a certification-critical engineering environment, this can also mean substantial resource </w:t>
      </w:r>
      <w:r w:rsidR="00E51BB9">
        <w:t xml:space="preserve">savings, which </w:t>
      </w:r>
      <w:r w:rsidR="006800C5">
        <w:t>may determine the feasibility of the approach</w:t>
      </w:r>
      <w:r>
        <w:t xml:space="preserve">. In </w:t>
      </w:r>
      <w:r w:rsidR="00E51BB9">
        <w:t>this classification, we include both commercial and open-source software, although commercial software may be significantly limited in how it can be connected or integrated into</w:t>
      </w:r>
      <w:r>
        <w:t xml:space="preserve"> a digital environment. This limitation commonly arises from a number of reasons, including limited input and output parameters; their data management can be extremely inefficient; insufficient numerical methods and parameters are exposed to connect another model to achieve </w:t>
      </w:r>
      <w:r w:rsidR="00E51BB9">
        <w:t xml:space="preserve">a </w:t>
      </w:r>
      <w:r>
        <w:t xml:space="preserve">robust outcome. We note that the black-box software philosophy is unlikely to provide sufficiently useful information, as the reasons behind </w:t>
      </w:r>
      <w:r w:rsidR="00E51BB9">
        <w:t>the output and its sensitivity</w:t>
      </w:r>
      <w:r>
        <w:t xml:space="preserve"> are often more useful to an engineer than the values themselves. This is where explainable AI becomes an essential component in digital engineering. Non-open-source software can also be readily used in digital engineering. Sufficient </w:t>
      </w:r>
      <w:r>
        <w:lastRenderedPageBreak/>
        <w:t xml:space="preserve">exposure to the methods and flexibility of input/output parameters is an important deciding factor, as it can influence the required computational resources by as much as </w:t>
      </w:r>
      <w:r w:rsidR="00E51BB9">
        <w:t>an order</w:t>
      </w:r>
      <w:r>
        <w:t xml:space="preserve"> of magnitude.</w:t>
      </w:r>
    </w:p>
    <w:p w14:paraId="433B97B4" w14:textId="42BC8FB0" w:rsidR="000E3937" w:rsidRDefault="00ED46F9" w:rsidP="000E3937">
      <w:pPr>
        <w:pStyle w:val="Heading3"/>
      </w:pPr>
      <w:r>
        <w:t>Workflow and Platform</w:t>
      </w:r>
    </w:p>
    <w:p w14:paraId="7484DFCA" w14:textId="42071DC6" w:rsidR="000E3937" w:rsidRDefault="00AD2929" w:rsidP="00AD2929">
      <w:r>
        <w:rPr>
          <w:b/>
        </w:rPr>
        <w:t>Workflow and platform</w:t>
      </w:r>
      <w:r>
        <w:t xml:space="preserve"> approaches refer to software that enables the creation of workflows by combining </w:t>
      </w:r>
      <w:r w:rsidR="005A77C7">
        <w:t>multiple</w:t>
      </w:r>
      <w:r>
        <w:t xml:space="preserve"> models. They come under several classifications, such as process integration and design automation platform (PIDA), workflow automation, systems engineering and computer-aided engineering (CAE). In addition to those that classify themselves as digital engineering solutions, there are many existing examples, such as ModelCenter, OpenMDAO, and MATLAB/Simulink. This software has different sets of functionalities and the associated pros/cons. Many believe an appropriate workflow tool/platform for the vision of digital engineering is yet to come.  As the common philosophy of software is black-box, defined by input/output parameters, the existing platform relies heavily on robust outputs from each model or software component.</w:t>
      </w:r>
    </w:p>
    <w:p w14:paraId="0741EB79" w14:textId="3527DA8E" w:rsidR="000B439F" w:rsidRDefault="002D3141" w:rsidP="000B439F">
      <w:pPr>
        <w:pStyle w:val="Heading2"/>
      </w:pPr>
      <w:r>
        <w:t>Key Takeaways</w:t>
      </w:r>
    </w:p>
    <w:p w14:paraId="51EAF934" w14:textId="1813016A" w:rsidR="002D3141" w:rsidRPr="002D3141" w:rsidRDefault="002D3141" w:rsidP="002D3141"/>
    <w:p w14:paraId="66E11841" w14:textId="77777777" w:rsidR="00C45956" w:rsidRDefault="00C45956" w:rsidP="00C45956">
      <w:pPr>
        <w:pStyle w:val="Heading1"/>
      </w:pPr>
      <w:bookmarkStart w:id="30" w:name="_Ref236216471"/>
      <w:r>
        <w:t>Hardware and Software Infrastructure Co-Design</w:t>
      </w:r>
      <w:bookmarkEnd w:id="30"/>
    </w:p>
    <w:p w14:paraId="749AEB80" w14:textId="77777777" w:rsidR="004772A7" w:rsidRDefault="004772A7" w:rsidP="004772A7">
      <w:pPr>
        <w:pStyle w:val="Heading1"/>
      </w:pPr>
      <w:bookmarkStart w:id="31" w:name="_Ref236218567"/>
      <w:r>
        <w:t>Role of Organization Strategy and Culture</w:t>
      </w:r>
      <w:bookmarkEnd w:id="31"/>
    </w:p>
    <w:p w14:paraId="644B200B" w14:textId="6BED9C6A" w:rsidR="006800C5" w:rsidRPr="006800C5" w:rsidRDefault="006800C5" w:rsidP="006800C5">
      <w:r>
        <w:t>An organization promotes digital engineering and digital transformation through its organizational strategy and culture. How the organization perceives and values digital engineering and digital transformation directly impacts the quality, capability, and effectiveness of using these technologies within their organization at every level, including when considering their hardware and software co-design, enterprise data management, computational design and analysis workflows, and even the teaming between different groups of stakeholders. This section provides guidance and DEIC-CoDADE’s positions on how to introduce digital transformation into your organization through workforce development, educating stakeholders on the value of digital transformation, aligning UI/UX with business goals to support inter-group teaming, and leveraging the digital engineering community at large.</w:t>
      </w:r>
    </w:p>
    <w:p w14:paraId="76497F03" w14:textId="77777777" w:rsidR="004772A7" w:rsidRDefault="004772A7" w:rsidP="004772A7">
      <w:pPr>
        <w:pStyle w:val="Heading2"/>
      </w:pPr>
      <w:bookmarkStart w:id="32" w:name="_Ref236216463"/>
      <w:r>
        <w:t>Defining a Digital Culture</w:t>
      </w:r>
      <w:bookmarkEnd w:id="32"/>
    </w:p>
    <w:p w14:paraId="7C9A9D7B" w14:textId="4BB23F23" w:rsidR="004772A7" w:rsidRPr="00F45763" w:rsidRDefault="004772A7" w:rsidP="004772A7">
      <w:r>
        <w:t>Consider the notion that digital culture is the outcome of digital transformation</w:t>
      </w:r>
      <w:r w:rsidR="00236691">
        <w:t xml:space="preserve">. </w:t>
      </w:r>
      <w:r>
        <w:t xml:space="preserve">To further elucidate what </w:t>
      </w:r>
      <w:r w:rsidR="00E51BB9">
        <w:t>digital transformation enables</w:t>
      </w:r>
      <w:r>
        <w:t xml:space="preserve">, consider what would happen if we supported the exact opposite: analog </w:t>
      </w:r>
      <w:commentRangeStart w:id="33"/>
      <w:commentRangeStart w:id="34"/>
      <w:r>
        <w:t>preservation</w:t>
      </w:r>
      <w:commentRangeEnd w:id="33"/>
      <w:r>
        <w:rPr>
          <w:rStyle w:val="CommentReference"/>
          <w:sz w:val="24"/>
          <w:szCs w:val="24"/>
        </w:rPr>
        <w:commentReference w:id="33"/>
      </w:r>
      <w:commentRangeEnd w:id="34"/>
      <w:r w:rsidR="00F86926">
        <w:rPr>
          <w:rStyle w:val="CommentReference"/>
          <w:sz w:val="24"/>
          <w:szCs w:val="24"/>
        </w:rPr>
        <w:commentReference w:id="34"/>
      </w:r>
      <w:r>
        <w:t xml:space="preserve">. </w:t>
      </w:r>
      <w:r w:rsidR="00E51BB9">
        <w:t>At a high level, Tamplin argues that analog preservation would consist of choosing complete conformity over flexibility, removing transparency and obfuscating data, applying change only top-down, ignoring standardization, disabling automatic/autonomous processes, and, if necessary, digitizing analog information only</w:t>
      </w:r>
      <w:r>
        <w:t>.</w:t>
      </w:r>
    </w:p>
    <w:p w14:paraId="52988094" w14:textId="2B088DBF" w:rsidR="004772A7" w:rsidRDefault="004772A7" w:rsidP="004772A7">
      <w:r>
        <w:t xml:space="preserve">In principle, a digital culture would </w:t>
      </w:r>
      <w:r w:rsidR="00E51BB9">
        <w:t>encompass many, if not all, of the operational aspects</w:t>
      </w:r>
      <w:r>
        <w:t xml:space="preserve"> that analog preservation would not. As a result, a</w:t>
      </w:r>
      <w:r w:rsidRPr="00F45763">
        <w:t xml:space="preserve"> digital culture encompasses the values, behaviors, and practices required </w:t>
      </w:r>
      <w:r w:rsidR="00E51BB9">
        <w:t xml:space="preserve">to establish proficiency and fluency </w:t>
      </w:r>
      <w:r w:rsidR="00236691">
        <w:t>through the adoption and use of</w:t>
      </w:r>
      <w:r w:rsidR="00E51BB9">
        <w:t xml:space="preserve"> evolving digital technologies and tools, and </w:t>
      </w:r>
      <w:r w:rsidRPr="00F45763">
        <w:t>by fostering a shared strategy of continuous learning, adaptability, agility, collaboration,</w:t>
      </w:r>
      <w:r>
        <w:t xml:space="preserve"> standardization,</w:t>
      </w:r>
      <w:r w:rsidRPr="00F45763">
        <w:t xml:space="preserve"> traceability, </w:t>
      </w:r>
      <w:r>
        <w:t xml:space="preserve">transparency, and </w:t>
      </w:r>
      <w:r w:rsidRPr="00F45763">
        <w:t>accountability.</w:t>
      </w:r>
      <w:r>
        <w:t xml:space="preserve"> </w:t>
      </w:r>
    </w:p>
    <w:p w14:paraId="3F898236" w14:textId="45781881" w:rsidR="004772A7" w:rsidRDefault="004772A7" w:rsidP="004772A7">
      <w:r>
        <w:t xml:space="preserve">It is important to note that establishing a digital culture does not automatically mean analog preservation is completely inutile. A digital culture should leverage analog and digital practices in </w:t>
      </w:r>
      <w:r w:rsidR="00E51BB9">
        <w:lastRenderedPageBreak/>
        <w:t>ways that enhance</w:t>
      </w:r>
      <w:r>
        <w:t xml:space="preserve"> </w:t>
      </w:r>
      <w:r w:rsidR="00BA15C5">
        <w:t>the collective accessibility, traceability, usability, and maturity of both</w:t>
      </w:r>
      <w:r>
        <w:t xml:space="preserve">. Mankind has </w:t>
      </w:r>
      <w:r w:rsidR="00E51BB9">
        <w:t xml:space="preserve">used analog preservation since its inception, and it </w:t>
      </w:r>
      <w:r w:rsidR="00BA15C5">
        <w:t>continues to shape</w:t>
      </w:r>
      <w:r>
        <w:t xml:space="preserve"> how many individuals think. Part of incorporating analog practices is </w:t>
      </w:r>
      <w:r w:rsidR="00E51BB9">
        <w:t>digitizing them</w:t>
      </w:r>
      <w:r>
        <w:t xml:space="preserve">. However, digitization is only </w:t>
      </w:r>
      <w:r w:rsidR="00E51BB9">
        <w:t>part of having a digital culture – one cannot digitize analog material and claim to have a digital culture solely</w:t>
      </w:r>
      <w:r>
        <w:t xml:space="preserve">. When it comes to </w:t>
      </w:r>
      <w:r w:rsidR="00E51BB9">
        <w:t xml:space="preserve">building a digital culture, it is best to consider the following principle: the operational capabilities and culture that got an organization here are not all the capabilities and culture needed </w:t>
      </w:r>
      <w:r w:rsidRPr="00FE3B05">
        <w:t>to get or keep the organization there.</w:t>
      </w:r>
    </w:p>
    <w:p w14:paraId="4054097C" w14:textId="0ED2ADB5" w:rsidR="00504923" w:rsidRDefault="00504923" w:rsidP="00504923">
      <w:pPr>
        <w:pStyle w:val="Heading2"/>
      </w:pPr>
      <w:r>
        <w:t xml:space="preserve">A Future Engineering Singularity (or Asymptote) Driven </w:t>
      </w:r>
      <w:r w:rsidR="00363F84">
        <w:t>b</w:t>
      </w:r>
      <w:r>
        <w:t xml:space="preserve">y Your Digital Culture </w:t>
      </w:r>
    </w:p>
    <w:p w14:paraId="313E0165" w14:textId="77777777" w:rsidR="007067E9" w:rsidRPr="00723B21" w:rsidRDefault="007067E9" w:rsidP="007067E9">
      <w:pPr>
        <w:pStyle w:val="Heading2"/>
      </w:pPr>
      <w:r w:rsidRPr="00723B21">
        <w:rPr>
          <w:bCs/>
          <w:szCs w:val="28"/>
        </w:rPr>
        <w:t>Educating Stakeholders – Why Digital Engineering Matters</w:t>
      </w:r>
    </w:p>
    <w:p w14:paraId="32C841C7" w14:textId="44973825" w:rsidR="007067E9" w:rsidRPr="004C7CD4" w:rsidRDefault="007067E9" w:rsidP="007067E9">
      <w:pPr>
        <w:ind w:firstLine="0"/>
        <w:rPr>
          <w:rFonts w:cs="Times New Roman"/>
        </w:rPr>
      </w:pPr>
      <w:r w:rsidRPr="00723B21">
        <w:t>Digital engineering delivers a single source of truth that bridges executive concerns about ROI and market positioning with the day</w:t>
      </w:r>
      <w:r w:rsidRPr="00723B21">
        <w:noBreakHyphen/>
        <w:t>to</w:t>
      </w:r>
      <w:r w:rsidRPr="00723B21">
        <w:noBreakHyphen/>
        <w:t>day needs of engineers, program managers, and sustainment teams. By presenting quantifiable benefits</w:t>
      </w:r>
      <w:r w:rsidR="00544CEC">
        <w:t xml:space="preserve"> (examples in </w:t>
      </w:r>
      <w:r w:rsidR="00544CEC">
        <w:fldChar w:fldCharType="begin"/>
      </w:r>
      <w:r w:rsidR="00544CEC">
        <w:instrText xml:space="preserve"> REF _Ref233802011 \h </w:instrText>
      </w:r>
      <w:r w:rsidR="00544CEC">
        <w:fldChar w:fldCharType="separate"/>
      </w:r>
      <w:r w:rsidR="00544CEC">
        <w:t xml:space="preserve">Table </w:t>
      </w:r>
      <w:r w:rsidR="00544CEC">
        <w:rPr>
          <w:noProof/>
        </w:rPr>
        <w:t>3</w:t>
      </w:r>
      <w:r w:rsidR="00544CEC">
        <w:fldChar w:fldCharType="end"/>
      </w:r>
      <w:r w:rsidR="00544CEC">
        <w:t xml:space="preserve"> and </w:t>
      </w:r>
      <w:r w:rsidR="00544CEC">
        <w:fldChar w:fldCharType="begin"/>
      </w:r>
      <w:r w:rsidR="00544CEC">
        <w:instrText xml:space="preserve"> REF _Ref233802114 \h </w:instrText>
      </w:r>
      <w:r w:rsidR="00544CEC">
        <w:fldChar w:fldCharType="separate"/>
      </w:r>
      <w:r w:rsidR="00544CEC">
        <w:t xml:space="preserve">Table </w:t>
      </w:r>
      <w:r w:rsidR="00544CEC">
        <w:rPr>
          <w:noProof/>
        </w:rPr>
        <w:t>4</w:t>
      </w:r>
      <w:r w:rsidR="00544CEC">
        <w:fldChar w:fldCharType="end"/>
      </w:r>
      <w:r w:rsidR="00544CEC">
        <w:t>)</w:t>
      </w:r>
      <w:r w:rsidRPr="00723B21">
        <w:t>—such as a 12 % reduction in weight translating into multi</w:t>
      </w:r>
      <w:r w:rsidRPr="00723B21">
        <w:noBreakHyphen/>
        <w:t>million</w:t>
      </w:r>
      <w:r w:rsidRPr="00723B21">
        <w:noBreakHyphen/>
        <w:t>dollar fuel savings, or a 20 % drop in unplanned downtime through predictive maintenance—leaders can see how model</w:t>
      </w:r>
      <w:r w:rsidRPr="00723B21">
        <w:noBreakHyphen/>
        <w:t>based simulations, digital twins, and AI</w:t>
      </w:r>
      <w:r w:rsidRPr="00723B21">
        <w:noBreakHyphen/>
        <w:t xml:space="preserve">driven trade </w:t>
      </w:r>
      <w:r w:rsidRPr="004C7CD4">
        <w:rPr>
          <w:rFonts w:cs="Times New Roman"/>
        </w:rPr>
        <w:t>studies directly support SMART goals and strategic imperatives.</w:t>
      </w:r>
      <w:r w:rsidR="00544CEC">
        <w:rPr>
          <w:rFonts w:cs="Times New Roman"/>
        </w:rPr>
        <w:t xml:space="preserve"> </w:t>
      </w:r>
    </w:p>
    <w:p w14:paraId="06832152" w14:textId="2F40759D" w:rsidR="007067E9" w:rsidRPr="00544CEC" w:rsidRDefault="007067E9" w:rsidP="007067E9">
      <w:pPr>
        <w:spacing w:after="0"/>
        <w:ind w:firstLine="0"/>
        <w:rPr>
          <w:rFonts w:cs="Times New Roman"/>
        </w:rPr>
      </w:pPr>
      <w:r w:rsidRPr="004C7CD4">
        <w:rPr>
          <w:rFonts w:cs="Times New Roman"/>
        </w:rPr>
        <w:t>A culture that rewards data</w:t>
      </w:r>
      <w:r w:rsidRPr="004C7CD4">
        <w:rPr>
          <w:rFonts w:cs="Times New Roman"/>
        </w:rPr>
        <w:noBreakHyphen/>
        <w:t>driven decision</w:t>
      </w:r>
      <w:r w:rsidRPr="004C7CD4">
        <w:rPr>
          <w:rFonts w:cs="Times New Roman"/>
        </w:rPr>
        <w:noBreakHyphen/>
        <w:t>making is essential. Workshops, “digital</w:t>
      </w:r>
      <w:r w:rsidRPr="004C7CD4">
        <w:rPr>
          <w:rFonts w:cs="Times New Roman"/>
        </w:rPr>
        <w:noBreakHyphen/>
        <w:t>engineering champions,” and quick</w:t>
      </w:r>
      <w:r w:rsidRPr="004C7CD4">
        <w:rPr>
          <w:rFonts w:cs="Times New Roman"/>
        </w:rPr>
        <w:noBreakHyphen/>
        <w:t>win pilot projects create credibility, while visual dashboards that map schedule variance to risk indices keep all stakeholders aligned around shared metrics and outcomes.</w:t>
      </w:r>
    </w:p>
    <w:p w14:paraId="0E970AB8" w14:textId="2AFC1C32" w:rsidR="00544CEC" w:rsidRDefault="00544CEC" w:rsidP="00544CEC">
      <w:pPr>
        <w:pStyle w:val="Caption"/>
        <w:keepNext/>
      </w:pPr>
      <w:bookmarkStart w:id="35" w:name="_Ref233802011"/>
      <w:r>
        <w:t xml:space="preserve">Table </w:t>
      </w:r>
      <w:fldSimple w:instr=" SEQ Table \* ARABIC ">
        <w:r w:rsidR="00BF25C3">
          <w:rPr>
            <w:noProof/>
          </w:rPr>
          <w:t>3</w:t>
        </w:r>
      </w:fldSimple>
      <w:bookmarkEnd w:id="35"/>
      <w:r>
        <w:t>: Examples of benefits provided by digital engineering across different programmatic areas.</w:t>
      </w:r>
    </w:p>
    <w:tbl>
      <w:tblPr>
        <w:tblW w:w="9220" w:type="dxa"/>
        <w:tblLook w:val="04A0" w:firstRow="1" w:lastRow="0" w:firstColumn="1" w:lastColumn="0" w:noHBand="0" w:noVBand="1"/>
      </w:tblPr>
      <w:tblGrid>
        <w:gridCol w:w="2120"/>
        <w:gridCol w:w="3180"/>
        <w:gridCol w:w="3920"/>
      </w:tblGrid>
      <w:tr w:rsidR="007067E9" w:rsidRPr="004C7CD4" w14:paraId="651E154E" w14:textId="77777777" w:rsidTr="004A4AD0">
        <w:trPr>
          <w:trHeight w:val="288"/>
        </w:trPr>
        <w:tc>
          <w:tcPr>
            <w:tcW w:w="2120" w:type="dxa"/>
            <w:tcBorders>
              <w:top w:val="single" w:sz="4" w:space="0" w:color="BFBFBF"/>
              <w:left w:val="single" w:sz="4" w:space="0" w:color="BFBFBF"/>
              <w:bottom w:val="single" w:sz="4" w:space="0" w:color="BFBFBF"/>
              <w:right w:val="single" w:sz="4" w:space="0" w:color="BFBFBF"/>
            </w:tcBorders>
            <w:shd w:val="clear" w:color="000000" w:fill="D9D9D9"/>
            <w:hideMark/>
          </w:tcPr>
          <w:p w14:paraId="6FA1EAFA" w14:textId="77777777" w:rsidR="007067E9" w:rsidRPr="004C7CD4" w:rsidRDefault="007067E9" w:rsidP="004A4AD0">
            <w:pPr>
              <w:pStyle w:val="NoSpacing"/>
              <w:rPr>
                <w:b/>
                <w:bCs/>
              </w:rPr>
            </w:pPr>
            <w:r w:rsidRPr="004C7CD4">
              <w:rPr>
                <w:b/>
                <w:bCs/>
              </w:rPr>
              <w:t>Programmatic Area</w:t>
            </w:r>
          </w:p>
        </w:tc>
        <w:tc>
          <w:tcPr>
            <w:tcW w:w="3180" w:type="dxa"/>
            <w:tcBorders>
              <w:top w:val="single" w:sz="4" w:space="0" w:color="BFBFBF"/>
              <w:left w:val="nil"/>
              <w:bottom w:val="single" w:sz="4" w:space="0" w:color="BFBFBF"/>
              <w:right w:val="single" w:sz="4" w:space="0" w:color="BFBFBF"/>
            </w:tcBorders>
            <w:shd w:val="clear" w:color="000000" w:fill="D9D9D9"/>
            <w:hideMark/>
          </w:tcPr>
          <w:p w14:paraId="31C06EC2" w14:textId="77777777" w:rsidR="007067E9" w:rsidRPr="004C7CD4" w:rsidRDefault="007067E9" w:rsidP="004A4AD0">
            <w:pPr>
              <w:pStyle w:val="NoSpacing"/>
              <w:rPr>
                <w:b/>
                <w:bCs/>
              </w:rPr>
            </w:pPr>
            <w:r w:rsidRPr="004C7CD4">
              <w:rPr>
                <w:b/>
                <w:bCs/>
              </w:rPr>
              <w:t>Digital</w:t>
            </w:r>
            <w:r w:rsidRPr="004C7CD4">
              <w:rPr>
                <w:b/>
                <w:bCs/>
              </w:rPr>
              <w:noBreakHyphen/>
              <w:t>Engineering Lever</w:t>
            </w:r>
          </w:p>
        </w:tc>
        <w:tc>
          <w:tcPr>
            <w:tcW w:w="3920" w:type="dxa"/>
            <w:tcBorders>
              <w:top w:val="single" w:sz="4" w:space="0" w:color="BFBFBF"/>
              <w:left w:val="nil"/>
              <w:bottom w:val="single" w:sz="4" w:space="0" w:color="BFBFBF"/>
              <w:right w:val="single" w:sz="4" w:space="0" w:color="BFBFBF"/>
            </w:tcBorders>
            <w:shd w:val="clear" w:color="000000" w:fill="D9D9D9"/>
            <w:hideMark/>
          </w:tcPr>
          <w:p w14:paraId="3E65DEB8" w14:textId="77777777" w:rsidR="007067E9" w:rsidRPr="004C7CD4" w:rsidRDefault="007067E9" w:rsidP="004A4AD0">
            <w:pPr>
              <w:pStyle w:val="NoSpacing"/>
              <w:rPr>
                <w:b/>
                <w:bCs/>
              </w:rPr>
            </w:pPr>
            <w:r w:rsidRPr="004C7CD4">
              <w:rPr>
                <w:b/>
                <w:bCs/>
              </w:rPr>
              <w:t>Quantified Benefit (Illustrative)</w:t>
            </w:r>
          </w:p>
        </w:tc>
      </w:tr>
      <w:tr w:rsidR="007067E9" w:rsidRPr="004C7CD4" w14:paraId="44C36A7C" w14:textId="77777777" w:rsidTr="004A4AD0">
        <w:trPr>
          <w:trHeight w:val="720"/>
        </w:trPr>
        <w:tc>
          <w:tcPr>
            <w:tcW w:w="2120" w:type="dxa"/>
            <w:tcBorders>
              <w:top w:val="nil"/>
              <w:left w:val="single" w:sz="4" w:space="0" w:color="BFBFBF"/>
              <w:bottom w:val="single" w:sz="4" w:space="0" w:color="BFBFBF"/>
              <w:right w:val="single" w:sz="4" w:space="0" w:color="BFBFBF"/>
            </w:tcBorders>
            <w:hideMark/>
          </w:tcPr>
          <w:p w14:paraId="4E2430B8" w14:textId="77777777" w:rsidR="007067E9" w:rsidRPr="004C7CD4" w:rsidRDefault="007067E9" w:rsidP="004A4AD0">
            <w:pPr>
              <w:pStyle w:val="NoSpacing"/>
              <w:rPr>
                <w:color w:val="374151"/>
              </w:rPr>
            </w:pPr>
            <w:r w:rsidRPr="004C7CD4">
              <w:rPr>
                <w:color w:val="374151"/>
              </w:rPr>
              <w:t>SWAP Optimization</w:t>
            </w:r>
          </w:p>
        </w:tc>
        <w:tc>
          <w:tcPr>
            <w:tcW w:w="3180" w:type="dxa"/>
            <w:tcBorders>
              <w:top w:val="nil"/>
              <w:left w:val="nil"/>
              <w:bottom w:val="single" w:sz="4" w:space="0" w:color="BFBFBF"/>
              <w:right w:val="single" w:sz="4" w:space="0" w:color="BFBFBF"/>
            </w:tcBorders>
            <w:hideMark/>
          </w:tcPr>
          <w:p w14:paraId="5D6DE573" w14:textId="77777777" w:rsidR="007067E9" w:rsidRPr="004C7CD4" w:rsidRDefault="007067E9" w:rsidP="004A4AD0">
            <w:pPr>
              <w:pStyle w:val="NoSpacing"/>
              <w:rPr>
                <w:color w:val="374151"/>
              </w:rPr>
            </w:pPr>
            <w:r w:rsidRPr="004C7CD4">
              <w:rPr>
                <w:color w:val="374151"/>
              </w:rPr>
              <w:t>Multi</w:t>
            </w:r>
            <w:r w:rsidRPr="004C7CD4">
              <w:rPr>
                <w:color w:val="374151"/>
              </w:rPr>
              <w:noBreakHyphen/>
              <w:t>physics MBSE models; topology optimization; AI</w:t>
            </w:r>
            <w:r w:rsidRPr="004C7CD4">
              <w:rPr>
                <w:color w:val="374151"/>
              </w:rPr>
              <w:noBreakHyphen/>
              <w:t>driven design space exploration</w:t>
            </w:r>
          </w:p>
        </w:tc>
        <w:tc>
          <w:tcPr>
            <w:tcW w:w="3920" w:type="dxa"/>
            <w:tcBorders>
              <w:top w:val="nil"/>
              <w:left w:val="nil"/>
              <w:bottom w:val="single" w:sz="4" w:space="0" w:color="BFBFBF"/>
              <w:right w:val="single" w:sz="4" w:space="0" w:color="BFBFBF"/>
            </w:tcBorders>
            <w:hideMark/>
          </w:tcPr>
          <w:p w14:paraId="5C08481D" w14:textId="77777777" w:rsidR="007067E9" w:rsidRPr="004C7CD4" w:rsidRDefault="007067E9" w:rsidP="004A4AD0">
            <w:pPr>
              <w:pStyle w:val="NoSpacing"/>
              <w:rPr>
                <w:color w:val="374151"/>
              </w:rPr>
            </w:pPr>
            <w:r w:rsidRPr="004C7CD4">
              <w:rPr>
                <w:color w:val="374151"/>
              </w:rPr>
              <w:t>12 % weight reduction → $8 M fuel savings over 5 yr; 15 % power headroom → defer power</w:t>
            </w:r>
            <w:r w:rsidRPr="004C7CD4">
              <w:rPr>
                <w:color w:val="374151"/>
              </w:rPr>
              <w:noBreakHyphen/>
              <w:t>budget upgrades</w:t>
            </w:r>
          </w:p>
        </w:tc>
      </w:tr>
      <w:tr w:rsidR="007067E9" w:rsidRPr="004C7CD4" w14:paraId="6A42977B" w14:textId="77777777" w:rsidTr="004A4AD0">
        <w:trPr>
          <w:trHeight w:val="720"/>
        </w:trPr>
        <w:tc>
          <w:tcPr>
            <w:tcW w:w="2120" w:type="dxa"/>
            <w:tcBorders>
              <w:top w:val="nil"/>
              <w:left w:val="single" w:sz="4" w:space="0" w:color="BFBFBF"/>
              <w:bottom w:val="single" w:sz="4" w:space="0" w:color="BFBFBF"/>
              <w:right w:val="single" w:sz="4" w:space="0" w:color="BFBFBF"/>
            </w:tcBorders>
            <w:hideMark/>
          </w:tcPr>
          <w:p w14:paraId="17D8EABF" w14:textId="77777777" w:rsidR="007067E9" w:rsidRPr="004C7CD4" w:rsidRDefault="007067E9" w:rsidP="004A4AD0">
            <w:pPr>
              <w:pStyle w:val="NoSpacing"/>
              <w:rPr>
                <w:color w:val="374151"/>
              </w:rPr>
            </w:pPr>
            <w:r w:rsidRPr="004C7CD4">
              <w:rPr>
                <w:color w:val="374151"/>
              </w:rPr>
              <w:t>Sustainment &amp; Logistics</w:t>
            </w:r>
          </w:p>
        </w:tc>
        <w:tc>
          <w:tcPr>
            <w:tcW w:w="3180" w:type="dxa"/>
            <w:tcBorders>
              <w:top w:val="nil"/>
              <w:left w:val="nil"/>
              <w:bottom w:val="single" w:sz="4" w:space="0" w:color="BFBFBF"/>
              <w:right w:val="single" w:sz="4" w:space="0" w:color="BFBFBF"/>
            </w:tcBorders>
            <w:hideMark/>
          </w:tcPr>
          <w:p w14:paraId="77B250BD" w14:textId="77777777" w:rsidR="007067E9" w:rsidRPr="004C7CD4" w:rsidRDefault="007067E9" w:rsidP="004A4AD0">
            <w:pPr>
              <w:pStyle w:val="NoSpacing"/>
              <w:rPr>
                <w:color w:val="374151"/>
              </w:rPr>
            </w:pPr>
            <w:r w:rsidRPr="004C7CD4">
              <w:rPr>
                <w:color w:val="374151"/>
              </w:rPr>
              <w:t>Digital twins + predictive</w:t>
            </w:r>
            <w:r w:rsidRPr="004C7CD4">
              <w:rPr>
                <w:color w:val="374151"/>
              </w:rPr>
              <w:noBreakHyphen/>
              <w:t>maintenance algorithms</w:t>
            </w:r>
          </w:p>
        </w:tc>
        <w:tc>
          <w:tcPr>
            <w:tcW w:w="3920" w:type="dxa"/>
            <w:tcBorders>
              <w:top w:val="nil"/>
              <w:left w:val="nil"/>
              <w:bottom w:val="single" w:sz="4" w:space="0" w:color="BFBFBF"/>
              <w:right w:val="single" w:sz="4" w:space="0" w:color="BFBFBF"/>
            </w:tcBorders>
            <w:hideMark/>
          </w:tcPr>
          <w:p w14:paraId="0ED05B13" w14:textId="77777777" w:rsidR="007067E9" w:rsidRPr="004C7CD4" w:rsidRDefault="007067E9" w:rsidP="004A4AD0">
            <w:pPr>
              <w:pStyle w:val="NoSpacing"/>
              <w:rPr>
                <w:color w:val="374151"/>
              </w:rPr>
            </w:pPr>
            <w:r w:rsidRPr="004C7CD4">
              <w:rPr>
                <w:color w:val="374151"/>
              </w:rPr>
              <w:t>20 % drop in unplanned downtime; 10 % reduction in spare</w:t>
            </w:r>
            <w:r w:rsidRPr="004C7CD4">
              <w:rPr>
                <w:color w:val="374151"/>
              </w:rPr>
              <w:noBreakHyphen/>
              <w:t>parts inventory → ~$2.3 M annual savings</w:t>
            </w:r>
          </w:p>
        </w:tc>
      </w:tr>
      <w:tr w:rsidR="007067E9" w:rsidRPr="004C7CD4" w14:paraId="092D70B5" w14:textId="77777777" w:rsidTr="004A4AD0">
        <w:trPr>
          <w:trHeight w:val="480"/>
        </w:trPr>
        <w:tc>
          <w:tcPr>
            <w:tcW w:w="2120" w:type="dxa"/>
            <w:tcBorders>
              <w:top w:val="nil"/>
              <w:left w:val="single" w:sz="4" w:space="0" w:color="BFBFBF"/>
              <w:bottom w:val="single" w:sz="4" w:space="0" w:color="BFBFBF"/>
              <w:right w:val="single" w:sz="4" w:space="0" w:color="BFBFBF"/>
            </w:tcBorders>
            <w:hideMark/>
          </w:tcPr>
          <w:p w14:paraId="17BA30A3" w14:textId="77777777" w:rsidR="007067E9" w:rsidRPr="004C7CD4" w:rsidRDefault="007067E9" w:rsidP="004A4AD0">
            <w:pPr>
              <w:pStyle w:val="NoSpacing"/>
              <w:rPr>
                <w:color w:val="374151"/>
              </w:rPr>
            </w:pPr>
            <w:r w:rsidRPr="004C7CD4">
              <w:rPr>
                <w:color w:val="374151"/>
              </w:rPr>
              <w:t>Configuration Management</w:t>
            </w:r>
          </w:p>
        </w:tc>
        <w:tc>
          <w:tcPr>
            <w:tcW w:w="3180" w:type="dxa"/>
            <w:tcBorders>
              <w:top w:val="nil"/>
              <w:left w:val="nil"/>
              <w:bottom w:val="single" w:sz="4" w:space="0" w:color="BFBFBF"/>
              <w:right w:val="single" w:sz="4" w:space="0" w:color="BFBFBF"/>
            </w:tcBorders>
            <w:hideMark/>
          </w:tcPr>
          <w:p w14:paraId="5CE8A6B8" w14:textId="77777777" w:rsidR="007067E9" w:rsidRPr="004C7CD4" w:rsidRDefault="007067E9" w:rsidP="004A4AD0">
            <w:pPr>
              <w:pStyle w:val="NoSpacing"/>
              <w:rPr>
                <w:color w:val="374151"/>
              </w:rPr>
            </w:pPr>
            <w:r w:rsidRPr="004C7CD4">
              <w:rPr>
                <w:color w:val="374151"/>
              </w:rPr>
              <w:t>Integrated PLM/ALM with automated change impact analysis</w:t>
            </w:r>
          </w:p>
        </w:tc>
        <w:tc>
          <w:tcPr>
            <w:tcW w:w="3920" w:type="dxa"/>
            <w:tcBorders>
              <w:top w:val="nil"/>
              <w:left w:val="nil"/>
              <w:bottom w:val="single" w:sz="4" w:space="0" w:color="BFBFBF"/>
              <w:right w:val="single" w:sz="4" w:space="0" w:color="BFBFBF"/>
            </w:tcBorders>
            <w:hideMark/>
          </w:tcPr>
          <w:p w14:paraId="6450C1F3" w14:textId="77777777" w:rsidR="007067E9" w:rsidRPr="004C7CD4" w:rsidRDefault="007067E9" w:rsidP="004A4AD0">
            <w:pPr>
              <w:pStyle w:val="NoSpacing"/>
              <w:rPr>
                <w:color w:val="374151"/>
              </w:rPr>
            </w:pPr>
            <w:r w:rsidRPr="004C7CD4">
              <w:rPr>
                <w:color w:val="374151"/>
              </w:rPr>
              <w:t>30 % fewer design</w:t>
            </w:r>
            <w:r w:rsidRPr="004C7CD4">
              <w:rPr>
                <w:color w:val="374151"/>
              </w:rPr>
              <w:noBreakHyphen/>
              <w:t>change cycles; 25 % faster software</w:t>
            </w:r>
            <w:r w:rsidRPr="004C7CD4">
              <w:rPr>
                <w:color w:val="374151"/>
              </w:rPr>
              <w:noBreakHyphen/>
              <w:t>update releases</w:t>
            </w:r>
          </w:p>
        </w:tc>
      </w:tr>
      <w:tr w:rsidR="007067E9" w:rsidRPr="004C7CD4" w14:paraId="45E2A6F1" w14:textId="77777777" w:rsidTr="004A4AD0">
        <w:trPr>
          <w:trHeight w:val="480"/>
        </w:trPr>
        <w:tc>
          <w:tcPr>
            <w:tcW w:w="2120" w:type="dxa"/>
            <w:tcBorders>
              <w:top w:val="nil"/>
              <w:left w:val="single" w:sz="4" w:space="0" w:color="BFBFBF"/>
              <w:bottom w:val="single" w:sz="4" w:space="0" w:color="BFBFBF"/>
              <w:right w:val="single" w:sz="4" w:space="0" w:color="BFBFBF"/>
            </w:tcBorders>
            <w:hideMark/>
          </w:tcPr>
          <w:p w14:paraId="2F4972AC" w14:textId="77777777" w:rsidR="007067E9" w:rsidRPr="004C7CD4" w:rsidRDefault="007067E9" w:rsidP="004A4AD0">
            <w:pPr>
              <w:pStyle w:val="NoSpacing"/>
              <w:rPr>
                <w:color w:val="374151"/>
              </w:rPr>
            </w:pPr>
            <w:r w:rsidRPr="004C7CD4">
              <w:rPr>
                <w:color w:val="374151"/>
              </w:rPr>
              <w:t>Manufacturing Lead</w:t>
            </w:r>
            <w:r w:rsidRPr="004C7CD4">
              <w:rPr>
                <w:color w:val="374151"/>
              </w:rPr>
              <w:noBreakHyphen/>
              <w:t>time</w:t>
            </w:r>
          </w:p>
        </w:tc>
        <w:tc>
          <w:tcPr>
            <w:tcW w:w="3180" w:type="dxa"/>
            <w:tcBorders>
              <w:top w:val="nil"/>
              <w:left w:val="nil"/>
              <w:bottom w:val="single" w:sz="4" w:space="0" w:color="BFBFBF"/>
              <w:right w:val="single" w:sz="4" w:space="0" w:color="BFBFBF"/>
            </w:tcBorders>
            <w:hideMark/>
          </w:tcPr>
          <w:p w14:paraId="2FC0FCB0" w14:textId="77777777" w:rsidR="007067E9" w:rsidRPr="004C7CD4" w:rsidRDefault="007067E9" w:rsidP="004A4AD0">
            <w:pPr>
              <w:pStyle w:val="NoSpacing"/>
              <w:rPr>
                <w:color w:val="374151"/>
              </w:rPr>
            </w:pPr>
            <w:r w:rsidRPr="004C7CD4">
              <w:rPr>
                <w:color w:val="374151"/>
              </w:rPr>
              <w:t>Virtual prototyping + additive</w:t>
            </w:r>
            <w:r w:rsidRPr="004C7CD4">
              <w:rPr>
                <w:color w:val="374151"/>
              </w:rPr>
              <w:noBreakHyphen/>
              <w:t>manufacturing simulation</w:t>
            </w:r>
          </w:p>
        </w:tc>
        <w:tc>
          <w:tcPr>
            <w:tcW w:w="3920" w:type="dxa"/>
            <w:tcBorders>
              <w:top w:val="nil"/>
              <w:left w:val="nil"/>
              <w:bottom w:val="single" w:sz="4" w:space="0" w:color="BFBFBF"/>
              <w:right w:val="single" w:sz="4" w:space="0" w:color="BFBFBF"/>
            </w:tcBorders>
            <w:hideMark/>
          </w:tcPr>
          <w:p w14:paraId="19AABB5D" w14:textId="77777777" w:rsidR="007067E9" w:rsidRPr="004C7CD4" w:rsidRDefault="007067E9" w:rsidP="004A4AD0">
            <w:pPr>
              <w:pStyle w:val="NoSpacing"/>
              <w:rPr>
                <w:color w:val="374151"/>
              </w:rPr>
            </w:pPr>
            <w:r w:rsidRPr="004C7CD4">
              <w:rPr>
                <w:color w:val="374151"/>
              </w:rPr>
              <w:t>40 % reduction in tooling time; 18 % lower scrap rate</w:t>
            </w:r>
          </w:p>
        </w:tc>
      </w:tr>
      <w:tr w:rsidR="007067E9" w:rsidRPr="004C7CD4" w14:paraId="2E6EDE3E" w14:textId="77777777" w:rsidTr="004A4AD0">
        <w:trPr>
          <w:trHeight w:val="480"/>
        </w:trPr>
        <w:tc>
          <w:tcPr>
            <w:tcW w:w="2120" w:type="dxa"/>
            <w:tcBorders>
              <w:top w:val="nil"/>
              <w:left w:val="single" w:sz="4" w:space="0" w:color="BFBFBF"/>
              <w:bottom w:val="single" w:sz="4" w:space="0" w:color="BFBFBF"/>
              <w:right w:val="single" w:sz="4" w:space="0" w:color="BFBFBF"/>
            </w:tcBorders>
            <w:hideMark/>
          </w:tcPr>
          <w:p w14:paraId="232B4252" w14:textId="77777777" w:rsidR="007067E9" w:rsidRPr="004C7CD4" w:rsidRDefault="007067E9" w:rsidP="004A4AD0">
            <w:pPr>
              <w:pStyle w:val="NoSpacing"/>
              <w:rPr>
                <w:color w:val="374151"/>
              </w:rPr>
            </w:pPr>
            <w:r w:rsidRPr="004C7CD4">
              <w:rPr>
                <w:color w:val="374151"/>
              </w:rPr>
              <w:t>Program Risk Reduction</w:t>
            </w:r>
          </w:p>
        </w:tc>
        <w:tc>
          <w:tcPr>
            <w:tcW w:w="3180" w:type="dxa"/>
            <w:tcBorders>
              <w:top w:val="nil"/>
              <w:left w:val="nil"/>
              <w:bottom w:val="single" w:sz="4" w:space="0" w:color="BFBFBF"/>
              <w:right w:val="single" w:sz="4" w:space="0" w:color="BFBFBF"/>
            </w:tcBorders>
            <w:hideMark/>
          </w:tcPr>
          <w:p w14:paraId="4D9C044D" w14:textId="77777777" w:rsidR="007067E9" w:rsidRPr="004C7CD4" w:rsidRDefault="007067E9" w:rsidP="004A4AD0">
            <w:pPr>
              <w:pStyle w:val="NoSpacing"/>
              <w:rPr>
                <w:color w:val="374151"/>
              </w:rPr>
            </w:pPr>
            <w:r w:rsidRPr="004C7CD4">
              <w:rPr>
                <w:color w:val="374151"/>
              </w:rPr>
              <w:t>Real</w:t>
            </w:r>
            <w:r w:rsidRPr="004C7CD4">
              <w:rPr>
                <w:color w:val="374151"/>
              </w:rPr>
              <w:noBreakHyphen/>
              <w:t>time risk dashboards fed by model</w:t>
            </w:r>
            <w:r w:rsidRPr="004C7CD4">
              <w:rPr>
                <w:color w:val="374151"/>
              </w:rPr>
              <w:noBreakHyphen/>
              <w:t>based data</w:t>
            </w:r>
          </w:p>
        </w:tc>
        <w:tc>
          <w:tcPr>
            <w:tcW w:w="3920" w:type="dxa"/>
            <w:tcBorders>
              <w:top w:val="nil"/>
              <w:left w:val="nil"/>
              <w:bottom w:val="single" w:sz="4" w:space="0" w:color="BFBFBF"/>
              <w:right w:val="single" w:sz="4" w:space="0" w:color="BFBFBF"/>
            </w:tcBorders>
            <w:hideMark/>
          </w:tcPr>
          <w:p w14:paraId="755DE6DF" w14:textId="77777777" w:rsidR="007067E9" w:rsidRPr="004C7CD4" w:rsidRDefault="007067E9" w:rsidP="004A4AD0">
            <w:pPr>
              <w:pStyle w:val="NoSpacing"/>
              <w:rPr>
                <w:color w:val="374151"/>
              </w:rPr>
            </w:pPr>
            <w:r w:rsidRPr="004C7CD4">
              <w:rPr>
                <w:color w:val="374151"/>
              </w:rPr>
              <w:t>35 % improvement in schedule predictability (±2 weeks vs. ±6 weeks)</w:t>
            </w:r>
          </w:p>
        </w:tc>
      </w:tr>
    </w:tbl>
    <w:p w14:paraId="6E50B348" w14:textId="77777777" w:rsidR="007067E9" w:rsidRPr="004C7CD4" w:rsidRDefault="007067E9" w:rsidP="007067E9">
      <w:pPr>
        <w:pStyle w:val="NoSpacing"/>
      </w:pPr>
    </w:p>
    <w:p w14:paraId="4AB79770" w14:textId="33FDBCE5" w:rsidR="00544CEC" w:rsidRDefault="00544CEC" w:rsidP="00544CEC">
      <w:pPr>
        <w:pStyle w:val="Caption"/>
        <w:keepNext/>
      </w:pPr>
      <w:bookmarkStart w:id="36" w:name="_Ref233802114"/>
      <w:r>
        <w:t xml:space="preserve">Table </w:t>
      </w:r>
      <w:fldSimple w:instr=" SEQ Table \* ARABIC ">
        <w:r w:rsidR="00BF25C3">
          <w:rPr>
            <w:noProof/>
          </w:rPr>
          <w:t>4</w:t>
        </w:r>
      </w:fldSimple>
      <w:r>
        <w:t xml:space="preserve">: </w:t>
      </w:r>
      <w:r w:rsidRPr="005D5095">
        <w:t xml:space="preserve">Examples of benefits provided by digital engineering </w:t>
      </w:r>
      <w:r>
        <w:t>based on the dimensions of competition with other organizations.</w:t>
      </w:r>
      <w:r w:rsidRPr="005D5095">
        <w:t>.</w:t>
      </w:r>
      <w:bookmarkEnd w:id="36"/>
    </w:p>
    <w:tbl>
      <w:tblPr>
        <w:tblW w:w="9265" w:type="dxa"/>
        <w:tblLook w:val="04A0" w:firstRow="1" w:lastRow="0" w:firstColumn="1" w:lastColumn="0" w:noHBand="0" w:noVBand="1"/>
      </w:tblPr>
      <w:tblGrid>
        <w:gridCol w:w="2155"/>
        <w:gridCol w:w="3150"/>
        <w:gridCol w:w="3960"/>
      </w:tblGrid>
      <w:tr w:rsidR="007067E9" w:rsidRPr="004C7CD4" w14:paraId="46DEA5C1" w14:textId="77777777" w:rsidTr="004A4AD0">
        <w:trPr>
          <w:trHeight w:val="288"/>
        </w:trPr>
        <w:tc>
          <w:tcPr>
            <w:tcW w:w="2155" w:type="dxa"/>
            <w:tcBorders>
              <w:top w:val="single" w:sz="4" w:space="0" w:color="BFBFBF"/>
              <w:left w:val="single" w:sz="4" w:space="0" w:color="BFBFBF"/>
              <w:bottom w:val="single" w:sz="4" w:space="0" w:color="BFBFBF"/>
              <w:right w:val="single" w:sz="4" w:space="0" w:color="BFBFBF"/>
            </w:tcBorders>
            <w:shd w:val="clear" w:color="000000" w:fill="D9D9D9"/>
            <w:hideMark/>
          </w:tcPr>
          <w:p w14:paraId="28FACB4B" w14:textId="77777777" w:rsidR="007067E9" w:rsidRPr="004C7CD4" w:rsidRDefault="007067E9" w:rsidP="004A4AD0">
            <w:pPr>
              <w:pStyle w:val="NoSpacing"/>
              <w:rPr>
                <w:b/>
                <w:bCs/>
              </w:rPr>
            </w:pPr>
            <w:r w:rsidRPr="004C7CD4">
              <w:rPr>
                <w:b/>
                <w:bCs/>
              </w:rPr>
              <w:t>Competitive Lever</w:t>
            </w:r>
          </w:p>
        </w:tc>
        <w:tc>
          <w:tcPr>
            <w:tcW w:w="3150" w:type="dxa"/>
            <w:tcBorders>
              <w:top w:val="single" w:sz="4" w:space="0" w:color="BFBFBF"/>
              <w:left w:val="nil"/>
              <w:bottom w:val="single" w:sz="4" w:space="0" w:color="BFBFBF"/>
              <w:right w:val="single" w:sz="4" w:space="0" w:color="BFBFBF"/>
            </w:tcBorders>
            <w:shd w:val="clear" w:color="000000" w:fill="D9D9D9"/>
            <w:hideMark/>
          </w:tcPr>
          <w:p w14:paraId="3855B2B8" w14:textId="77777777" w:rsidR="007067E9" w:rsidRPr="004C7CD4" w:rsidRDefault="007067E9" w:rsidP="004A4AD0">
            <w:pPr>
              <w:pStyle w:val="NoSpacing"/>
              <w:rPr>
                <w:b/>
                <w:bCs/>
              </w:rPr>
            </w:pPr>
            <w:r w:rsidRPr="004C7CD4">
              <w:rPr>
                <w:b/>
                <w:bCs/>
              </w:rPr>
              <w:t>Description</w:t>
            </w:r>
          </w:p>
        </w:tc>
        <w:tc>
          <w:tcPr>
            <w:tcW w:w="3960" w:type="dxa"/>
            <w:tcBorders>
              <w:top w:val="single" w:sz="4" w:space="0" w:color="BFBFBF"/>
              <w:left w:val="nil"/>
              <w:bottom w:val="single" w:sz="4" w:space="0" w:color="BFBFBF"/>
              <w:right w:val="single" w:sz="4" w:space="0" w:color="BFBFBF"/>
            </w:tcBorders>
            <w:shd w:val="clear" w:color="000000" w:fill="D9D9D9"/>
            <w:hideMark/>
          </w:tcPr>
          <w:p w14:paraId="4AB618B5" w14:textId="77777777" w:rsidR="007067E9" w:rsidRPr="004C7CD4" w:rsidRDefault="007067E9" w:rsidP="004A4AD0">
            <w:pPr>
              <w:pStyle w:val="NoSpacing"/>
              <w:rPr>
                <w:b/>
                <w:bCs/>
              </w:rPr>
            </w:pPr>
            <w:r w:rsidRPr="004C7CD4">
              <w:rPr>
                <w:b/>
                <w:bCs/>
              </w:rPr>
              <w:t>Outcome</w:t>
            </w:r>
          </w:p>
        </w:tc>
      </w:tr>
      <w:tr w:rsidR="007067E9" w:rsidRPr="004C7CD4" w14:paraId="3D52877E" w14:textId="77777777" w:rsidTr="004A4AD0">
        <w:trPr>
          <w:trHeight w:val="960"/>
        </w:trPr>
        <w:tc>
          <w:tcPr>
            <w:tcW w:w="2155" w:type="dxa"/>
            <w:tcBorders>
              <w:top w:val="nil"/>
              <w:left w:val="single" w:sz="4" w:space="0" w:color="BFBFBF"/>
              <w:bottom w:val="single" w:sz="4" w:space="0" w:color="BFBFBF"/>
              <w:right w:val="single" w:sz="4" w:space="0" w:color="BFBFBF"/>
            </w:tcBorders>
            <w:hideMark/>
          </w:tcPr>
          <w:p w14:paraId="6689BA52" w14:textId="77777777" w:rsidR="007067E9" w:rsidRPr="004C7CD4" w:rsidRDefault="007067E9" w:rsidP="004A4AD0">
            <w:pPr>
              <w:pStyle w:val="NoSpacing"/>
              <w:rPr>
                <w:color w:val="374151"/>
              </w:rPr>
            </w:pPr>
            <w:r w:rsidRPr="004C7CD4">
              <w:rPr>
                <w:color w:val="374151"/>
              </w:rPr>
              <w:lastRenderedPageBreak/>
              <w:t>Faster – Accelerated Design Cycle</w:t>
            </w:r>
          </w:p>
        </w:tc>
        <w:tc>
          <w:tcPr>
            <w:tcW w:w="3150" w:type="dxa"/>
            <w:tcBorders>
              <w:top w:val="nil"/>
              <w:left w:val="nil"/>
              <w:bottom w:val="single" w:sz="4" w:space="0" w:color="BFBFBF"/>
              <w:right w:val="single" w:sz="4" w:space="0" w:color="BFBFBF"/>
            </w:tcBorders>
            <w:hideMark/>
          </w:tcPr>
          <w:p w14:paraId="4CBDDA7E" w14:textId="77777777" w:rsidR="007067E9" w:rsidRPr="004C7CD4" w:rsidRDefault="007067E9" w:rsidP="004A4AD0">
            <w:pPr>
              <w:pStyle w:val="NoSpacing"/>
              <w:rPr>
                <w:color w:val="374151"/>
              </w:rPr>
            </w:pPr>
            <w:r w:rsidRPr="004C7CD4">
              <w:rPr>
                <w:color w:val="374151"/>
              </w:rPr>
              <w:t>Concurrent engineering via a digital thread; instant “what</w:t>
            </w:r>
            <w:r w:rsidRPr="004C7CD4">
              <w:rPr>
                <w:color w:val="374151"/>
              </w:rPr>
              <w:noBreakHyphen/>
              <w:t>if” analysis across mechanical, electrical, and software domains</w:t>
            </w:r>
          </w:p>
        </w:tc>
        <w:tc>
          <w:tcPr>
            <w:tcW w:w="3960" w:type="dxa"/>
            <w:tcBorders>
              <w:top w:val="nil"/>
              <w:left w:val="nil"/>
              <w:bottom w:val="single" w:sz="4" w:space="0" w:color="BFBFBF"/>
              <w:right w:val="single" w:sz="4" w:space="0" w:color="BFBFBF"/>
            </w:tcBorders>
            <w:hideMark/>
          </w:tcPr>
          <w:p w14:paraId="2A73F389" w14:textId="77777777" w:rsidR="007067E9" w:rsidRPr="004C7CD4" w:rsidRDefault="007067E9" w:rsidP="004A4AD0">
            <w:pPr>
              <w:pStyle w:val="NoSpacing"/>
              <w:rPr>
                <w:color w:val="374151"/>
              </w:rPr>
            </w:pPr>
            <w:r w:rsidRPr="004C7CD4">
              <w:rPr>
                <w:color w:val="374151"/>
              </w:rPr>
              <w:t>Time</w:t>
            </w:r>
            <w:r w:rsidRPr="004C7CD4">
              <w:rPr>
                <w:color w:val="374151"/>
              </w:rPr>
              <w:noBreakHyphen/>
              <w:t>to</w:t>
            </w:r>
            <w:r w:rsidRPr="004C7CD4">
              <w:rPr>
                <w:color w:val="374151"/>
              </w:rPr>
              <w:noBreakHyphen/>
              <w:t>prototype cut from 12 months to 4 months (66 % improvement)</w:t>
            </w:r>
          </w:p>
        </w:tc>
      </w:tr>
      <w:tr w:rsidR="007067E9" w:rsidRPr="004C7CD4" w14:paraId="0272E11D" w14:textId="77777777" w:rsidTr="004A4AD0">
        <w:trPr>
          <w:trHeight w:val="1200"/>
        </w:trPr>
        <w:tc>
          <w:tcPr>
            <w:tcW w:w="2155" w:type="dxa"/>
            <w:tcBorders>
              <w:top w:val="nil"/>
              <w:left w:val="single" w:sz="4" w:space="0" w:color="BFBFBF"/>
              <w:bottom w:val="single" w:sz="4" w:space="0" w:color="BFBFBF"/>
              <w:right w:val="single" w:sz="4" w:space="0" w:color="BFBFBF"/>
            </w:tcBorders>
            <w:hideMark/>
          </w:tcPr>
          <w:p w14:paraId="2224B382" w14:textId="77777777" w:rsidR="007067E9" w:rsidRPr="004C7CD4" w:rsidRDefault="007067E9" w:rsidP="004A4AD0">
            <w:pPr>
              <w:pStyle w:val="NoSpacing"/>
              <w:rPr>
                <w:color w:val="374151"/>
              </w:rPr>
            </w:pPr>
            <w:r w:rsidRPr="004C7CD4">
              <w:rPr>
                <w:color w:val="374151"/>
              </w:rPr>
              <w:t>Cheaper – Cost</w:t>
            </w:r>
            <w:r w:rsidRPr="004C7CD4">
              <w:rPr>
                <w:color w:val="374151"/>
              </w:rPr>
              <w:noBreakHyphen/>
              <w:t>Avoidance Through Early</w:t>
            </w:r>
            <w:r w:rsidRPr="004C7CD4">
              <w:rPr>
                <w:color w:val="374151"/>
              </w:rPr>
              <w:noBreakHyphen/>
              <w:t>Stage Validation</w:t>
            </w:r>
          </w:p>
        </w:tc>
        <w:tc>
          <w:tcPr>
            <w:tcW w:w="3150" w:type="dxa"/>
            <w:tcBorders>
              <w:top w:val="nil"/>
              <w:left w:val="nil"/>
              <w:bottom w:val="single" w:sz="4" w:space="0" w:color="BFBFBF"/>
              <w:right w:val="single" w:sz="4" w:space="0" w:color="BFBFBF"/>
            </w:tcBorders>
            <w:hideMark/>
          </w:tcPr>
          <w:p w14:paraId="750747AF" w14:textId="77777777" w:rsidR="007067E9" w:rsidRPr="004C7CD4" w:rsidRDefault="007067E9" w:rsidP="004A4AD0">
            <w:pPr>
              <w:pStyle w:val="NoSpacing"/>
              <w:rPr>
                <w:color w:val="374151"/>
              </w:rPr>
            </w:pPr>
            <w:r w:rsidRPr="004C7CD4">
              <w:rPr>
                <w:color w:val="374151"/>
              </w:rPr>
              <w:t>Virtual test</w:t>
            </w:r>
            <w:r w:rsidRPr="004C7CD4">
              <w:rPr>
                <w:color w:val="374151"/>
              </w:rPr>
              <w:noBreakHyphen/>
              <w:t>beds replace ~30 % of costly physical tests; AI</w:t>
            </w:r>
            <w:r w:rsidRPr="004C7CD4">
              <w:rPr>
                <w:color w:val="374151"/>
              </w:rPr>
              <w:noBreakHyphen/>
              <w:t>guided trade studies identify optimal configurations before hardware build</w:t>
            </w:r>
          </w:p>
        </w:tc>
        <w:tc>
          <w:tcPr>
            <w:tcW w:w="3960" w:type="dxa"/>
            <w:tcBorders>
              <w:top w:val="nil"/>
              <w:left w:val="nil"/>
              <w:bottom w:val="single" w:sz="4" w:space="0" w:color="BFBFBF"/>
              <w:right w:val="single" w:sz="4" w:space="0" w:color="BFBFBF"/>
            </w:tcBorders>
            <w:hideMark/>
          </w:tcPr>
          <w:p w14:paraId="3355ED06" w14:textId="77777777" w:rsidR="007067E9" w:rsidRPr="004C7CD4" w:rsidRDefault="007067E9" w:rsidP="004A4AD0">
            <w:pPr>
              <w:pStyle w:val="NoSpacing"/>
              <w:rPr>
                <w:color w:val="374151"/>
              </w:rPr>
            </w:pPr>
            <w:r w:rsidRPr="004C7CD4">
              <w:rPr>
                <w:color w:val="374151"/>
              </w:rPr>
              <w:t>$12 M saved on test</w:t>
            </w:r>
            <w:r w:rsidRPr="004C7CD4">
              <w:rPr>
                <w:color w:val="374151"/>
              </w:rPr>
              <w:noBreakHyphen/>
              <w:t>and</w:t>
            </w:r>
            <w:r w:rsidRPr="004C7CD4">
              <w:rPr>
                <w:color w:val="374151"/>
              </w:rPr>
              <w:noBreakHyphen/>
              <w:t>evaluation per program</w:t>
            </w:r>
          </w:p>
        </w:tc>
      </w:tr>
      <w:tr w:rsidR="007067E9" w:rsidRPr="004C7CD4" w14:paraId="3FD576F4" w14:textId="77777777" w:rsidTr="004A4AD0">
        <w:trPr>
          <w:trHeight w:val="960"/>
        </w:trPr>
        <w:tc>
          <w:tcPr>
            <w:tcW w:w="2155" w:type="dxa"/>
            <w:tcBorders>
              <w:top w:val="nil"/>
              <w:left w:val="single" w:sz="4" w:space="0" w:color="BFBFBF"/>
              <w:bottom w:val="single" w:sz="4" w:space="0" w:color="BFBFBF"/>
              <w:right w:val="single" w:sz="4" w:space="0" w:color="BFBFBF"/>
            </w:tcBorders>
            <w:hideMark/>
          </w:tcPr>
          <w:p w14:paraId="0C32D886" w14:textId="77777777" w:rsidR="007067E9" w:rsidRPr="004C7CD4" w:rsidRDefault="007067E9" w:rsidP="004A4AD0">
            <w:pPr>
              <w:pStyle w:val="NoSpacing"/>
              <w:rPr>
                <w:color w:val="374151"/>
              </w:rPr>
            </w:pPr>
            <w:r w:rsidRPr="004C7CD4">
              <w:rPr>
                <w:color w:val="374151"/>
              </w:rPr>
              <w:t>More</w:t>
            </w:r>
            <w:r w:rsidRPr="004C7CD4">
              <w:rPr>
                <w:color w:val="374151"/>
              </w:rPr>
              <w:noBreakHyphen/>
              <w:t>with</w:t>
            </w:r>
            <w:r w:rsidRPr="004C7CD4">
              <w:rPr>
                <w:color w:val="374151"/>
              </w:rPr>
              <w:noBreakHyphen/>
              <w:t>Less – Higher Performance at Same Footprint</w:t>
            </w:r>
          </w:p>
        </w:tc>
        <w:tc>
          <w:tcPr>
            <w:tcW w:w="3150" w:type="dxa"/>
            <w:tcBorders>
              <w:top w:val="nil"/>
              <w:left w:val="nil"/>
              <w:bottom w:val="single" w:sz="4" w:space="0" w:color="BFBFBF"/>
              <w:right w:val="single" w:sz="4" w:space="0" w:color="BFBFBF"/>
            </w:tcBorders>
            <w:hideMark/>
          </w:tcPr>
          <w:p w14:paraId="15A94EFF" w14:textId="77777777" w:rsidR="007067E9" w:rsidRPr="004C7CD4" w:rsidRDefault="007067E9" w:rsidP="004A4AD0">
            <w:pPr>
              <w:pStyle w:val="NoSpacing"/>
              <w:rPr>
                <w:color w:val="374151"/>
              </w:rPr>
            </w:pPr>
            <w:r w:rsidRPr="004C7CD4">
              <w:rPr>
                <w:color w:val="374151"/>
              </w:rPr>
              <w:t>SWAP</w:t>
            </w:r>
            <w:r w:rsidRPr="004C7CD4">
              <w:rPr>
                <w:color w:val="374151"/>
              </w:rPr>
              <w:noBreakHyphen/>
              <w:t>driven topology optimization yields lighter, more efficient airframe while maintaining structural margins</w:t>
            </w:r>
          </w:p>
        </w:tc>
        <w:tc>
          <w:tcPr>
            <w:tcW w:w="3960" w:type="dxa"/>
            <w:tcBorders>
              <w:top w:val="nil"/>
              <w:left w:val="nil"/>
              <w:bottom w:val="single" w:sz="4" w:space="0" w:color="BFBFBF"/>
              <w:right w:val="single" w:sz="4" w:space="0" w:color="BFBFBF"/>
            </w:tcBorders>
            <w:hideMark/>
          </w:tcPr>
          <w:p w14:paraId="1B484D98" w14:textId="77777777" w:rsidR="007067E9" w:rsidRPr="004C7CD4" w:rsidRDefault="007067E9" w:rsidP="004A4AD0">
            <w:pPr>
              <w:pStyle w:val="NoSpacing"/>
              <w:rPr>
                <w:color w:val="374151"/>
              </w:rPr>
            </w:pPr>
            <w:r w:rsidRPr="004C7CD4">
              <w:rPr>
                <w:color w:val="374151"/>
              </w:rPr>
              <w:t>Payload increase of 8 % without platform redesign</w:t>
            </w:r>
          </w:p>
        </w:tc>
      </w:tr>
      <w:tr w:rsidR="007067E9" w:rsidRPr="004C7CD4" w14:paraId="0795C4A1" w14:textId="77777777" w:rsidTr="004A4AD0">
        <w:trPr>
          <w:trHeight w:val="960"/>
        </w:trPr>
        <w:tc>
          <w:tcPr>
            <w:tcW w:w="2155" w:type="dxa"/>
            <w:tcBorders>
              <w:top w:val="nil"/>
              <w:left w:val="single" w:sz="4" w:space="0" w:color="BFBFBF"/>
              <w:bottom w:val="single" w:sz="4" w:space="0" w:color="BFBFBF"/>
              <w:right w:val="single" w:sz="4" w:space="0" w:color="BFBFBF"/>
            </w:tcBorders>
            <w:hideMark/>
          </w:tcPr>
          <w:p w14:paraId="7B414FB5" w14:textId="77777777" w:rsidR="007067E9" w:rsidRPr="004C7CD4" w:rsidRDefault="007067E9" w:rsidP="004A4AD0">
            <w:pPr>
              <w:pStyle w:val="NoSpacing"/>
              <w:rPr>
                <w:color w:val="374151"/>
              </w:rPr>
            </w:pPr>
            <w:r w:rsidRPr="004C7CD4">
              <w:rPr>
                <w:color w:val="374151"/>
              </w:rPr>
              <w:t>Data</w:t>
            </w:r>
            <w:r w:rsidRPr="004C7CD4">
              <w:rPr>
                <w:color w:val="374151"/>
              </w:rPr>
              <w:noBreakHyphen/>
              <w:t>Driven Decision Making</w:t>
            </w:r>
          </w:p>
        </w:tc>
        <w:tc>
          <w:tcPr>
            <w:tcW w:w="3150" w:type="dxa"/>
            <w:tcBorders>
              <w:top w:val="nil"/>
              <w:left w:val="nil"/>
              <w:bottom w:val="single" w:sz="4" w:space="0" w:color="BFBFBF"/>
              <w:right w:val="single" w:sz="4" w:space="0" w:color="BFBFBF"/>
            </w:tcBorders>
            <w:hideMark/>
          </w:tcPr>
          <w:p w14:paraId="139BCBD7" w14:textId="77777777" w:rsidR="007067E9" w:rsidRPr="004C7CD4" w:rsidRDefault="007067E9" w:rsidP="004A4AD0">
            <w:pPr>
              <w:pStyle w:val="NoSpacing"/>
              <w:rPr>
                <w:color w:val="374151"/>
              </w:rPr>
            </w:pPr>
            <w:r w:rsidRPr="004C7CD4">
              <w:rPr>
                <w:color w:val="374151"/>
              </w:rPr>
              <w:t>Integrated analytics surface telemetry, logistics, and cost data → actionable insights for engineering and sustainment</w:t>
            </w:r>
          </w:p>
        </w:tc>
        <w:tc>
          <w:tcPr>
            <w:tcW w:w="3960" w:type="dxa"/>
            <w:tcBorders>
              <w:top w:val="nil"/>
              <w:left w:val="nil"/>
              <w:bottom w:val="single" w:sz="4" w:space="0" w:color="BFBFBF"/>
              <w:right w:val="single" w:sz="4" w:space="0" w:color="BFBFBF"/>
            </w:tcBorders>
            <w:hideMark/>
          </w:tcPr>
          <w:p w14:paraId="5AE7BEF6" w14:textId="77777777" w:rsidR="007067E9" w:rsidRPr="004C7CD4" w:rsidRDefault="007067E9" w:rsidP="004A4AD0">
            <w:pPr>
              <w:pStyle w:val="NoSpacing"/>
              <w:rPr>
                <w:color w:val="374151"/>
              </w:rPr>
            </w:pPr>
            <w:r w:rsidRPr="004C7CD4">
              <w:rPr>
                <w:color w:val="374151"/>
              </w:rPr>
              <w:t>Customer reported 15 % higher mission</w:t>
            </w:r>
            <w:r w:rsidRPr="004C7CD4">
              <w:rPr>
                <w:color w:val="374151"/>
              </w:rPr>
              <w:noBreakHyphen/>
              <w:t>available rate</w:t>
            </w:r>
          </w:p>
        </w:tc>
      </w:tr>
    </w:tbl>
    <w:p w14:paraId="2FDC2FAA" w14:textId="77777777" w:rsidR="007067E9" w:rsidRPr="00723B21" w:rsidRDefault="007067E9" w:rsidP="007067E9">
      <w:pPr>
        <w:pStyle w:val="Heading3"/>
      </w:pPr>
      <w:r w:rsidRPr="00723B21">
        <w:t>Linking Digital Engineering to Metrics, KPIs, &amp; SMART Goals</w:t>
      </w:r>
    </w:p>
    <w:p w14:paraId="5A07637F" w14:textId="33AA282D" w:rsidR="007067E9" w:rsidRPr="00B0536E" w:rsidRDefault="007067E9" w:rsidP="00B0536E">
      <w:r w:rsidRPr="006569EA">
        <w:t>To translate digital</w:t>
      </w:r>
      <w:r w:rsidRPr="00723B21">
        <w:rPr>
          <w:rFonts w:ascii="Cambria Math" w:hAnsi="Cambria Math" w:cs="Cambria Math"/>
        </w:rPr>
        <w:t>‑</w:t>
      </w:r>
      <w:r w:rsidRPr="006569EA">
        <w:t>engineering activities into business outcomes, tie each initiative to a SMART objective (e.g., “Reduce overall program schedule by 20 % within 18 months”). Align that objective with specific KPIs such as Design</w:t>
      </w:r>
      <w:r w:rsidRPr="00723B21">
        <w:rPr>
          <w:rFonts w:ascii="Cambria Math" w:hAnsi="Cambria Math" w:cs="Cambria Math"/>
        </w:rPr>
        <w:t>‑</w:t>
      </w:r>
      <w:r w:rsidRPr="006569EA">
        <w:t>Iteration Lead Time, Weight Reduction Percentage, or Mean</w:t>
      </w:r>
      <w:r w:rsidRPr="00723B21">
        <w:rPr>
          <w:rFonts w:ascii="Cambria Math" w:hAnsi="Cambria Math" w:cs="Cambria Math"/>
        </w:rPr>
        <w:t>‑</w:t>
      </w:r>
      <w:r w:rsidRPr="006569EA">
        <w:t>Time</w:t>
      </w:r>
      <w:r w:rsidRPr="00723B21">
        <w:rPr>
          <w:rFonts w:ascii="Cambria Math" w:hAnsi="Cambria Math" w:cs="Cambria Math"/>
        </w:rPr>
        <w:t>‑</w:t>
      </w:r>
      <w:r w:rsidRPr="006569EA">
        <w:t>Between</w:t>
      </w:r>
      <w:r w:rsidRPr="00723B21">
        <w:rPr>
          <w:rFonts w:ascii="Cambria Math" w:hAnsi="Cambria Math" w:cs="Cambria Math"/>
        </w:rPr>
        <w:t>‑</w:t>
      </w:r>
      <w:r w:rsidRPr="006569EA">
        <w:t>Failure. Measure these KPIs via model</w:t>
      </w:r>
      <w:r w:rsidRPr="00723B21">
        <w:rPr>
          <w:rFonts w:ascii="Cambria Math" w:hAnsi="Cambria Math" w:cs="Cambria Math"/>
        </w:rPr>
        <w:t>‑</w:t>
      </w:r>
      <w:r w:rsidRPr="006569EA">
        <w:t>based logs, telemetry streams, and automated test</w:t>
      </w:r>
      <w:r w:rsidRPr="00723B21">
        <w:rPr>
          <w:rFonts w:ascii="Cambria Math" w:hAnsi="Cambria Math" w:cs="Cambria Math"/>
        </w:rPr>
        <w:t>‑</w:t>
      </w:r>
      <w:r w:rsidRPr="006569EA">
        <w:t>bench results, and display them on real</w:t>
      </w:r>
      <w:r w:rsidRPr="00723B21">
        <w:rPr>
          <w:rFonts w:ascii="Cambria Math" w:hAnsi="Cambria Math" w:cs="Cambria Math"/>
        </w:rPr>
        <w:t>‑</w:t>
      </w:r>
      <w:r w:rsidRPr="006569EA">
        <w:t>time dashboards. The resulting visibility reveals direct ROI—lower labor costs, fuel savings, reduced sustainment expenses—and demonstrates tangible value to both executives and customers.</w:t>
      </w:r>
      <w:r w:rsidR="00B0536E">
        <w:t xml:space="preserve"> Example case studies where organizations used digital engineering and </w:t>
      </w:r>
      <w:r w:rsidR="0092487B">
        <w:t xml:space="preserve">received positive impacts are in </w:t>
      </w:r>
      <w:r w:rsidR="0092487B">
        <w:fldChar w:fldCharType="begin"/>
      </w:r>
      <w:r w:rsidR="0092487B">
        <w:instrText xml:space="preserve"> REF _Ref233802267 \h </w:instrText>
      </w:r>
      <w:r w:rsidR="0092487B">
        <w:fldChar w:fldCharType="separate"/>
      </w:r>
      <w:r w:rsidR="0092487B">
        <w:t xml:space="preserve">Table </w:t>
      </w:r>
      <w:r w:rsidR="0092487B">
        <w:rPr>
          <w:noProof/>
        </w:rPr>
        <w:t>5</w:t>
      </w:r>
      <w:r w:rsidR="0092487B">
        <w:fldChar w:fldCharType="end"/>
      </w:r>
      <w:r w:rsidR="0092487B">
        <w:t>.</w:t>
      </w:r>
    </w:p>
    <w:p w14:paraId="4A352A5D" w14:textId="1F08E07E" w:rsidR="00BF25C3" w:rsidRDefault="00BF25C3" w:rsidP="00BF25C3">
      <w:pPr>
        <w:pStyle w:val="Caption"/>
        <w:keepNext/>
      </w:pPr>
      <w:bookmarkStart w:id="37" w:name="_Ref233802267"/>
      <w:r>
        <w:t xml:space="preserve">Table </w:t>
      </w:r>
      <w:fldSimple w:instr=" SEQ Table \* ARABIC ">
        <w:r>
          <w:rPr>
            <w:noProof/>
          </w:rPr>
          <w:t>5</w:t>
        </w:r>
      </w:fldSimple>
      <w:bookmarkEnd w:id="37"/>
      <w:r>
        <w:t>: Examples of case studies where implementing digital engineering directly contributed to meeting various key performance indices.</w:t>
      </w:r>
    </w:p>
    <w:tbl>
      <w:tblPr>
        <w:tblW w:w="5000" w:type="pct"/>
        <w:tblLook w:val="04A0" w:firstRow="1" w:lastRow="0" w:firstColumn="1" w:lastColumn="0" w:noHBand="0" w:noVBand="1"/>
      </w:tblPr>
      <w:tblGrid>
        <w:gridCol w:w="1603"/>
        <w:gridCol w:w="1802"/>
        <w:gridCol w:w="2388"/>
        <w:gridCol w:w="2108"/>
        <w:gridCol w:w="1449"/>
      </w:tblGrid>
      <w:tr w:rsidR="007067E9" w:rsidRPr="004C7CD4" w14:paraId="7EFAA02E" w14:textId="77777777" w:rsidTr="004A4AD0">
        <w:trPr>
          <w:trHeight w:val="288"/>
        </w:trPr>
        <w:tc>
          <w:tcPr>
            <w:tcW w:w="825" w:type="pct"/>
            <w:tcBorders>
              <w:top w:val="single" w:sz="4" w:space="0" w:color="BFBFBF"/>
              <w:left w:val="single" w:sz="4" w:space="0" w:color="BFBFBF"/>
              <w:bottom w:val="single" w:sz="4" w:space="0" w:color="BFBFBF"/>
              <w:right w:val="single" w:sz="4" w:space="0" w:color="BFBFBF"/>
            </w:tcBorders>
            <w:vAlign w:val="center"/>
            <w:hideMark/>
          </w:tcPr>
          <w:p w14:paraId="6880EACE" w14:textId="77777777" w:rsidR="007067E9" w:rsidRPr="004C7CD4" w:rsidRDefault="007067E9" w:rsidP="004A4AD0">
            <w:pPr>
              <w:pStyle w:val="NoSpacing"/>
              <w:rPr>
                <w:b/>
                <w:bCs/>
              </w:rPr>
            </w:pPr>
            <w:r w:rsidRPr="004C7CD4">
              <w:rPr>
                <w:b/>
                <w:bCs/>
              </w:rPr>
              <w:t>Case Study</w:t>
            </w:r>
          </w:p>
        </w:tc>
        <w:tc>
          <w:tcPr>
            <w:tcW w:w="927" w:type="pct"/>
            <w:tcBorders>
              <w:top w:val="single" w:sz="4" w:space="0" w:color="BFBFBF"/>
              <w:left w:val="nil"/>
              <w:bottom w:val="single" w:sz="4" w:space="0" w:color="BFBFBF"/>
              <w:right w:val="single" w:sz="4" w:space="0" w:color="BFBFBF"/>
            </w:tcBorders>
            <w:vAlign w:val="center"/>
            <w:hideMark/>
          </w:tcPr>
          <w:p w14:paraId="34BCE1B7" w14:textId="77777777" w:rsidR="007067E9" w:rsidRPr="004C7CD4" w:rsidRDefault="007067E9" w:rsidP="004A4AD0">
            <w:pPr>
              <w:pStyle w:val="NoSpacing"/>
              <w:rPr>
                <w:b/>
                <w:bCs/>
              </w:rPr>
            </w:pPr>
            <w:r w:rsidRPr="004C7CD4">
              <w:rPr>
                <w:b/>
                <w:bCs/>
              </w:rPr>
              <w:t>Context</w:t>
            </w:r>
          </w:p>
        </w:tc>
        <w:tc>
          <w:tcPr>
            <w:tcW w:w="1358" w:type="pct"/>
            <w:tcBorders>
              <w:top w:val="single" w:sz="4" w:space="0" w:color="BFBFBF"/>
              <w:left w:val="nil"/>
              <w:bottom w:val="single" w:sz="4" w:space="0" w:color="BFBFBF"/>
              <w:right w:val="single" w:sz="4" w:space="0" w:color="BFBFBF"/>
            </w:tcBorders>
            <w:vAlign w:val="center"/>
            <w:hideMark/>
          </w:tcPr>
          <w:p w14:paraId="4D2BED24" w14:textId="77777777" w:rsidR="007067E9" w:rsidRPr="004C7CD4" w:rsidRDefault="007067E9" w:rsidP="004A4AD0">
            <w:pPr>
              <w:pStyle w:val="NoSpacing"/>
              <w:rPr>
                <w:b/>
                <w:bCs/>
              </w:rPr>
            </w:pPr>
            <w:r w:rsidRPr="004C7CD4">
              <w:rPr>
                <w:b/>
                <w:bCs/>
              </w:rPr>
              <w:t>Digital</w:t>
            </w:r>
            <w:r w:rsidRPr="004C7CD4">
              <w:rPr>
                <w:b/>
                <w:bCs/>
              </w:rPr>
              <w:noBreakHyphen/>
              <w:t>Engineering Lever</w:t>
            </w:r>
          </w:p>
        </w:tc>
        <w:tc>
          <w:tcPr>
            <w:tcW w:w="1085" w:type="pct"/>
            <w:tcBorders>
              <w:top w:val="single" w:sz="4" w:space="0" w:color="BFBFBF"/>
              <w:left w:val="nil"/>
              <w:bottom w:val="single" w:sz="4" w:space="0" w:color="BFBFBF"/>
              <w:right w:val="single" w:sz="4" w:space="0" w:color="BFBFBF"/>
            </w:tcBorders>
            <w:vAlign w:val="center"/>
            <w:hideMark/>
          </w:tcPr>
          <w:p w14:paraId="293558BE" w14:textId="77777777" w:rsidR="007067E9" w:rsidRPr="004C7CD4" w:rsidRDefault="007067E9" w:rsidP="004A4AD0">
            <w:pPr>
              <w:pStyle w:val="NoSpacing"/>
              <w:rPr>
                <w:b/>
                <w:bCs/>
              </w:rPr>
            </w:pPr>
            <w:r w:rsidRPr="004C7CD4">
              <w:rPr>
                <w:b/>
                <w:bCs/>
              </w:rPr>
              <w:t>Quantifiable Impact</w:t>
            </w:r>
          </w:p>
        </w:tc>
        <w:tc>
          <w:tcPr>
            <w:tcW w:w="806" w:type="pct"/>
            <w:tcBorders>
              <w:top w:val="single" w:sz="4" w:space="0" w:color="BFBFBF"/>
              <w:left w:val="nil"/>
              <w:bottom w:val="single" w:sz="4" w:space="0" w:color="BFBFBF"/>
              <w:right w:val="single" w:sz="4" w:space="0" w:color="BFBFBF"/>
            </w:tcBorders>
            <w:vAlign w:val="center"/>
            <w:hideMark/>
          </w:tcPr>
          <w:p w14:paraId="7E9A429E" w14:textId="77777777" w:rsidR="007067E9" w:rsidRPr="004C7CD4" w:rsidRDefault="007067E9" w:rsidP="004A4AD0">
            <w:pPr>
              <w:pStyle w:val="NoSpacing"/>
              <w:rPr>
                <w:b/>
                <w:bCs/>
              </w:rPr>
            </w:pPr>
            <w:r w:rsidRPr="004C7CD4">
              <w:rPr>
                <w:b/>
                <w:bCs/>
              </w:rPr>
              <w:t>Reference</w:t>
            </w:r>
          </w:p>
        </w:tc>
      </w:tr>
      <w:tr w:rsidR="007067E9" w:rsidRPr="004C7CD4" w14:paraId="64A9C874" w14:textId="77777777" w:rsidTr="004A4AD0">
        <w:trPr>
          <w:trHeight w:val="1440"/>
        </w:trPr>
        <w:tc>
          <w:tcPr>
            <w:tcW w:w="825" w:type="pct"/>
            <w:tcBorders>
              <w:top w:val="nil"/>
              <w:left w:val="single" w:sz="4" w:space="0" w:color="BFBFBF"/>
              <w:bottom w:val="single" w:sz="4" w:space="0" w:color="BFBFBF"/>
              <w:right w:val="single" w:sz="4" w:space="0" w:color="BFBFBF"/>
            </w:tcBorders>
            <w:vAlign w:val="center"/>
            <w:hideMark/>
          </w:tcPr>
          <w:p w14:paraId="6FDFFD6B" w14:textId="77777777" w:rsidR="007067E9" w:rsidRPr="004C7CD4" w:rsidRDefault="007067E9" w:rsidP="004A4AD0">
            <w:pPr>
              <w:pStyle w:val="NoSpacing"/>
            </w:pPr>
            <w:r w:rsidRPr="004C7CD4">
              <w:t>U.S. Navy – DDG</w:t>
            </w:r>
            <w:r w:rsidRPr="004C7CD4">
              <w:noBreakHyphen/>
              <w:t>51 Flight</w:t>
            </w:r>
            <w:r w:rsidRPr="004C7CD4">
              <w:noBreakHyphen/>
              <w:t>Control Upgrade</w:t>
            </w:r>
          </w:p>
        </w:tc>
        <w:tc>
          <w:tcPr>
            <w:tcW w:w="927" w:type="pct"/>
            <w:tcBorders>
              <w:top w:val="nil"/>
              <w:left w:val="nil"/>
              <w:bottom w:val="single" w:sz="4" w:space="0" w:color="BFBFBF"/>
              <w:right w:val="single" w:sz="4" w:space="0" w:color="BFBFBF"/>
            </w:tcBorders>
            <w:vAlign w:val="center"/>
            <w:hideMark/>
          </w:tcPr>
          <w:p w14:paraId="7F09E3AF" w14:textId="77777777" w:rsidR="007067E9" w:rsidRPr="004C7CD4" w:rsidRDefault="007067E9" w:rsidP="004A4AD0">
            <w:pPr>
              <w:pStyle w:val="NoSpacing"/>
            </w:pPr>
            <w:r w:rsidRPr="004C7CD4">
              <w:t>Modernization of a guided</w:t>
            </w:r>
            <w:r w:rsidRPr="004C7CD4">
              <w:noBreakHyphen/>
              <w:t>missile destroyer’s control software</w:t>
            </w:r>
          </w:p>
        </w:tc>
        <w:tc>
          <w:tcPr>
            <w:tcW w:w="1358" w:type="pct"/>
            <w:tcBorders>
              <w:top w:val="nil"/>
              <w:left w:val="nil"/>
              <w:bottom w:val="single" w:sz="4" w:space="0" w:color="BFBFBF"/>
              <w:right w:val="single" w:sz="4" w:space="0" w:color="BFBFBF"/>
            </w:tcBorders>
            <w:vAlign w:val="center"/>
            <w:hideMark/>
          </w:tcPr>
          <w:p w14:paraId="3970AD7B" w14:textId="77777777" w:rsidR="007067E9" w:rsidRPr="004C7CD4" w:rsidRDefault="007067E9" w:rsidP="004A4AD0">
            <w:pPr>
              <w:pStyle w:val="NoSpacing"/>
            </w:pPr>
            <w:r w:rsidRPr="004C7CD4">
              <w:t>MBSE</w:t>
            </w:r>
            <w:r w:rsidRPr="004C7CD4">
              <w:noBreakHyphen/>
              <w:t>driven digital twin + automated code generation</w:t>
            </w:r>
          </w:p>
        </w:tc>
        <w:tc>
          <w:tcPr>
            <w:tcW w:w="1085" w:type="pct"/>
            <w:tcBorders>
              <w:top w:val="nil"/>
              <w:left w:val="nil"/>
              <w:bottom w:val="single" w:sz="4" w:space="0" w:color="BFBFBF"/>
              <w:right w:val="single" w:sz="4" w:space="0" w:color="BFBFBF"/>
            </w:tcBorders>
            <w:vAlign w:val="center"/>
            <w:hideMark/>
          </w:tcPr>
          <w:p w14:paraId="32BC19BB" w14:textId="77777777" w:rsidR="007067E9" w:rsidRPr="004C7CD4" w:rsidRDefault="007067E9" w:rsidP="004A4AD0">
            <w:pPr>
              <w:pStyle w:val="NoSpacing"/>
            </w:pPr>
            <w:r w:rsidRPr="004C7CD4">
              <w:t>18 % reduction in development time (12 mo → 10 mo); $9 M software</w:t>
            </w:r>
            <w:r w:rsidRPr="004C7CD4">
              <w:noBreakHyphen/>
              <w:t>lifecycle cost avoidance</w:t>
            </w:r>
          </w:p>
        </w:tc>
        <w:tc>
          <w:tcPr>
            <w:tcW w:w="806" w:type="pct"/>
            <w:tcBorders>
              <w:top w:val="nil"/>
              <w:left w:val="nil"/>
              <w:bottom w:val="single" w:sz="4" w:space="0" w:color="BFBFBF"/>
              <w:right w:val="single" w:sz="4" w:space="0" w:color="BFBFBF"/>
            </w:tcBorders>
            <w:vAlign w:val="center"/>
            <w:hideMark/>
          </w:tcPr>
          <w:p w14:paraId="7533F0CC" w14:textId="77777777" w:rsidR="007067E9" w:rsidRPr="004C7CD4" w:rsidRDefault="007067E9" w:rsidP="004A4AD0">
            <w:pPr>
              <w:pStyle w:val="NoSpacing"/>
            </w:pPr>
            <w:r w:rsidRPr="004C7CD4">
              <w:t>Naval Surface Warfare Center (NSWC) Technical Report, 2022</w:t>
            </w:r>
          </w:p>
        </w:tc>
      </w:tr>
      <w:tr w:rsidR="007067E9" w:rsidRPr="004C7CD4" w14:paraId="56E3D1A1" w14:textId="77777777" w:rsidTr="004A4AD0">
        <w:trPr>
          <w:trHeight w:val="1200"/>
        </w:trPr>
        <w:tc>
          <w:tcPr>
            <w:tcW w:w="825" w:type="pct"/>
            <w:tcBorders>
              <w:top w:val="nil"/>
              <w:left w:val="single" w:sz="4" w:space="0" w:color="BFBFBF"/>
              <w:bottom w:val="single" w:sz="4" w:space="0" w:color="BFBFBF"/>
              <w:right w:val="single" w:sz="4" w:space="0" w:color="BFBFBF"/>
            </w:tcBorders>
            <w:vAlign w:val="center"/>
            <w:hideMark/>
          </w:tcPr>
          <w:p w14:paraId="607BFE34" w14:textId="77777777" w:rsidR="007067E9" w:rsidRPr="004C7CD4" w:rsidRDefault="007067E9" w:rsidP="004A4AD0">
            <w:pPr>
              <w:pStyle w:val="NoSpacing"/>
            </w:pPr>
            <w:r w:rsidRPr="004C7CD4">
              <w:lastRenderedPageBreak/>
              <w:t>Air Force – F</w:t>
            </w:r>
            <w:r w:rsidRPr="004C7CD4">
              <w:noBreakHyphen/>
              <w:t>35 Sustainment Digital Twin</w:t>
            </w:r>
          </w:p>
        </w:tc>
        <w:tc>
          <w:tcPr>
            <w:tcW w:w="927" w:type="pct"/>
            <w:tcBorders>
              <w:top w:val="nil"/>
              <w:left w:val="nil"/>
              <w:bottom w:val="single" w:sz="4" w:space="0" w:color="BFBFBF"/>
              <w:right w:val="single" w:sz="4" w:space="0" w:color="BFBFBF"/>
            </w:tcBorders>
            <w:vAlign w:val="center"/>
            <w:hideMark/>
          </w:tcPr>
          <w:p w14:paraId="0FD3F898" w14:textId="77777777" w:rsidR="007067E9" w:rsidRPr="004C7CD4" w:rsidRDefault="007067E9" w:rsidP="004A4AD0">
            <w:pPr>
              <w:pStyle w:val="NoSpacing"/>
            </w:pPr>
            <w:r w:rsidRPr="004C7CD4">
              <w:t>Predictive maintenance for F</w:t>
            </w:r>
            <w:r w:rsidRPr="004C7CD4">
              <w:noBreakHyphen/>
              <w:t>35 fleet</w:t>
            </w:r>
          </w:p>
        </w:tc>
        <w:tc>
          <w:tcPr>
            <w:tcW w:w="1358" w:type="pct"/>
            <w:tcBorders>
              <w:top w:val="nil"/>
              <w:left w:val="nil"/>
              <w:bottom w:val="single" w:sz="4" w:space="0" w:color="BFBFBF"/>
              <w:right w:val="single" w:sz="4" w:space="0" w:color="BFBFBF"/>
            </w:tcBorders>
            <w:vAlign w:val="center"/>
            <w:hideMark/>
          </w:tcPr>
          <w:p w14:paraId="51F4A1AE" w14:textId="77777777" w:rsidR="007067E9" w:rsidRPr="004C7CD4" w:rsidRDefault="007067E9" w:rsidP="004A4AD0">
            <w:pPr>
              <w:pStyle w:val="NoSpacing"/>
            </w:pPr>
            <w:r w:rsidRPr="004C7CD4">
              <w:t>High</w:t>
            </w:r>
            <w:r w:rsidRPr="004C7CD4">
              <w:noBreakHyphen/>
              <w:t>fidelity twin linked to real</w:t>
            </w:r>
            <w:r w:rsidRPr="004C7CD4">
              <w:noBreakHyphen/>
              <w:t>time health telemetry</w:t>
            </w:r>
          </w:p>
        </w:tc>
        <w:tc>
          <w:tcPr>
            <w:tcW w:w="1085" w:type="pct"/>
            <w:tcBorders>
              <w:top w:val="nil"/>
              <w:left w:val="nil"/>
              <w:bottom w:val="single" w:sz="4" w:space="0" w:color="BFBFBF"/>
              <w:right w:val="single" w:sz="4" w:space="0" w:color="BFBFBF"/>
            </w:tcBorders>
            <w:vAlign w:val="center"/>
            <w:hideMark/>
          </w:tcPr>
          <w:p w14:paraId="30EB6E79" w14:textId="77777777" w:rsidR="007067E9" w:rsidRPr="004C7CD4" w:rsidRDefault="007067E9" w:rsidP="004A4AD0">
            <w:pPr>
              <w:pStyle w:val="NoSpacing"/>
            </w:pPr>
            <w:r w:rsidRPr="004C7CD4">
              <w:t>22 % drop in unplanned aircraft downtime; $30 M annual logistics saving</w:t>
            </w:r>
          </w:p>
        </w:tc>
        <w:tc>
          <w:tcPr>
            <w:tcW w:w="806" w:type="pct"/>
            <w:tcBorders>
              <w:top w:val="nil"/>
              <w:left w:val="nil"/>
              <w:bottom w:val="single" w:sz="4" w:space="0" w:color="BFBFBF"/>
              <w:right w:val="single" w:sz="4" w:space="0" w:color="BFBFBF"/>
            </w:tcBorders>
            <w:vAlign w:val="center"/>
            <w:hideMark/>
          </w:tcPr>
          <w:p w14:paraId="52F9DEC3" w14:textId="77777777" w:rsidR="007067E9" w:rsidRPr="004C7CD4" w:rsidRDefault="007067E9" w:rsidP="004A4AD0">
            <w:pPr>
              <w:pStyle w:val="NoSpacing"/>
            </w:pPr>
            <w:r w:rsidRPr="004C7CD4">
              <w:t>AFWERX Innovation Symposium Proceedings, 2023</w:t>
            </w:r>
          </w:p>
        </w:tc>
      </w:tr>
      <w:tr w:rsidR="007067E9" w:rsidRPr="004C7CD4" w14:paraId="691A0513" w14:textId="77777777" w:rsidTr="004A4AD0">
        <w:trPr>
          <w:trHeight w:val="2160"/>
        </w:trPr>
        <w:tc>
          <w:tcPr>
            <w:tcW w:w="825" w:type="pct"/>
            <w:tcBorders>
              <w:top w:val="nil"/>
              <w:left w:val="single" w:sz="4" w:space="0" w:color="BFBFBF"/>
              <w:bottom w:val="single" w:sz="4" w:space="0" w:color="BFBFBF"/>
              <w:right w:val="single" w:sz="4" w:space="0" w:color="BFBFBF"/>
            </w:tcBorders>
            <w:vAlign w:val="center"/>
            <w:hideMark/>
          </w:tcPr>
          <w:p w14:paraId="7CEDF1D0" w14:textId="77777777" w:rsidR="007067E9" w:rsidRPr="004C7CD4" w:rsidRDefault="007067E9" w:rsidP="004A4AD0">
            <w:pPr>
              <w:pStyle w:val="NoSpacing"/>
            </w:pPr>
            <w:r w:rsidRPr="004C7CD4">
              <w:t>Lockheed Martin – Skunk Works Satellite Constellation</w:t>
            </w:r>
          </w:p>
        </w:tc>
        <w:tc>
          <w:tcPr>
            <w:tcW w:w="927" w:type="pct"/>
            <w:tcBorders>
              <w:top w:val="nil"/>
              <w:left w:val="nil"/>
              <w:bottom w:val="single" w:sz="4" w:space="0" w:color="BFBFBF"/>
              <w:right w:val="single" w:sz="4" w:space="0" w:color="BFBFBF"/>
            </w:tcBorders>
            <w:vAlign w:val="center"/>
            <w:hideMark/>
          </w:tcPr>
          <w:p w14:paraId="4F62C115" w14:textId="77777777" w:rsidR="007067E9" w:rsidRPr="004C7CD4" w:rsidRDefault="007067E9" w:rsidP="004A4AD0">
            <w:pPr>
              <w:pStyle w:val="NoSpacing"/>
            </w:pPr>
            <w:r w:rsidRPr="004C7CD4">
              <w:t>Rapid design of a low</w:t>
            </w:r>
            <w:r w:rsidRPr="004C7CD4">
              <w:noBreakHyphen/>
              <w:t>Earth</w:t>
            </w:r>
            <w:r w:rsidRPr="004C7CD4">
              <w:noBreakHyphen/>
              <w:t>orbit communications constellation</w:t>
            </w:r>
          </w:p>
        </w:tc>
        <w:tc>
          <w:tcPr>
            <w:tcW w:w="1358" w:type="pct"/>
            <w:tcBorders>
              <w:top w:val="nil"/>
              <w:left w:val="nil"/>
              <w:bottom w:val="single" w:sz="4" w:space="0" w:color="BFBFBF"/>
              <w:right w:val="single" w:sz="4" w:space="0" w:color="BFBFBF"/>
            </w:tcBorders>
            <w:vAlign w:val="center"/>
            <w:hideMark/>
          </w:tcPr>
          <w:p w14:paraId="1A961AAC" w14:textId="77777777" w:rsidR="007067E9" w:rsidRPr="004C7CD4" w:rsidRDefault="007067E9" w:rsidP="004A4AD0">
            <w:pPr>
              <w:pStyle w:val="NoSpacing"/>
            </w:pPr>
            <w:r w:rsidRPr="004C7CD4">
              <w:t>Topology optimization + AI</w:t>
            </w:r>
            <w:r w:rsidRPr="004C7CD4">
              <w:noBreakHyphen/>
              <w:t>guided trade studies (SWAP focus)</w:t>
            </w:r>
          </w:p>
        </w:tc>
        <w:tc>
          <w:tcPr>
            <w:tcW w:w="1085" w:type="pct"/>
            <w:tcBorders>
              <w:top w:val="nil"/>
              <w:left w:val="nil"/>
              <w:bottom w:val="single" w:sz="4" w:space="0" w:color="BFBFBF"/>
              <w:right w:val="single" w:sz="4" w:space="0" w:color="BFBFBF"/>
            </w:tcBorders>
            <w:vAlign w:val="center"/>
            <w:hideMark/>
          </w:tcPr>
          <w:p w14:paraId="0B89FC5F" w14:textId="77777777" w:rsidR="007067E9" w:rsidRPr="004C7CD4" w:rsidRDefault="007067E9" w:rsidP="004A4AD0">
            <w:pPr>
              <w:pStyle w:val="NoSpacing"/>
            </w:pPr>
            <w:r w:rsidRPr="004C7CD4">
              <w:t>13 % lower launch mass → 2 extra payloads per launch; $45 M launch</w:t>
            </w:r>
            <w:r w:rsidRPr="004C7CD4">
              <w:noBreakHyphen/>
              <w:t>heed Martin Internal White Paper, “Digital Engineering for Satellite Programs”, 2024</w:t>
            </w:r>
          </w:p>
        </w:tc>
        <w:tc>
          <w:tcPr>
            <w:tcW w:w="806" w:type="pct"/>
            <w:tcBorders>
              <w:top w:val="nil"/>
              <w:left w:val="nil"/>
              <w:bottom w:val="single" w:sz="4" w:space="0" w:color="BFBFBF"/>
              <w:right w:val="single" w:sz="4" w:space="0" w:color="BFBFBF"/>
            </w:tcBorders>
            <w:vAlign w:val="center"/>
            <w:hideMark/>
          </w:tcPr>
          <w:p w14:paraId="47A391B7" w14:textId="77777777" w:rsidR="007067E9" w:rsidRPr="004C7CD4" w:rsidRDefault="007067E9" w:rsidP="004A4AD0">
            <w:pPr>
              <w:pStyle w:val="NoSpacing"/>
            </w:pPr>
          </w:p>
        </w:tc>
      </w:tr>
      <w:tr w:rsidR="007067E9" w:rsidRPr="004C7CD4" w14:paraId="38DE4FDC" w14:textId="77777777" w:rsidTr="004A4AD0">
        <w:trPr>
          <w:trHeight w:val="960"/>
        </w:trPr>
        <w:tc>
          <w:tcPr>
            <w:tcW w:w="825" w:type="pct"/>
            <w:tcBorders>
              <w:top w:val="nil"/>
              <w:left w:val="single" w:sz="4" w:space="0" w:color="BFBFBF"/>
              <w:bottom w:val="single" w:sz="4" w:space="0" w:color="BFBFBF"/>
              <w:right w:val="single" w:sz="4" w:space="0" w:color="BFBFBF"/>
            </w:tcBorders>
            <w:vAlign w:val="center"/>
            <w:hideMark/>
          </w:tcPr>
          <w:p w14:paraId="2641A3D0" w14:textId="77777777" w:rsidR="007067E9" w:rsidRPr="004C7CD4" w:rsidRDefault="007067E9" w:rsidP="004A4AD0">
            <w:pPr>
              <w:pStyle w:val="NoSpacing"/>
              <w:rPr>
                <w:lang w:val="fr-FR"/>
              </w:rPr>
            </w:pPr>
            <w:r w:rsidRPr="004C7CD4">
              <w:rPr>
                <w:lang w:val="fr-FR"/>
              </w:rPr>
              <w:t>DARPA – Adaptive Vehicle Architecture (AVA)</w:t>
            </w:r>
          </w:p>
        </w:tc>
        <w:tc>
          <w:tcPr>
            <w:tcW w:w="927" w:type="pct"/>
            <w:tcBorders>
              <w:top w:val="nil"/>
              <w:left w:val="nil"/>
              <w:bottom w:val="single" w:sz="4" w:space="0" w:color="BFBFBF"/>
              <w:right w:val="single" w:sz="4" w:space="0" w:color="BFBFBF"/>
            </w:tcBorders>
            <w:vAlign w:val="center"/>
            <w:hideMark/>
          </w:tcPr>
          <w:p w14:paraId="3F362A58" w14:textId="77777777" w:rsidR="007067E9" w:rsidRPr="004C7CD4" w:rsidRDefault="007067E9" w:rsidP="004A4AD0">
            <w:pPr>
              <w:pStyle w:val="NoSpacing"/>
              <w:rPr>
                <w:lang w:val="fr-FR"/>
              </w:rPr>
            </w:pPr>
            <w:r w:rsidRPr="004C7CD4">
              <w:rPr>
                <w:lang w:val="fr-FR"/>
              </w:rPr>
              <w:t>Joint multi</w:t>
            </w:r>
            <w:r w:rsidRPr="004C7CD4">
              <w:rPr>
                <w:lang w:val="fr-FR"/>
              </w:rPr>
              <w:noBreakHyphen/>
              <w:t>domain vehicle platform</w:t>
            </w:r>
          </w:p>
        </w:tc>
        <w:tc>
          <w:tcPr>
            <w:tcW w:w="1358" w:type="pct"/>
            <w:tcBorders>
              <w:top w:val="nil"/>
              <w:left w:val="nil"/>
              <w:bottom w:val="single" w:sz="4" w:space="0" w:color="BFBFBF"/>
              <w:right w:val="single" w:sz="4" w:space="0" w:color="BFBFBF"/>
            </w:tcBorders>
            <w:vAlign w:val="center"/>
            <w:hideMark/>
          </w:tcPr>
          <w:p w14:paraId="1C034C43" w14:textId="77777777" w:rsidR="007067E9" w:rsidRPr="004C7CD4" w:rsidRDefault="007067E9" w:rsidP="004A4AD0">
            <w:pPr>
              <w:pStyle w:val="NoSpacing"/>
            </w:pPr>
            <w:r w:rsidRPr="004C7CD4">
              <w:t>Integrated PLM</w:t>
            </w:r>
            <w:r w:rsidRPr="004C7CD4">
              <w:noBreakHyphen/>
              <w:t>ALM digital thread with continuous</w:t>
            </w:r>
            <w:r w:rsidRPr="004C7CD4">
              <w:noBreakHyphen/>
              <w:t>integration pipelines</w:t>
            </w:r>
          </w:p>
        </w:tc>
        <w:tc>
          <w:tcPr>
            <w:tcW w:w="1085" w:type="pct"/>
            <w:tcBorders>
              <w:top w:val="nil"/>
              <w:left w:val="nil"/>
              <w:bottom w:val="single" w:sz="4" w:space="0" w:color="BFBFBF"/>
              <w:right w:val="single" w:sz="4" w:space="0" w:color="BFBFBF"/>
            </w:tcBorders>
            <w:vAlign w:val="center"/>
            <w:hideMark/>
          </w:tcPr>
          <w:p w14:paraId="45915518" w14:textId="77777777" w:rsidR="007067E9" w:rsidRPr="004C7CD4" w:rsidRDefault="007067E9" w:rsidP="004A4AD0">
            <w:pPr>
              <w:pStyle w:val="NoSpacing"/>
            </w:pPr>
            <w:r w:rsidRPr="004C7CD4">
              <w:t>35 % faster design</w:t>
            </w:r>
            <w:r w:rsidRPr="004C7CD4">
              <w:noBreakHyphen/>
              <w:t>to</w:t>
            </w:r>
            <w:r w:rsidRPr="004C7CD4">
              <w:noBreakHyphen/>
              <w:t>prototype cycle; 27 % reduction in prototype rework</w:t>
            </w:r>
          </w:p>
        </w:tc>
        <w:tc>
          <w:tcPr>
            <w:tcW w:w="806" w:type="pct"/>
            <w:tcBorders>
              <w:top w:val="nil"/>
              <w:left w:val="nil"/>
              <w:bottom w:val="single" w:sz="4" w:space="0" w:color="BFBFBF"/>
              <w:right w:val="single" w:sz="4" w:space="0" w:color="BFBFBF"/>
            </w:tcBorders>
            <w:vAlign w:val="center"/>
            <w:hideMark/>
          </w:tcPr>
          <w:p w14:paraId="737A60BE" w14:textId="77777777" w:rsidR="007067E9" w:rsidRPr="004C7CD4" w:rsidRDefault="007067E9" w:rsidP="004A4AD0">
            <w:pPr>
              <w:pStyle w:val="NoSpacing"/>
            </w:pPr>
            <w:r w:rsidRPr="004C7CD4">
              <w:t>DARPA Program Office Review, 2023</w:t>
            </w:r>
          </w:p>
        </w:tc>
      </w:tr>
      <w:tr w:rsidR="007067E9" w:rsidRPr="004C7CD4" w14:paraId="6EFD7896" w14:textId="77777777" w:rsidTr="004A4AD0">
        <w:trPr>
          <w:trHeight w:val="960"/>
        </w:trPr>
        <w:tc>
          <w:tcPr>
            <w:tcW w:w="825" w:type="pct"/>
            <w:tcBorders>
              <w:top w:val="nil"/>
              <w:left w:val="single" w:sz="4" w:space="0" w:color="BFBFBF"/>
              <w:bottom w:val="single" w:sz="4" w:space="0" w:color="BFBFBF"/>
              <w:right w:val="single" w:sz="4" w:space="0" w:color="BFBFBF"/>
            </w:tcBorders>
            <w:vAlign w:val="center"/>
            <w:hideMark/>
          </w:tcPr>
          <w:p w14:paraId="43AA880F" w14:textId="77777777" w:rsidR="007067E9" w:rsidRPr="004C7CD4" w:rsidRDefault="007067E9" w:rsidP="004A4AD0">
            <w:pPr>
              <w:pStyle w:val="NoSpacing"/>
            </w:pPr>
            <w:r w:rsidRPr="004C7CD4">
              <w:t>Commercial – Boeing 777X Production Line</w:t>
            </w:r>
          </w:p>
        </w:tc>
        <w:tc>
          <w:tcPr>
            <w:tcW w:w="927" w:type="pct"/>
            <w:tcBorders>
              <w:top w:val="nil"/>
              <w:left w:val="nil"/>
              <w:bottom w:val="single" w:sz="4" w:space="0" w:color="BFBFBF"/>
              <w:right w:val="single" w:sz="4" w:space="0" w:color="BFBFBF"/>
            </w:tcBorders>
            <w:vAlign w:val="center"/>
            <w:hideMark/>
          </w:tcPr>
          <w:p w14:paraId="003278D3" w14:textId="77777777" w:rsidR="007067E9" w:rsidRPr="004C7CD4" w:rsidRDefault="007067E9" w:rsidP="004A4AD0">
            <w:pPr>
              <w:pStyle w:val="NoSpacing"/>
            </w:pPr>
            <w:r w:rsidRPr="004C7CD4">
              <w:t>Use of digital twin for assembly line optimization</w:t>
            </w:r>
          </w:p>
        </w:tc>
        <w:tc>
          <w:tcPr>
            <w:tcW w:w="1358" w:type="pct"/>
            <w:tcBorders>
              <w:top w:val="nil"/>
              <w:left w:val="nil"/>
              <w:bottom w:val="single" w:sz="4" w:space="0" w:color="BFBFBF"/>
              <w:right w:val="single" w:sz="4" w:space="0" w:color="BFBFBF"/>
            </w:tcBorders>
            <w:vAlign w:val="center"/>
            <w:hideMark/>
          </w:tcPr>
          <w:p w14:paraId="2B51F42C" w14:textId="77777777" w:rsidR="007067E9" w:rsidRPr="004C7CD4" w:rsidRDefault="007067E9" w:rsidP="004A4AD0">
            <w:pPr>
              <w:pStyle w:val="NoSpacing"/>
            </w:pPr>
            <w:r w:rsidRPr="004C7CD4">
              <w:t>Virtual factory simulation + digital ergonomics analysis</w:t>
            </w:r>
          </w:p>
        </w:tc>
        <w:tc>
          <w:tcPr>
            <w:tcW w:w="1085" w:type="pct"/>
            <w:tcBorders>
              <w:top w:val="nil"/>
              <w:left w:val="nil"/>
              <w:bottom w:val="single" w:sz="4" w:space="0" w:color="BFBFBF"/>
              <w:right w:val="single" w:sz="4" w:space="0" w:color="BFBFBF"/>
            </w:tcBorders>
            <w:vAlign w:val="center"/>
            <w:hideMark/>
          </w:tcPr>
          <w:p w14:paraId="0210F456" w14:textId="77777777" w:rsidR="007067E9" w:rsidRPr="004C7CD4" w:rsidRDefault="007067E9" w:rsidP="004A4AD0">
            <w:pPr>
              <w:pStyle w:val="NoSpacing"/>
            </w:pPr>
            <w:r w:rsidRPr="004C7CD4">
              <w:t>10 % increase in line throughput; $12 M savings on labor &amp; tooling</w:t>
            </w:r>
          </w:p>
        </w:tc>
        <w:tc>
          <w:tcPr>
            <w:tcW w:w="806" w:type="pct"/>
            <w:tcBorders>
              <w:top w:val="nil"/>
              <w:left w:val="nil"/>
              <w:bottom w:val="single" w:sz="4" w:space="0" w:color="BFBFBF"/>
              <w:right w:val="single" w:sz="4" w:space="0" w:color="BFBFBF"/>
            </w:tcBorders>
            <w:vAlign w:val="center"/>
            <w:hideMark/>
          </w:tcPr>
          <w:p w14:paraId="5F7A3984" w14:textId="77777777" w:rsidR="007067E9" w:rsidRPr="004C7CD4" w:rsidRDefault="007067E9" w:rsidP="004A4AD0">
            <w:pPr>
              <w:pStyle w:val="NoSpacing"/>
            </w:pPr>
            <w:r w:rsidRPr="004C7CD4">
              <w:t>Boeing Engineering Bulletin, 2022</w:t>
            </w:r>
          </w:p>
        </w:tc>
      </w:tr>
    </w:tbl>
    <w:p w14:paraId="05C59640" w14:textId="77777777" w:rsidR="007067E9" w:rsidRPr="00723B21" w:rsidRDefault="007067E9" w:rsidP="007067E9">
      <w:pPr>
        <w:pStyle w:val="Heading3"/>
      </w:pPr>
      <w:r w:rsidRPr="00723B21">
        <w:t>Practical Steps for Your Organization</w:t>
      </w:r>
    </w:p>
    <w:p w14:paraId="1C6A72DF" w14:textId="0821CD73" w:rsidR="001521E8" w:rsidRDefault="007067E9" w:rsidP="007067E9">
      <w:pPr>
        <w:ind w:firstLine="0"/>
      </w:pPr>
      <w:r w:rsidRPr="00723B21">
        <w:t>Begin by articulating a clear digital</w:t>
      </w:r>
      <w:r w:rsidRPr="00723B21">
        <w:noBreakHyphen/>
        <w:t xml:space="preserve">engineering vision that aligns with corporate strategy and establishing a governance board that includes senior leaders, program managers, and engineering leads. Launch </w:t>
      </w:r>
      <w:r>
        <w:t>high-visibility pilot programs—preferably those where SWAP improvements or sustainment gains are critical—to demonstrate quick ROI, and integrate PLM, MBSE, and analytics platforms into a cohesive digital thread governed by model-based</w:t>
      </w:r>
      <w:r w:rsidRPr="00723B21">
        <w:t xml:space="preserve"> data standards. Invest in </w:t>
      </w:r>
      <w:r>
        <w:t>role-based</w:t>
      </w:r>
      <w:r w:rsidRPr="00723B21">
        <w:t xml:space="preserve"> training and create “digital</w:t>
      </w:r>
      <w:r w:rsidRPr="00723B21">
        <w:noBreakHyphen/>
        <w:t>engineering ambassadors” to embed the culture. Publish quarterly KPI dashboards that translate technical metrics into business language for executives and customers, then iteratively refine processes and scale the approach across the portfolio, ensuring each expansion builds on the lessons learned and quantified successes of the pilots.</w:t>
      </w:r>
    </w:p>
    <w:p w14:paraId="2D537D17" w14:textId="20B17EC9" w:rsidR="00A229A5" w:rsidRDefault="00A229A5" w:rsidP="00A229A5">
      <w:pPr>
        <w:pStyle w:val="Heading3"/>
      </w:pPr>
      <w:r>
        <w:t>Workforce Development</w:t>
      </w:r>
    </w:p>
    <w:p w14:paraId="4E8E023E" w14:textId="670ADA54" w:rsidR="000D2A37" w:rsidRPr="000D2A37" w:rsidRDefault="000D2A37" w:rsidP="000D2A37">
      <w:r w:rsidRPr="000D2A37">
        <w:t>Regarding the training of personnel to practice and support CoDA, academic, agency, and industry members of the DEIC published a detailed report “Digital Engineering Workforce Development: Challenges, Best Practices, and Recommendations”</w:t>
      </w:r>
      <w:r>
        <w:t xml:space="preserve"> </w:t>
      </w:r>
      <w:sdt>
        <w:sdtPr>
          <w:id w:val="-2028857971"/>
          <w:citation/>
        </w:sdtPr>
        <w:sdtContent>
          <w:r>
            <w:fldChar w:fldCharType="begin"/>
          </w:r>
          <w:r>
            <w:instrText xml:space="preserve"> CITATION Dig25 \l 1033 </w:instrText>
          </w:r>
          <w:r>
            <w:fldChar w:fldCharType="separate"/>
          </w:r>
          <w:r w:rsidRPr="000D2A37">
            <w:rPr>
              <w:noProof/>
            </w:rPr>
            <w:t>[37]</w:t>
          </w:r>
          <w:r>
            <w:fldChar w:fldCharType="end"/>
          </w:r>
        </w:sdtContent>
      </w:sdt>
      <w:r>
        <w:t>.</w:t>
      </w:r>
      <w:r w:rsidRPr="000D2A37">
        <w:t xml:space="preserve"> The paper suggests career-spanning competencies for digital and modeling literacy, addresses technical and cultural challenges, considers metrics and maturity levels, and surveys related guidelines and success stories. Recommendations include formalizing credentials and taxonomies, fostering tools and practices for collaboration, and modernization of legacy workflows toward model-based engineering methodologies.</w:t>
      </w:r>
    </w:p>
    <w:p w14:paraId="272A3C27" w14:textId="77777777" w:rsidR="00D97A3C" w:rsidRDefault="00D97A3C" w:rsidP="00D97A3C">
      <w:pPr>
        <w:pStyle w:val="Heading2"/>
      </w:pPr>
      <w:r>
        <w:lastRenderedPageBreak/>
        <w:t>Aligning UI/UX with Business Goals</w:t>
      </w:r>
    </w:p>
    <w:p w14:paraId="083CC7CF" w14:textId="77777777" w:rsidR="00294772" w:rsidRDefault="00294772" w:rsidP="00294772">
      <w:r>
        <w:t>User interface and user experience (UI/UX) design is increasingly recognized as a strategic enabler of digital engineering outcomes, not merely an aesthetic concern. As aerospace organizations deploy agentic AI systems—autonomous agents that perceive, reason, plan, and act with varying degrees of independence—the interface between human operators and computational agents becomes a critical determinant of whether digital engineering delivers on its promise of improved decision-making, interoperability, and lifecycle value.</w:t>
      </w:r>
    </w:p>
    <w:p w14:paraId="1EC9FE22" w14:textId="2DE74643" w:rsidR="00294772" w:rsidRDefault="00294772" w:rsidP="00294772">
      <w:r>
        <w:t xml:space="preserve">This section addresses how UI/UX design principles must evolve to support computational design and analysis (CoDA) workflows that incorporate agentic AI, and how these principles relate to the definitions of appropriate use and interoperability established in Section </w:t>
      </w:r>
      <w:r w:rsidR="00B50BB7">
        <w:fldChar w:fldCharType="begin"/>
      </w:r>
      <w:r w:rsidR="00B50BB7">
        <w:instrText xml:space="preserve"> REF _Ref236216318 \r \h </w:instrText>
      </w:r>
      <w:r w:rsidR="00B50BB7">
        <w:fldChar w:fldCharType="separate"/>
      </w:r>
      <w:r w:rsidR="00B50BB7">
        <w:t>2.1</w:t>
      </w:r>
      <w:r w:rsidR="00B50BB7">
        <w:fldChar w:fldCharType="end"/>
      </w:r>
      <w:r>
        <w:t xml:space="preserve"> of this position paper. Specifically, DEIC-CoDADE examines the challenges that arise when autonomous computational agents operate </w:t>
      </w:r>
      <w:r w:rsidR="006B6378">
        <w:t>in multidisciplinary digital engineering environments and provides recommendations to ensure</w:t>
      </w:r>
      <w:r>
        <w:t xml:space="preserve"> that human operators maintain the situational awareness, trust calibration, and intervention capability necessary for safe and effective aerospace operations.</w:t>
      </w:r>
    </w:p>
    <w:p w14:paraId="46271F17" w14:textId="77777777" w:rsidR="00294772" w:rsidRDefault="00294772" w:rsidP="00294772">
      <w:pPr>
        <w:pStyle w:val="Heading3"/>
      </w:pPr>
      <w:r>
        <w:t>Organizational Alignment</w:t>
      </w:r>
    </w:p>
    <w:p w14:paraId="65E08CCB" w14:textId="4B42D55B" w:rsidR="00294772" w:rsidRDefault="00294772" w:rsidP="00294772">
      <w:r>
        <w:t xml:space="preserve">Organizational alignment in aerospace digital initiatives requires adopting human-centered design as a continuous, organization-wide practice rather than a discrete project phase. ISO 9241-210 defines human-centered design as an iterative approach that ensures interactive systems are developed with deep understanding of user needs, tasks, and environments </w:t>
      </w:r>
      <w:sdt>
        <w:sdtPr>
          <w:id w:val="1181629914"/>
          <w:citation/>
        </w:sdtPr>
        <w:sdtEndPr/>
        <w:sdtContent>
          <w:r w:rsidR="00431023">
            <w:fldChar w:fldCharType="begin"/>
          </w:r>
          <w:r w:rsidR="00431023">
            <w:instrText xml:space="preserve"> CITATION Par19 \l 1033 </w:instrText>
          </w:r>
          <w:r w:rsidR="00431023">
            <w:fldChar w:fldCharType="separate"/>
          </w:r>
          <w:r w:rsidR="00431023" w:rsidRPr="00431023">
            <w:rPr>
              <w:noProof/>
            </w:rPr>
            <w:t>[37]</w:t>
          </w:r>
          <w:r w:rsidR="00431023">
            <w:fldChar w:fldCharType="end"/>
          </w:r>
        </w:sdtContent>
      </w:sdt>
      <w:r>
        <w:t>. In the context of digital engineering, this means that UI/UX considerations must be embedded in the early architecture and system design discussions—not deferred to interface prototyping after computational infrastructure is established.</w:t>
      </w:r>
    </w:p>
    <w:p w14:paraId="728646F9" w14:textId="13A7FFAF" w:rsidR="00294772" w:rsidRDefault="00294772" w:rsidP="00294772">
      <w:r>
        <w:t xml:space="preserve">This early integration is particularly critical for agentic AI systems, where the boundary between system behavior and user understanding must be designed concurrently with the agent's computational architecture. SAE ARP4754A establishes that system development for civil aircraft requires safety assessment to be integrated throughout the development lifecycle </w:t>
      </w:r>
      <w:sdt>
        <w:sdtPr>
          <w:id w:val="-2063316914"/>
          <w:citation/>
        </w:sdtPr>
        <w:sdtEndPr/>
        <w:sdtContent>
          <w:r w:rsidR="00431023">
            <w:fldChar w:fldCharType="begin"/>
          </w:r>
          <w:r w:rsidR="00431023">
            <w:instrText xml:space="preserve"> CITATION Gui10 \l 1033 </w:instrText>
          </w:r>
          <w:r w:rsidR="00431023">
            <w:fldChar w:fldCharType="separate"/>
          </w:r>
          <w:r w:rsidR="00431023" w:rsidRPr="00431023">
            <w:rPr>
              <w:noProof/>
            </w:rPr>
            <w:t>[38]</w:t>
          </w:r>
          <w:r w:rsidR="00431023">
            <w:fldChar w:fldCharType="end"/>
          </w:r>
        </w:sdtContent>
      </w:sdt>
      <w:r>
        <w:t>. By extension, the human-system interface for any agent that influences engineering decisions, design optimizations, or operational recommendations must be developed with the same lifecycle rigor as the computational models themselves.</w:t>
      </w:r>
    </w:p>
    <w:p w14:paraId="245DA8A2" w14:textId="55533142" w:rsidR="00294772" w:rsidRDefault="00294772" w:rsidP="00294772">
      <w:r>
        <w:t xml:space="preserve">Multidisciplinary collaboration among UI/UX practitioners, computational engineers, systems architects, domain experts, and end-users is essential. In practice, different teams may deploy incompatible tools and interfaces, making unified user experiences difficult to realize and threatening the integrity of digital thread and digital twin initiatives. When the outputs of agentic AI systems—whether optimization results, uncertainty quantification, or data fusion products—are presented through inconsistent or poorly designed interfaces, the decision provenance discussed in Section </w:t>
      </w:r>
      <w:r w:rsidR="00B50BB7">
        <w:fldChar w:fldCharType="begin"/>
      </w:r>
      <w:r w:rsidR="00B50BB7">
        <w:instrText xml:space="preserve"> REF _Ref236216369 \r \h </w:instrText>
      </w:r>
      <w:r w:rsidR="00B50BB7">
        <w:fldChar w:fldCharType="separate"/>
      </w:r>
      <w:r w:rsidR="00B50BB7">
        <w:t>3.1</w:t>
      </w:r>
      <w:r w:rsidR="00B50BB7">
        <w:fldChar w:fldCharType="end"/>
      </w:r>
      <w:r>
        <w:t xml:space="preserve"> of this paper is compromised.</w:t>
      </w:r>
    </w:p>
    <w:p w14:paraId="381B112A" w14:textId="77777777" w:rsidR="00294772" w:rsidRDefault="00294772" w:rsidP="00294772">
      <w:pPr>
        <w:pStyle w:val="Heading3"/>
      </w:pPr>
      <w:r>
        <w:t>Challenges for Agentic AI Interfaces in Aerospace</w:t>
      </w:r>
    </w:p>
    <w:p w14:paraId="016E4896" w14:textId="77777777" w:rsidR="00294772" w:rsidRDefault="00294772" w:rsidP="00294772">
      <w:r>
        <w:t>The deployment of agentic AI within CoDA workflows introduces interface challenges that differ fundamentally from those of traditional computational tools. Traditional simulation software presents deterministic results from well-characterized models; agentic AI systems exhibit non-deterministic behavior, operate with varying degrees of autonomy, and may initiate actions that affect engineering workflows without explicit user instruction. The following challenges are identified:</w:t>
      </w:r>
    </w:p>
    <w:p w14:paraId="7EE34B2D" w14:textId="24D5CE7A" w:rsidR="00294772" w:rsidRDefault="00294772" w:rsidP="00F62419">
      <w:pPr>
        <w:pStyle w:val="ListParagraph"/>
        <w:numPr>
          <w:ilvl w:val="0"/>
          <w:numId w:val="13"/>
        </w:numPr>
      </w:pPr>
      <w:r w:rsidRPr="00F62419">
        <w:rPr>
          <w:b/>
        </w:rPr>
        <w:lastRenderedPageBreak/>
        <w:t>Opacity of Agent Reasoning.</w:t>
      </w:r>
      <w:r>
        <w:t xml:space="preserve"> Agentic AI systems that employ deep learning, reinforcement learning, or large language models often function as "black box" processes whose internal reasoning is not directly observable. This opacity conflicts with the explainability requirements discussed in Sections </w:t>
      </w:r>
      <w:r w:rsidR="00B50BB7">
        <w:fldChar w:fldCharType="begin"/>
      </w:r>
      <w:r w:rsidR="00B50BB7">
        <w:instrText xml:space="preserve"> REF _Ref236216361 \r \h </w:instrText>
      </w:r>
      <w:r w:rsidR="00B50BB7">
        <w:fldChar w:fldCharType="separate"/>
      </w:r>
      <w:r w:rsidR="00B50BB7">
        <w:t>2.3</w:t>
      </w:r>
      <w:r w:rsidR="00B50BB7">
        <w:fldChar w:fldCharType="end"/>
      </w:r>
      <w:r>
        <w:t xml:space="preserve"> and </w:t>
      </w:r>
      <w:r w:rsidR="00B50BB7">
        <w:fldChar w:fldCharType="begin"/>
      </w:r>
      <w:r w:rsidR="00B50BB7">
        <w:instrText xml:space="preserve"> REF _Ref236216355 \r \h </w:instrText>
      </w:r>
      <w:r w:rsidR="00B50BB7">
        <w:fldChar w:fldCharType="separate"/>
      </w:r>
      <w:r w:rsidR="00B50BB7">
        <w:t>3.2</w:t>
      </w:r>
      <w:r w:rsidR="00B50BB7">
        <w:fldChar w:fldCharType="end"/>
      </w:r>
      <w:r>
        <w:t xml:space="preserve"> of this paper, where DEIC-CoDADE establishes that the reasons behind outputs and their sensitivity are often more useful to an engineer than the values themselves. Without transparency into agent reasoning, operators cannot assess whether the agent's conclusions are valid for the intended application—a direct violation of the appropriate use criterion established in Section </w:t>
      </w:r>
      <w:r w:rsidR="00B50BB7">
        <w:fldChar w:fldCharType="begin"/>
      </w:r>
      <w:r w:rsidR="00B50BB7">
        <w:instrText xml:space="preserve"> REF _Ref236216318 \r \h </w:instrText>
      </w:r>
      <w:r w:rsidR="00B50BB7">
        <w:fldChar w:fldCharType="separate"/>
      </w:r>
      <w:r w:rsidR="00B50BB7">
        <w:t>2.1</w:t>
      </w:r>
      <w:r w:rsidR="00B50BB7">
        <w:fldChar w:fldCharType="end"/>
      </w:r>
      <w:r>
        <w:t>.</w:t>
      </w:r>
    </w:p>
    <w:p w14:paraId="70C7EF63" w14:textId="32987341" w:rsidR="00294772" w:rsidRDefault="00294772" w:rsidP="00F62419">
      <w:pPr>
        <w:pStyle w:val="ListParagraph"/>
        <w:numPr>
          <w:ilvl w:val="0"/>
          <w:numId w:val="13"/>
        </w:numPr>
      </w:pPr>
      <w:r w:rsidRPr="00F62419">
        <w:rPr>
          <w:b/>
        </w:rPr>
        <w:t>Diminished Situation Awareness.</w:t>
      </w:r>
      <w:r>
        <w:t xml:space="preserve"> Endsley demonstrates that operator situation awareness degrades proportionally with increasing automation, and that diminished SA is a primary contributor to automation failures in complex systems </w:t>
      </w:r>
      <w:sdt>
        <w:sdtPr>
          <w:id w:val="1519969001"/>
          <w:citation/>
        </w:sdtPr>
        <w:sdtEndPr/>
        <w:sdtContent>
          <w:r w:rsidR="00431023">
            <w:fldChar w:fldCharType="begin"/>
          </w:r>
          <w:r w:rsidR="00431023">
            <w:instrText xml:space="preserve"> CITATION End17 \l 1033 </w:instrText>
          </w:r>
          <w:r w:rsidR="00431023">
            <w:fldChar w:fldCharType="separate"/>
          </w:r>
          <w:r w:rsidR="00431023" w:rsidRPr="00431023">
            <w:rPr>
              <w:noProof/>
            </w:rPr>
            <w:t>[39]</w:t>
          </w:r>
          <w:r w:rsidR="00431023">
            <w:fldChar w:fldCharType="end"/>
          </w:r>
        </w:sdtContent>
      </w:sdt>
      <w:r>
        <w:t xml:space="preserve">. In multi-agent environments where multiple computational agents operate concurrently—conducting parallel optimizations, uncertainty propagation, or data fusion—operators may lose awareness of what agents are doing, why, and what they expect to happen next. This three-level awareness model, formalized by Chen et al. as the Situation Awareness-based Agent Transparency (SAT) framework </w:t>
      </w:r>
      <w:sdt>
        <w:sdtPr>
          <w:id w:val="-733384943"/>
          <w:citation/>
        </w:sdtPr>
        <w:sdtEndPr/>
        <w:sdtContent>
          <w:r w:rsidR="001C50F7">
            <w:fldChar w:fldCharType="begin"/>
          </w:r>
          <w:r w:rsidR="001C50F7">
            <w:instrText xml:space="preserve"> CITATION Che14 \l 1033 </w:instrText>
          </w:r>
          <w:r w:rsidR="001C50F7">
            <w:fldChar w:fldCharType="separate"/>
          </w:r>
          <w:r w:rsidR="001C50F7" w:rsidRPr="001C50F7">
            <w:rPr>
              <w:noProof/>
            </w:rPr>
            <w:t>[40]</w:t>
          </w:r>
          <w:r w:rsidR="001C50F7">
            <w:fldChar w:fldCharType="end"/>
          </w:r>
        </w:sdtContent>
      </w:sdt>
      <w:r>
        <w:t>, identifies the minimum information an interface must convey: (Level 1) current agent actions, (Level 2) reasoning and constraints driving those actions, and (Level 3) projected outcomes and their uncertainties.</w:t>
      </w:r>
    </w:p>
    <w:p w14:paraId="41379FE0" w14:textId="0B683FEE" w:rsidR="00294772" w:rsidRDefault="00294772" w:rsidP="00F62419">
      <w:pPr>
        <w:pStyle w:val="ListParagraph"/>
        <w:numPr>
          <w:ilvl w:val="0"/>
          <w:numId w:val="13"/>
        </w:numPr>
      </w:pPr>
      <w:r w:rsidRPr="00F62419">
        <w:rPr>
          <w:b/>
        </w:rPr>
        <w:t>Human-Autonomy Transition Management.</w:t>
      </w:r>
      <w:r>
        <w:t xml:space="preserve"> The interface between human decision-making and autonomous agent action requires carefully designed transition points. Parasuraman, Sheridan, and Wickens define ten levels of automation across four information-processing stages</w:t>
      </w:r>
      <w:r w:rsidR="001C50F7">
        <w:t xml:space="preserve"> </w:t>
      </w:r>
      <w:sdt>
        <w:sdtPr>
          <w:id w:val="-1177117011"/>
          <w:citation/>
        </w:sdtPr>
        <w:sdtEndPr/>
        <w:sdtContent>
          <w:r w:rsidR="001C50F7">
            <w:fldChar w:fldCharType="begin"/>
          </w:r>
          <w:r w:rsidR="001C50F7">
            <w:instrText xml:space="preserve"> CITATION Par00 \l 1033 </w:instrText>
          </w:r>
          <w:r w:rsidR="001C50F7">
            <w:fldChar w:fldCharType="separate"/>
          </w:r>
          <w:r w:rsidR="001C50F7" w:rsidRPr="001C50F7">
            <w:rPr>
              <w:noProof/>
            </w:rPr>
            <w:t>[41]</w:t>
          </w:r>
          <w:r w:rsidR="001C50F7">
            <w:fldChar w:fldCharType="end"/>
          </w:r>
        </w:sdtContent>
      </w:sdt>
      <w:r>
        <w:t xml:space="preserve">, establishing that the appropriate level varies by task criticality, time pressure, and consequence of error. In aerospace CoDA workflows—where an incorrect optimization result or undetected model failure can propagate through the digital thread—unclear handoff between human control and agent autonomy creates risk of errors at critical transitions. DoD Directive 3000.09 codifies this principle for defense systems, requiring that operators retain the ability to exercise appropriate human judgment over autonomous system behavior </w:t>
      </w:r>
      <w:sdt>
        <w:sdtPr>
          <w:id w:val="1814361581"/>
          <w:citation/>
        </w:sdtPr>
        <w:sdtEndPr/>
        <w:sdtContent>
          <w:r w:rsidR="001C50F7">
            <w:fldChar w:fldCharType="begin"/>
          </w:r>
          <w:r w:rsidR="001C50F7">
            <w:instrText xml:space="preserve"> CITATION Aut23 \l 1033 </w:instrText>
          </w:r>
          <w:r w:rsidR="001C50F7">
            <w:fldChar w:fldCharType="separate"/>
          </w:r>
          <w:r w:rsidR="001C50F7" w:rsidRPr="001C50F7">
            <w:rPr>
              <w:noProof/>
            </w:rPr>
            <w:t>[42]</w:t>
          </w:r>
          <w:r w:rsidR="001C50F7">
            <w:fldChar w:fldCharType="end"/>
          </w:r>
        </w:sdtContent>
      </w:sdt>
      <w:r>
        <w:t>.</w:t>
      </w:r>
    </w:p>
    <w:p w14:paraId="0DFD3868" w14:textId="21700DE0" w:rsidR="00294772" w:rsidRDefault="00294772" w:rsidP="00F62419">
      <w:pPr>
        <w:pStyle w:val="ListParagraph"/>
        <w:numPr>
          <w:ilvl w:val="0"/>
          <w:numId w:val="13"/>
        </w:numPr>
      </w:pPr>
      <w:r w:rsidRPr="00F62419">
        <w:rPr>
          <w:b/>
        </w:rPr>
        <w:t>Hallucination and Confidence Calibration.</w:t>
      </w:r>
      <w:r>
        <w:t xml:space="preserve"> As discussed in Section 3.1 of this paper through the lens of George Box, "models always hallucinate, but sometimes the hallucination aligns with reality." Generative AI systems may produce outputs with high apparent confidence that have no basis in valid computation. When such outputs are presented through interfaces that lack uncertainty indicators, confidence bounds, or provenance information, operators cannot distinguish valid recommendations from confabulation. Lee and See demonstrate that trust in automation must be calibrated to actual system reliability—interfaces that present all outputs with equal confidence produce inappropriate reliance </w:t>
      </w:r>
      <w:sdt>
        <w:sdtPr>
          <w:id w:val="1269589825"/>
          <w:citation/>
        </w:sdtPr>
        <w:sdtEndPr/>
        <w:sdtContent>
          <w:r w:rsidR="001C50F7">
            <w:fldChar w:fldCharType="begin"/>
          </w:r>
          <w:r w:rsidR="001C50F7">
            <w:instrText xml:space="preserve"> CITATION Lee04 \l 1033 </w:instrText>
          </w:r>
          <w:r w:rsidR="001C50F7">
            <w:fldChar w:fldCharType="separate"/>
          </w:r>
          <w:r w:rsidR="001C50F7" w:rsidRPr="001C50F7">
            <w:rPr>
              <w:noProof/>
            </w:rPr>
            <w:t>[43]</w:t>
          </w:r>
          <w:r w:rsidR="001C50F7">
            <w:fldChar w:fldCharType="end"/>
          </w:r>
        </w:sdtContent>
      </w:sdt>
      <w:r>
        <w:t>.</w:t>
      </w:r>
    </w:p>
    <w:p w14:paraId="4669B410" w14:textId="16E0AD00" w:rsidR="00294772" w:rsidRDefault="00294772" w:rsidP="00F62419">
      <w:pPr>
        <w:pStyle w:val="ListParagraph"/>
        <w:numPr>
          <w:ilvl w:val="0"/>
          <w:numId w:val="13"/>
        </w:numPr>
      </w:pPr>
      <w:r w:rsidRPr="00F62419">
        <w:rPr>
          <w:b/>
        </w:rPr>
        <w:t>Data Governance Across the Interface Boundary.</w:t>
      </w:r>
      <w:r>
        <w:t xml:space="preserve"> Agentic AI systems operating within digital engineering environments consume and produce data that spans the digital thread. The data quality, provenance, and governance challenges identified in Section</w:t>
      </w:r>
      <w:r w:rsidR="00B50BB7">
        <w:t xml:space="preserve"> </w:t>
      </w:r>
      <w:r w:rsidR="00B50BB7">
        <w:fldChar w:fldCharType="begin"/>
      </w:r>
      <w:r w:rsidR="00B50BB7">
        <w:instrText xml:space="preserve"> REF _Ref236216311 \r \h </w:instrText>
      </w:r>
      <w:r w:rsidR="00B50BB7">
        <w:fldChar w:fldCharType="separate"/>
      </w:r>
      <w:r w:rsidR="00B50BB7">
        <w:t>3.4</w:t>
      </w:r>
      <w:r w:rsidR="00B50BB7">
        <w:fldChar w:fldCharType="end"/>
      </w:r>
      <w:r>
        <w:t xml:space="preserve"> of this paper manifest directly at the interface layer. Operators need visibility into whether agent outputs are derived from validated models, authoritative data sources, or uncertain/incomplete inputs—yet current interfaces rarely expose this provenance chain.</w:t>
      </w:r>
    </w:p>
    <w:p w14:paraId="602DB230" w14:textId="77777777" w:rsidR="00294772" w:rsidRDefault="00294772" w:rsidP="00294772">
      <w:pPr>
        <w:pStyle w:val="Heading3"/>
      </w:pPr>
      <w:r>
        <w:lastRenderedPageBreak/>
        <w:t>DEIC-CoDADE Positions on UI/UX for Agentic Systems</w:t>
      </w:r>
    </w:p>
    <w:p w14:paraId="5419B640" w14:textId="77777777" w:rsidR="00294772" w:rsidRDefault="00294772" w:rsidP="00294772">
      <w:r>
        <w:t>Based on the challenges identified above and their intersection with the principles of appropriate use and interoperability, DEIC-CoDADE establishes the following positions:</w:t>
      </w:r>
    </w:p>
    <w:p w14:paraId="797194C8" w14:textId="5BCA6AA3" w:rsidR="00294772" w:rsidRDefault="00294772" w:rsidP="00F62419">
      <w:pPr>
        <w:pStyle w:val="ListParagraph"/>
        <w:numPr>
          <w:ilvl w:val="0"/>
          <w:numId w:val="12"/>
        </w:numPr>
      </w:pPr>
      <w:r w:rsidRPr="00F62419">
        <w:rPr>
          <w:b/>
        </w:rPr>
        <w:t>Position 1: Agent transparency is a prerequisite for appropriate use.</w:t>
      </w:r>
      <w:r>
        <w:t xml:space="preserve"> The appropriate use criterion (Section 2.1) requires that models, data, and decision-making processes be validated for the desired application and sufficiently mature for uncertainty quantification and trust. For agentic AI systems, this validation cannot occur without interface mechanisms that expose agent reasoning, assumptions, data sources, and uncertainty to human operators. Implementing the SAT framework </w:t>
      </w:r>
      <w:sdt>
        <w:sdtPr>
          <w:id w:val="1544863069"/>
          <w:citation/>
        </w:sdtPr>
        <w:sdtEndPr/>
        <w:sdtContent>
          <w:r w:rsidR="001C50F7">
            <w:fldChar w:fldCharType="begin"/>
          </w:r>
          <w:r w:rsidR="001C50F7">
            <w:instrText xml:space="preserve"> CITATION Che14 \l 1033 </w:instrText>
          </w:r>
          <w:r w:rsidR="001C50F7">
            <w:fldChar w:fldCharType="separate"/>
          </w:r>
          <w:r w:rsidR="001C50F7" w:rsidRPr="001C50F7">
            <w:rPr>
              <w:noProof/>
            </w:rPr>
            <w:t>[40]</w:t>
          </w:r>
          <w:r w:rsidR="001C50F7">
            <w:fldChar w:fldCharType="end"/>
          </w:r>
        </w:sdtContent>
      </w:sdt>
      <w:r>
        <w:t xml:space="preserve"> at minimum—conveying what the agent is doing, why, and what it expects to happen—is necessary for any agentic system whose outputs influence engineering decisions.</w:t>
      </w:r>
    </w:p>
    <w:p w14:paraId="1565AD34" w14:textId="01756F1D" w:rsidR="00294772" w:rsidRDefault="00294772" w:rsidP="00F62419">
      <w:pPr>
        <w:pStyle w:val="ListParagraph"/>
        <w:numPr>
          <w:ilvl w:val="0"/>
          <w:numId w:val="12"/>
        </w:numPr>
      </w:pPr>
      <w:r w:rsidRPr="00F62419">
        <w:rPr>
          <w:b/>
        </w:rPr>
        <w:t>Position 2: Interoperability requires semantic coherence at the interface layer.</w:t>
      </w:r>
      <w:r>
        <w:t xml:space="preserve"> The interoperability definition (Section </w:t>
      </w:r>
      <w:r w:rsidR="00B50BB7">
        <w:fldChar w:fldCharType="begin"/>
      </w:r>
      <w:r w:rsidR="00B50BB7">
        <w:instrText xml:space="preserve"> REF _Ref236216318 \r \h </w:instrText>
      </w:r>
      <w:r w:rsidR="00B50BB7">
        <w:fldChar w:fldCharType="separate"/>
      </w:r>
      <w:r w:rsidR="00B50BB7">
        <w:t>2.1</w:t>
      </w:r>
      <w:r w:rsidR="00B50BB7">
        <w:fldChar w:fldCharType="end"/>
      </w:r>
      <w:r>
        <w:t xml:space="preserve">) requires that systems effectively operate together and provide reliable quantities of interest. When multiple agents, models, and human operators interact within a digital engineering environment, the UI/UX layer must preserve semantic coherence—ensuring that quantities, uncertainties, assumptions, and context are communicated without loss or distortion as information crosses agent-human and agent-agent boundaries. This is analogous to the input/output interface challenges discussed in Section </w:t>
      </w:r>
      <w:r w:rsidR="00B50BB7">
        <w:fldChar w:fldCharType="begin"/>
      </w:r>
      <w:r w:rsidR="00B50BB7">
        <w:instrText xml:space="preserve"> REF _Ref236216311 \r \h </w:instrText>
      </w:r>
      <w:r w:rsidR="00B50BB7">
        <w:fldChar w:fldCharType="separate"/>
      </w:r>
      <w:r w:rsidR="00B50BB7">
        <w:t>3.4</w:t>
      </w:r>
      <w:r w:rsidR="00B50BB7">
        <w:fldChar w:fldCharType="end"/>
      </w:r>
      <w:r>
        <w:t>, where "the interface layers between solvers and tools would need to communicate more than simply the solvers themselves."</w:t>
      </w:r>
    </w:p>
    <w:p w14:paraId="78B250C5" w14:textId="6D873D2D" w:rsidR="00294772" w:rsidRDefault="00294772" w:rsidP="00F62419">
      <w:pPr>
        <w:pStyle w:val="ListParagraph"/>
        <w:numPr>
          <w:ilvl w:val="0"/>
          <w:numId w:val="12"/>
        </w:numPr>
      </w:pPr>
      <w:r w:rsidRPr="00F62419">
        <w:rPr>
          <w:b/>
        </w:rPr>
        <w:t>Position 3: Human oversight must be designed as a first-class system requirement, not retrofitted.</w:t>
      </w:r>
      <w:r>
        <w:t xml:space="preserve"> Interfaces for agentic AI systems must implement graduated levels of human control that are matched to task criticality and consequence of error </w:t>
      </w:r>
      <w:sdt>
        <w:sdtPr>
          <w:id w:val="1575078355"/>
          <w:citation/>
        </w:sdtPr>
        <w:sdtEndPr/>
        <w:sdtContent>
          <w:r w:rsidR="00B50BB7">
            <w:fldChar w:fldCharType="begin"/>
          </w:r>
          <w:r w:rsidR="00B50BB7">
            <w:instrText xml:space="preserve"> CITATION Par00 \l 1033 </w:instrText>
          </w:r>
          <w:r w:rsidR="00B50BB7">
            <w:fldChar w:fldCharType="separate"/>
          </w:r>
          <w:r w:rsidR="00B50BB7" w:rsidRPr="00B50BB7">
            <w:rPr>
              <w:noProof/>
            </w:rPr>
            <w:t>[41]</w:t>
          </w:r>
          <w:r w:rsidR="00B50BB7">
            <w:fldChar w:fldCharType="end"/>
          </w:r>
        </w:sdtContent>
      </w:sdt>
      <w:r>
        <w:t xml:space="preserve">. This includes dynamic override and intervention capabilities at critical decision junctures, the ability to adjust the depth and scope of agent autonomy, and clear mechanisms for operators to swap between automated and manual control. These capabilities must be designed concurrently with agent architecture, following the lifecycle integration principles of SAE ARP4754A </w:t>
      </w:r>
      <w:sdt>
        <w:sdtPr>
          <w:id w:val="1393702334"/>
          <w:citation/>
        </w:sdtPr>
        <w:sdtEndPr/>
        <w:sdtContent>
          <w:r w:rsidR="00B50BB7">
            <w:fldChar w:fldCharType="begin"/>
          </w:r>
          <w:r w:rsidR="00B50BB7">
            <w:instrText xml:space="preserve"> CITATION Gui10 \l 1033 </w:instrText>
          </w:r>
          <w:r w:rsidR="00B50BB7">
            <w:fldChar w:fldCharType="separate"/>
          </w:r>
          <w:r w:rsidR="00B50BB7" w:rsidRPr="00B50BB7">
            <w:rPr>
              <w:noProof/>
            </w:rPr>
            <w:t>[38]</w:t>
          </w:r>
          <w:r w:rsidR="00B50BB7">
            <w:fldChar w:fldCharType="end"/>
          </w:r>
        </w:sdtContent>
      </w:sdt>
      <w:r>
        <w:t xml:space="preserve"> and the human-centered design process of ISO 9241-210 </w:t>
      </w:r>
      <w:sdt>
        <w:sdtPr>
          <w:id w:val="-14618406"/>
          <w:citation/>
        </w:sdtPr>
        <w:sdtEndPr/>
        <w:sdtContent>
          <w:r w:rsidR="00B50BB7">
            <w:fldChar w:fldCharType="begin"/>
          </w:r>
          <w:r w:rsidR="00B50BB7">
            <w:instrText xml:space="preserve"> CITATION Par19 \l 1033 </w:instrText>
          </w:r>
          <w:r w:rsidR="00B50BB7">
            <w:fldChar w:fldCharType="separate"/>
          </w:r>
          <w:r w:rsidR="00B50BB7" w:rsidRPr="00B50BB7">
            <w:rPr>
              <w:noProof/>
            </w:rPr>
            <w:t>[37]</w:t>
          </w:r>
          <w:r w:rsidR="00B50BB7">
            <w:fldChar w:fldCharType="end"/>
          </w:r>
        </w:sdtContent>
      </w:sdt>
      <w:r>
        <w:t>.</w:t>
      </w:r>
    </w:p>
    <w:p w14:paraId="6BD18E33" w14:textId="58EA66E0" w:rsidR="00294772" w:rsidRDefault="00294772" w:rsidP="00F62419">
      <w:pPr>
        <w:pStyle w:val="ListParagraph"/>
        <w:numPr>
          <w:ilvl w:val="0"/>
          <w:numId w:val="12"/>
        </w:numPr>
      </w:pPr>
      <w:r w:rsidRPr="00F62419">
        <w:rPr>
          <w:b/>
        </w:rPr>
        <w:t>Position 4: Trust calibration through appropriate uncertainty communication supports valid decision-making.</w:t>
      </w:r>
      <w:r>
        <w:t xml:space="preserve"> Interfaces must present agent confidence, model uncertainty, and data provenance in ways that enable operators to calibrate their trust to actual system reliability </w:t>
      </w:r>
      <w:sdt>
        <w:sdtPr>
          <w:id w:val="-979382670"/>
          <w:citation/>
        </w:sdtPr>
        <w:sdtEndPr/>
        <w:sdtContent>
          <w:r w:rsidR="00B50BB7">
            <w:fldChar w:fldCharType="begin"/>
          </w:r>
          <w:r w:rsidR="00B50BB7">
            <w:instrText xml:space="preserve"> CITATION Lee04 \l 1033 </w:instrText>
          </w:r>
          <w:r w:rsidR="00B50BB7">
            <w:fldChar w:fldCharType="separate"/>
          </w:r>
          <w:r w:rsidR="00B50BB7" w:rsidRPr="00B50BB7">
            <w:rPr>
              <w:noProof/>
            </w:rPr>
            <w:t>[43]</w:t>
          </w:r>
          <w:r w:rsidR="00B50BB7">
            <w:fldChar w:fldCharType="end"/>
          </w:r>
        </w:sdtContent>
      </w:sdt>
      <w:r>
        <w:t xml:space="preserve">. This aligns with the VVUQ principles of Section </w:t>
      </w:r>
      <w:r w:rsidR="00B50BB7">
        <w:fldChar w:fldCharType="begin"/>
      </w:r>
      <w:r w:rsidR="00B50BB7">
        <w:instrText xml:space="preserve"> REF _Ref236216270 \r \h </w:instrText>
      </w:r>
      <w:r w:rsidR="00B50BB7">
        <w:fldChar w:fldCharType="separate"/>
      </w:r>
      <w:r w:rsidR="00B50BB7">
        <w:t>3.3</w:t>
      </w:r>
      <w:r w:rsidR="00B50BB7">
        <w:fldChar w:fldCharType="end"/>
      </w:r>
      <w:r>
        <w:t>—where credibility must be established not only for individual models but for the integrated workflows through which outputs are used in decision-making. Presenting agent outputs without corresponding uncertainty information violates both the spirit of VVUQ practice and the appropriate use criterion.</w:t>
      </w:r>
    </w:p>
    <w:p w14:paraId="61492573" w14:textId="77777777" w:rsidR="00294772" w:rsidRDefault="00294772" w:rsidP="00294772">
      <w:pPr>
        <w:pStyle w:val="Heading3"/>
      </w:pPr>
      <w:r>
        <w:t>Recommendations</w:t>
      </w:r>
    </w:p>
    <w:p w14:paraId="4E2E8E69" w14:textId="77777777" w:rsidR="00294772" w:rsidRDefault="00294772" w:rsidP="00294772">
      <w:r>
        <w:t>To realize the positions above, DEIC-CoDADE recommends the following practices for organizations developing agentic AI systems within digital engineering workflows:</w:t>
      </w:r>
    </w:p>
    <w:p w14:paraId="6B1A1F9E" w14:textId="1B07D788" w:rsidR="00294772" w:rsidRDefault="00294772" w:rsidP="00F62419">
      <w:pPr>
        <w:pStyle w:val="ListParagraph"/>
        <w:numPr>
          <w:ilvl w:val="0"/>
          <w:numId w:val="11"/>
        </w:numPr>
      </w:pPr>
      <w:r w:rsidRPr="00F62419">
        <w:rPr>
          <w:b/>
        </w:rPr>
        <w:t>Embed UX architecture in system design from inception.</w:t>
      </w:r>
      <w:r>
        <w:t xml:space="preserve"> Human-system interaction requirements should be elicited, specified, and validated using the same lifecycle rigor applied to computational model development. The Bansal et al. finding that team performance depends on accurate mental models of AI capability </w:t>
      </w:r>
      <w:sdt>
        <w:sdtPr>
          <w:id w:val="-1229533072"/>
          <w:citation/>
        </w:sdtPr>
        <w:sdtEndPr/>
        <w:sdtContent>
          <w:r w:rsidR="00B50BB7">
            <w:fldChar w:fldCharType="begin"/>
          </w:r>
          <w:r w:rsidR="00B50BB7">
            <w:instrText xml:space="preserve"> CITATION Ban19 \l 1033 </w:instrText>
          </w:r>
          <w:r w:rsidR="00B50BB7">
            <w:fldChar w:fldCharType="separate"/>
          </w:r>
          <w:r w:rsidR="00B50BB7" w:rsidRPr="00B50BB7">
            <w:rPr>
              <w:noProof/>
            </w:rPr>
            <w:t>[44]</w:t>
          </w:r>
          <w:r w:rsidR="00B50BB7">
            <w:fldChar w:fldCharType="end"/>
          </w:r>
        </w:sdtContent>
      </w:sdt>
      <w:r>
        <w:t xml:space="preserve"> implies that interface </w:t>
      </w:r>
      <w:r>
        <w:lastRenderedPageBreak/>
        <w:t>design must be informed by cognitive task analysis of operators' actual decision-making contexts.</w:t>
      </w:r>
    </w:p>
    <w:p w14:paraId="643BE98E" w14:textId="51BDFB4E" w:rsidR="00294772" w:rsidRDefault="00294772" w:rsidP="00F62419">
      <w:pPr>
        <w:pStyle w:val="ListParagraph"/>
        <w:numPr>
          <w:ilvl w:val="0"/>
          <w:numId w:val="11"/>
        </w:numPr>
      </w:pPr>
      <w:r w:rsidRPr="00F62419">
        <w:rPr>
          <w:b/>
        </w:rPr>
        <w:t>Implement the SAT transparency model as a minimum interface standard.</w:t>
      </w:r>
      <w:r>
        <w:t xml:space="preserve"> Every agentic system whose outputs influence engineering decisions should communicate: (a) current actions and their scope, (b) reasoning, constraints, and data sources driving behavior, and (c) projected outcomes with associated uncertainty bounds </w:t>
      </w:r>
      <w:sdt>
        <w:sdtPr>
          <w:id w:val="-904605376"/>
          <w:citation/>
        </w:sdtPr>
        <w:sdtEndPr/>
        <w:sdtContent>
          <w:r w:rsidR="00B50BB7">
            <w:fldChar w:fldCharType="begin"/>
          </w:r>
          <w:r w:rsidR="00B50BB7">
            <w:instrText xml:space="preserve"> CITATION Che14 \l 1033 </w:instrText>
          </w:r>
          <w:r w:rsidR="00B50BB7">
            <w:fldChar w:fldCharType="separate"/>
          </w:r>
          <w:r w:rsidR="00B50BB7" w:rsidRPr="00B50BB7">
            <w:rPr>
              <w:noProof/>
            </w:rPr>
            <w:t>[40]</w:t>
          </w:r>
          <w:r w:rsidR="00B50BB7">
            <w:fldChar w:fldCharType="end"/>
          </w:r>
        </w:sdtContent>
      </w:sdt>
      <w:r>
        <w:t>. This information should be available on demand without requiring operators to interrupt agent workflows.</w:t>
      </w:r>
    </w:p>
    <w:p w14:paraId="697BE1D9" w14:textId="4A98DDA0" w:rsidR="00294772" w:rsidRDefault="00294772" w:rsidP="00F62419">
      <w:pPr>
        <w:pStyle w:val="ListParagraph"/>
        <w:numPr>
          <w:ilvl w:val="0"/>
          <w:numId w:val="11"/>
        </w:numPr>
      </w:pPr>
      <w:r w:rsidRPr="00F62419">
        <w:rPr>
          <w:b/>
        </w:rPr>
        <w:t>Design graduated autonomy with explicit transition protocols.</w:t>
      </w:r>
      <w:r>
        <w:t xml:space="preserve"> Following Parasuraman's framework </w:t>
      </w:r>
      <w:sdt>
        <w:sdtPr>
          <w:id w:val="-1165003139"/>
          <w:citation/>
        </w:sdtPr>
        <w:sdtEndPr/>
        <w:sdtContent>
          <w:r w:rsidR="00B50BB7">
            <w:fldChar w:fldCharType="begin"/>
          </w:r>
          <w:r w:rsidR="00B50BB7">
            <w:instrText xml:space="preserve"> CITATION Par00 \l 1033 </w:instrText>
          </w:r>
          <w:r w:rsidR="00B50BB7">
            <w:fldChar w:fldCharType="separate"/>
          </w:r>
          <w:r w:rsidR="00B50BB7" w:rsidRPr="00B50BB7">
            <w:rPr>
              <w:noProof/>
            </w:rPr>
            <w:t>[41]</w:t>
          </w:r>
          <w:r w:rsidR="00B50BB7">
            <w:fldChar w:fldCharType="end"/>
          </w:r>
        </w:sdtContent>
      </w:sdt>
      <w:r>
        <w:t>, define the level of automation appropriate for each task within the CoDA workflow. Provide operators with clear indicators of current autonomy level, mechanisms to adjust that level, and unambiguous handoff protocols when transitioning between human-directed and agent-directed operation.</w:t>
      </w:r>
    </w:p>
    <w:p w14:paraId="509425EF" w14:textId="724F976F" w:rsidR="00294772" w:rsidRDefault="00294772" w:rsidP="00F62419">
      <w:pPr>
        <w:pStyle w:val="ListParagraph"/>
        <w:numPr>
          <w:ilvl w:val="0"/>
          <w:numId w:val="11"/>
        </w:numPr>
      </w:pPr>
      <w:r w:rsidRPr="00F62419">
        <w:rPr>
          <w:b/>
        </w:rPr>
        <w:t>Integrate uncertainty visualization with decision provenance.</w:t>
      </w:r>
      <w:r>
        <w:t xml:space="preserve"> Agent outputs should be accompanied by visual indicators of confidence, model validity bounds, and data lineage that trace back through the digital thread. When an agent's recommendation is based on extrapolation beyond training data, unvalidated models, or incomplete information, the interface must make this visible to support the appropriate use assessment.</w:t>
      </w:r>
    </w:p>
    <w:p w14:paraId="5E803570" w14:textId="1736BAA0" w:rsidR="00294772" w:rsidRDefault="00294772" w:rsidP="00F62419">
      <w:pPr>
        <w:pStyle w:val="ListParagraph"/>
        <w:numPr>
          <w:ilvl w:val="0"/>
          <w:numId w:val="11"/>
        </w:numPr>
      </w:pPr>
      <w:r w:rsidRPr="00F62419">
        <w:rPr>
          <w:b/>
        </w:rPr>
        <w:t>Establish UI/UX validation as a component of system VVUQ.</w:t>
      </w:r>
      <w:r>
        <w:t xml:space="preserve"> Just as computational models require verification and validation (Section </w:t>
      </w:r>
      <w:r w:rsidR="00B50BB7">
        <w:fldChar w:fldCharType="begin"/>
      </w:r>
      <w:r w:rsidR="00B50BB7">
        <w:instrText xml:space="preserve"> REF _Ref236216270 \r \h </w:instrText>
      </w:r>
      <w:r w:rsidR="00B50BB7">
        <w:fldChar w:fldCharType="separate"/>
      </w:r>
      <w:r w:rsidR="00B50BB7">
        <w:t>3.3</w:t>
      </w:r>
      <w:r w:rsidR="00B50BB7">
        <w:fldChar w:fldCharType="end"/>
      </w:r>
      <w:r>
        <w:t>), the human-system interface requires empirical validation that operators can maintain adequate situation awareness, calibrate trust appropriately, and exercise effective oversight. Usability testing alone is insufficient—validation must assess whether the interface supports correct decision-making under representative operational conditions, including edge cases and failure modes.</w:t>
      </w:r>
    </w:p>
    <w:p w14:paraId="778EEDF0" w14:textId="497DF74C" w:rsidR="00294772" w:rsidRDefault="00294772" w:rsidP="00F62419">
      <w:pPr>
        <w:pStyle w:val="ListParagraph"/>
        <w:numPr>
          <w:ilvl w:val="0"/>
          <w:numId w:val="11"/>
        </w:numPr>
      </w:pPr>
      <w:r w:rsidRPr="00F62419">
        <w:rPr>
          <w:b/>
        </w:rPr>
        <w:t>Develop shared interaction standards across the digital engineering ecosystem.</w:t>
      </w:r>
      <w:r>
        <w:t xml:space="preserve"> To support interoperability, organizations should adopt common interaction patterns, visualization conventions, and information architecture standards for agent interfaces within their digital engineering environments. This reduces cognitive load when operators transition between tools and supports the unified digital thread.</w:t>
      </w:r>
    </w:p>
    <w:p w14:paraId="414B11BD" w14:textId="77777777" w:rsidR="00294772" w:rsidRDefault="00294772" w:rsidP="00294772">
      <w:pPr>
        <w:pStyle w:val="Heading3"/>
      </w:pPr>
      <w:r>
        <w:t>Relationship to Other Sections</w:t>
      </w:r>
    </w:p>
    <w:p w14:paraId="77F45BBE" w14:textId="77777777" w:rsidR="00294772" w:rsidRDefault="00294772" w:rsidP="00294772">
      <w:r>
        <w:t>The UI/UX challenges and positions described above connect directly to multiple themes in this position paper:</w:t>
      </w:r>
    </w:p>
    <w:p w14:paraId="7470914A" w14:textId="0CEC314E" w:rsidR="00294772" w:rsidRDefault="00294772" w:rsidP="00B50BB7">
      <w:pPr>
        <w:pStyle w:val="ListParagraph"/>
        <w:numPr>
          <w:ilvl w:val="0"/>
          <w:numId w:val="10"/>
        </w:numPr>
      </w:pPr>
      <w:r w:rsidRPr="00B50BB7">
        <w:rPr>
          <w:b/>
        </w:rPr>
        <w:t xml:space="preserve">Modeling (Section </w:t>
      </w:r>
      <w:r w:rsidR="00B50BB7" w:rsidRPr="00B50BB7">
        <w:rPr>
          <w:b/>
        </w:rPr>
        <w:fldChar w:fldCharType="begin"/>
      </w:r>
      <w:r w:rsidR="00B50BB7" w:rsidRPr="00B50BB7">
        <w:rPr>
          <w:b/>
        </w:rPr>
        <w:instrText xml:space="preserve"> REF _Ref236216369 \r \h </w:instrText>
      </w:r>
      <w:r w:rsidR="00B50BB7" w:rsidRPr="00B50BB7">
        <w:rPr>
          <w:b/>
        </w:rPr>
      </w:r>
      <w:r w:rsidR="00B50BB7" w:rsidRPr="00B50BB7">
        <w:rPr>
          <w:b/>
        </w:rPr>
        <w:fldChar w:fldCharType="separate"/>
      </w:r>
      <w:r w:rsidR="00B50BB7" w:rsidRPr="00B50BB7">
        <w:rPr>
          <w:b/>
        </w:rPr>
        <w:t>3.1</w:t>
      </w:r>
      <w:r w:rsidR="00B50BB7" w:rsidRPr="00B50BB7">
        <w:rPr>
          <w:b/>
        </w:rPr>
        <w:fldChar w:fldCharType="end"/>
      </w:r>
      <w:r w:rsidRPr="00B50BB7">
        <w:rPr>
          <w:b/>
        </w:rPr>
        <w:t>):</w:t>
      </w:r>
      <w:r>
        <w:t xml:space="preserve"> The interface must communicate model limitations, assumptions, and the distinction between physics-based, data-derived, and hybrid models to operators who act on their outputs.</w:t>
      </w:r>
    </w:p>
    <w:p w14:paraId="1D82BB19" w14:textId="1DB9C97F" w:rsidR="00294772" w:rsidRDefault="00294772" w:rsidP="00B50BB7">
      <w:pPr>
        <w:pStyle w:val="ListParagraph"/>
        <w:numPr>
          <w:ilvl w:val="0"/>
          <w:numId w:val="10"/>
        </w:numPr>
      </w:pPr>
      <w:r w:rsidRPr="00B50BB7">
        <w:rPr>
          <w:b/>
        </w:rPr>
        <w:t>Optimization (Section</w:t>
      </w:r>
      <w:r w:rsidR="00B50BB7" w:rsidRPr="00B50BB7">
        <w:rPr>
          <w:b/>
        </w:rPr>
        <w:t xml:space="preserve"> </w:t>
      </w:r>
      <w:r w:rsidR="00B50BB7" w:rsidRPr="00B50BB7">
        <w:rPr>
          <w:b/>
        </w:rPr>
        <w:fldChar w:fldCharType="begin"/>
      </w:r>
      <w:r w:rsidR="00B50BB7" w:rsidRPr="00B50BB7">
        <w:rPr>
          <w:b/>
        </w:rPr>
        <w:instrText xml:space="preserve"> REF _Ref236216355 \r \h </w:instrText>
      </w:r>
      <w:r w:rsidR="00B50BB7" w:rsidRPr="00B50BB7">
        <w:rPr>
          <w:b/>
        </w:rPr>
      </w:r>
      <w:r w:rsidR="00B50BB7" w:rsidRPr="00B50BB7">
        <w:rPr>
          <w:b/>
        </w:rPr>
        <w:fldChar w:fldCharType="separate"/>
      </w:r>
      <w:r w:rsidR="00B50BB7" w:rsidRPr="00B50BB7">
        <w:rPr>
          <w:b/>
        </w:rPr>
        <w:t>3.2</w:t>
      </w:r>
      <w:r w:rsidR="00B50BB7" w:rsidRPr="00B50BB7">
        <w:rPr>
          <w:b/>
        </w:rPr>
        <w:fldChar w:fldCharType="end"/>
      </w:r>
      <w:r w:rsidRPr="00B50BB7">
        <w:rPr>
          <w:b/>
        </w:rPr>
        <w:t>):</w:t>
      </w:r>
      <w:r>
        <w:t xml:space="preserve"> When optimization provides cognitive support for creative synthesis—the paradigm shift described in Section </w:t>
      </w:r>
      <w:r w:rsidR="00B50BB7">
        <w:fldChar w:fldCharType="begin"/>
      </w:r>
      <w:r w:rsidR="00B50BB7">
        <w:instrText xml:space="preserve"> REF _Ref236216355 \r \h </w:instrText>
      </w:r>
      <w:r w:rsidR="00B50BB7">
        <w:fldChar w:fldCharType="separate"/>
      </w:r>
      <w:r w:rsidR="00B50BB7">
        <w:t>3.2</w:t>
      </w:r>
      <w:r w:rsidR="00B50BB7">
        <w:fldChar w:fldCharType="end"/>
      </w:r>
      <w:r>
        <w:t>—the interface is the mechanism through which engineers interrogate results and gain design insights. Explainability of the optimization process through the UI directly enables the cognitive benefits discussed.</w:t>
      </w:r>
    </w:p>
    <w:p w14:paraId="3B506142" w14:textId="79A1ABA4" w:rsidR="00294772" w:rsidRDefault="00294772" w:rsidP="00B50BB7">
      <w:pPr>
        <w:pStyle w:val="ListParagraph"/>
        <w:numPr>
          <w:ilvl w:val="0"/>
          <w:numId w:val="10"/>
        </w:numPr>
      </w:pPr>
      <w:r w:rsidRPr="00B50BB7">
        <w:rPr>
          <w:b/>
        </w:rPr>
        <w:t xml:space="preserve">VVUQ (Section </w:t>
      </w:r>
      <w:r w:rsidR="00B50BB7" w:rsidRPr="00B50BB7">
        <w:rPr>
          <w:b/>
        </w:rPr>
        <w:fldChar w:fldCharType="begin"/>
      </w:r>
      <w:r w:rsidR="00B50BB7" w:rsidRPr="00B50BB7">
        <w:rPr>
          <w:b/>
        </w:rPr>
        <w:instrText xml:space="preserve"> REF _Ref236216270 \r \h </w:instrText>
      </w:r>
      <w:r w:rsidR="00B50BB7" w:rsidRPr="00B50BB7">
        <w:rPr>
          <w:b/>
        </w:rPr>
      </w:r>
      <w:r w:rsidR="00B50BB7" w:rsidRPr="00B50BB7">
        <w:rPr>
          <w:b/>
        </w:rPr>
        <w:fldChar w:fldCharType="separate"/>
      </w:r>
      <w:r w:rsidR="00B50BB7" w:rsidRPr="00B50BB7">
        <w:rPr>
          <w:b/>
        </w:rPr>
        <w:t>3.3</w:t>
      </w:r>
      <w:r w:rsidR="00B50BB7" w:rsidRPr="00B50BB7">
        <w:rPr>
          <w:b/>
        </w:rPr>
        <w:fldChar w:fldCharType="end"/>
      </w:r>
      <w:r w:rsidRPr="00B50BB7">
        <w:rPr>
          <w:b/>
        </w:rPr>
        <w:t>):</w:t>
      </w:r>
      <w:r>
        <w:t xml:space="preserve"> Uncertainty communication at the interface level is an extension of the VVUQ chain. If uncertainty is rigorously quantified but then hidden behind a simplified interface, the chain is broken.</w:t>
      </w:r>
    </w:p>
    <w:p w14:paraId="15AFFD24" w14:textId="60DBC7A5" w:rsidR="00294772" w:rsidRDefault="00294772" w:rsidP="00B50BB7">
      <w:pPr>
        <w:pStyle w:val="ListParagraph"/>
        <w:numPr>
          <w:ilvl w:val="0"/>
          <w:numId w:val="10"/>
        </w:numPr>
      </w:pPr>
      <w:r w:rsidRPr="00B50BB7">
        <w:rPr>
          <w:b/>
        </w:rPr>
        <w:t xml:space="preserve">Data and Visualization (Section </w:t>
      </w:r>
      <w:r w:rsidR="00B50BB7" w:rsidRPr="00B50BB7">
        <w:rPr>
          <w:b/>
        </w:rPr>
        <w:fldChar w:fldCharType="begin"/>
      </w:r>
      <w:r w:rsidR="00B50BB7" w:rsidRPr="00B50BB7">
        <w:rPr>
          <w:b/>
        </w:rPr>
        <w:instrText xml:space="preserve"> REF _Ref236216311 \r \h </w:instrText>
      </w:r>
      <w:r w:rsidR="00B50BB7" w:rsidRPr="00B50BB7">
        <w:rPr>
          <w:b/>
        </w:rPr>
      </w:r>
      <w:r w:rsidR="00B50BB7" w:rsidRPr="00B50BB7">
        <w:rPr>
          <w:b/>
        </w:rPr>
        <w:fldChar w:fldCharType="separate"/>
      </w:r>
      <w:r w:rsidR="00B50BB7" w:rsidRPr="00B50BB7">
        <w:rPr>
          <w:b/>
        </w:rPr>
        <w:t>3.4</w:t>
      </w:r>
      <w:r w:rsidR="00B50BB7" w:rsidRPr="00B50BB7">
        <w:rPr>
          <w:b/>
        </w:rPr>
        <w:fldChar w:fldCharType="end"/>
      </w:r>
      <w:r w:rsidRPr="00B50BB7">
        <w:rPr>
          <w:b/>
        </w:rPr>
        <w:t>):</w:t>
      </w:r>
      <w:r>
        <w:t xml:space="preserve"> The data provenance and semantic standards challenges apply directly to what information is surfaced to users and how.</w:t>
      </w:r>
    </w:p>
    <w:p w14:paraId="1B8F1197" w14:textId="0B176DAD" w:rsidR="00294772" w:rsidRDefault="00294772" w:rsidP="00B50BB7">
      <w:pPr>
        <w:pStyle w:val="ListParagraph"/>
        <w:numPr>
          <w:ilvl w:val="0"/>
          <w:numId w:val="10"/>
        </w:numPr>
      </w:pPr>
      <w:r w:rsidRPr="00B50BB7">
        <w:rPr>
          <w:b/>
        </w:rPr>
        <w:lastRenderedPageBreak/>
        <w:t xml:space="preserve">Hardware/Software Codesign (Section </w:t>
      </w:r>
      <w:r w:rsidR="00B50BB7" w:rsidRPr="00B50BB7">
        <w:rPr>
          <w:b/>
        </w:rPr>
        <w:fldChar w:fldCharType="begin"/>
      </w:r>
      <w:r w:rsidR="00B50BB7" w:rsidRPr="00B50BB7">
        <w:rPr>
          <w:b/>
        </w:rPr>
        <w:instrText xml:space="preserve"> REF _Ref236216471 \r \h </w:instrText>
      </w:r>
      <w:r w:rsidR="00B50BB7" w:rsidRPr="00B50BB7">
        <w:rPr>
          <w:b/>
        </w:rPr>
      </w:r>
      <w:r w:rsidR="00B50BB7" w:rsidRPr="00B50BB7">
        <w:rPr>
          <w:b/>
        </w:rPr>
        <w:fldChar w:fldCharType="separate"/>
      </w:r>
      <w:r w:rsidR="00B50BB7" w:rsidRPr="00B50BB7">
        <w:rPr>
          <w:b/>
        </w:rPr>
        <w:t>4</w:t>
      </w:r>
      <w:r w:rsidR="00B50BB7" w:rsidRPr="00B50BB7">
        <w:rPr>
          <w:b/>
        </w:rPr>
        <w:fldChar w:fldCharType="end"/>
      </w:r>
      <w:r w:rsidRPr="00B50BB7">
        <w:rPr>
          <w:b/>
        </w:rPr>
        <w:t>):</w:t>
      </w:r>
      <w:r>
        <w:t xml:space="preserve"> Co-design principles should extend to the human-system interface—the most effective designs emerge when UI/UX practitioners participate in the co-design process alongside domain experts, computational scientists, and hardware architects.</w:t>
      </w:r>
    </w:p>
    <w:p w14:paraId="1B3360C4" w14:textId="31817F84" w:rsidR="00294772" w:rsidRPr="00294772" w:rsidRDefault="00B50BB7" w:rsidP="00B50BB7">
      <w:pPr>
        <w:pStyle w:val="ListParagraph"/>
        <w:numPr>
          <w:ilvl w:val="0"/>
          <w:numId w:val="10"/>
        </w:numPr>
      </w:pPr>
      <w:r w:rsidRPr="00B50BB7">
        <w:rPr>
          <w:b/>
        </w:rPr>
        <w:t>O</w:t>
      </w:r>
      <w:r w:rsidR="00294772" w:rsidRPr="00B50BB7">
        <w:rPr>
          <w:b/>
        </w:rPr>
        <w:t xml:space="preserve">rganizational Culture (Section </w:t>
      </w:r>
      <w:r w:rsidRPr="00B50BB7">
        <w:rPr>
          <w:b/>
        </w:rPr>
        <w:fldChar w:fldCharType="begin"/>
      </w:r>
      <w:r w:rsidRPr="00B50BB7">
        <w:rPr>
          <w:b/>
        </w:rPr>
        <w:instrText xml:space="preserve"> REF _Ref236216463 \r \h </w:instrText>
      </w:r>
      <w:r w:rsidRPr="00B50BB7">
        <w:rPr>
          <w:b/>
        </w:rPr>
      </w:r>
      <w:r w:rsidRPr="00B50BB7">
        <w:rPr>
          <w:b/>
        </w:rPr>
        <w:fldChar w:fldCharType="separate"/>
      </w:r>
      <w:r w:rsidRPr="00B50BB7">
        <w:rPr>
          <w:b/>
        </w:rPr>
        <w:t>5.1</w:t>
      </w:r>
      <w:r w:rsidRPr="00B50BB7">
        <w:rPr>
          <w:b/>
        </w:rPr>
        <w:fldChar w:fldCharType="end"/>
      </w:r>
      <w:r w:rsidR="00294772" w:rsidRPr="00B50BB7">
        <w:rPr>
          <w:b/>
        </w:rPr>
        <w:t>):</w:t>
      </w:r>
      <w:r w:rsidR="00294772">
        <w:t xml:space="preserve"> A digital culture that values transparency, collaboration, and accountability naturally produces interfaces that embody these values. Conversely, opaque or poorly designed interfaces undermine the cultural transformation digital engineering requires.</w:t>
      </w:r>
    </w:p>
    <w:p w14:paraId="5CD13171" w14:textId="7EA7732A" w:rsidR="0035594C" w:rsidRDefault="0035594C" w:rsidP="0035594C">
      <w:pPr>
        <w:pStyle w:val="Heading2"/>
      </w:pPr>
      <w:r>
        <w:t>Digital Engineering, Modeling &amp; Simulation (DEM&amp;S) Community of Practice (CoP)</w:t>
      </w:r>
    </w:p>
    <w:p w14:paraId="6062B19D" w14:textId="2AC5B712" w:rsidR="0035594C" w:rsidRDefault="0035594C" w:rsidP="0035594C">
      <w:r>
        <w:t>The Digital Engineering, Modeling &amp; Simulation (DEM&amp;S) Community of Practice (CoP) is an interdisciplinary network that brings together engineers, analysts, scientists, and domain experts across Lockheed Martin and its partner organizations. Its purpose is to share knowledge, develop and maintain common modeling and simulation assets, provide mentorship and training, coordinate governance of data and model libraries, and foster innovation by exposing members to cross-domain challenges. The CoP operates under a charter that defines its mission, membership criteria, meeting cadence (monthly webinars and quarterly workshops), and deliverables, including guidelines, reference models, and open-source repositories.</w:t>
      </w:r>
    </w:p>
    <w:p w14:paraId="4544ADA6" w14:textId="77777777" w:rsidR="0035594C" w:rsidRDefault="0035594C" w:rsidP="0035594C">
      <w:r>
        <w:t>The CoP delivers a range of benefits:</w:t>
      </w:r>
    </w:p>
    <w:p w14:paraId="76C69C6F" w14:textId="20D11E45" w:rsidR="0035594C" w:rsidRDefault="0035594C" w:rsidP="0035594C">
      <w:pPr>
        <w:pStyle w:val="ListParagraph"/>
        <w:numPr>
          <w:ilvl w:val="0"/>
          <w:numId w:val="9"/>
        </w:numPr>
      </w:pPr>
      <w:r>
        <w:t>It improves efficiency by enabling the reuse of validated models, which can reduce development time by 30-40 %.</w:t>
      </w:r>
    </w:p>
    <w:p w14:paraId="3C6C3414" w14:textId="6A18D639" w:rsidR="0035594C" w:rsidRDefault="0035594C" w:rsidP="0035594C">
      <w:pPr>
        <w:pStyle w:val="ListParagraph"/>
        <w:numPr>
          <w:ilvl w:val="0"/>
          <w:numId w:val="9"/>
        </w:numPr>
      </w:pPr>
      <w:r>
        <w:t>Shared verification and validation practices enhance model accuracy and lower downstream rework, while structured training pathways accelerate competency in high-performance computing and simulation workflows.</w:t>
      </w:r>
    </w:p>
    <w:p w14:paraId="1E16B085" w14:textId="6EDAE865" w:rsidR="0035594C" w:rsidRDefault="0035594C" w:rsidP="0035594C">
      <w:pPr>
        <w:pStyle w:val="ListParagraph"/>
        <w:numPr>
          <w:ilvl w:val="0"/>
          <w:numId w:val="9"/>
        </w:numPr>
      </w:pPr>
      <w:r>
        <w:t>Early-stage virtual testing identifies design issues before hardware prototypes, mitigating risk and lowering cost of change.</w:t>
      </w:r>
    </w:p>
    <w:p w14:paraId="677E9C35" w14:textId="605F47BA" w:rsidR="0035594C" w:rsidRDefault="0035594C" w:rsidP="0035594C">
      <w:pPr>
        <w:pStyle w:val="ListParagraph"/>
        <w:numPr>
          <w:ilvl w:val="0"/>
          <w:numId w:val="9"/>
        </w:numPr>
      </w:pPr>
      <w:r>
        <w:t>Cross-functional forums break down silos, allowing integrated system-level analyses and ensuring consistent outputs through unified data schemas, model exchange formats, and CI/CD pipelines.</w:t>
      </w:r>
    </w:p>
    <w:p w14:paraId="7F3B7870" w14:textId="0315799A" w:rsidR="0035594C" w:rsidRDefault="0035594C" w:rsidP="0035594C">
      <w:pPr>
        <w:pStyle w:val="ListParagraph"/>
        <w:numPr>
          <w:ilvl w:val="0"/>
          <w:numId w:val="9"/>
        </w:numPr>
      </w:pPr>
      <w:r>
        <w:t>Exposure to emerging technologies such as AI-driven surrogate models and quantum-enhanced solvers drives rapid prototyping and innovation.</w:t>
      </w:r>
    </w:p>
    <w:p w14:paraId="27886311" w14:textId="77777777" w:rsidR="0035594C" w:rsidRDefault="0035594C" w:rsidP="0035594C">
      <w:r>
        <w:t xml:space="preserve">The CoP enhances computational design and analysis for digital engineering in several concrete ways. Centralized, version-controlled libraries of validated models enable “plug-and-play” integration into system models, reducing bespoke coding effort. Adoption of shared simulation frameworks—pre-configured toolchains packaged in containers—ensures reproducibility across projects and compute platforms. The CoP curates best-practice guidelines for scaling CFD, multiphysics, and Monte-Carlo analyses on Lockheed Martin’s HPC clusters and cloud resources, providing scripts for automated job submission, checkpointing, and post-processing. Knowledge-sharing sessions on AI-assisted surrogate modeling accelerate design-space exploration, shrinking optimization loops from days to minutes. Standardized APIs for feeding real-time sensor data into simulation models enable predictive maintenance and performance monitoring, while “digital twin playbooks” outline data ingestion, model update cadence, and validation steps. Joint test-beds that execute aerodynamic, structural, thermal, and </w:t>
      </w:r>
      <w:r>
        <w:lastRenderedPageBreak/>
        <w:t>control models together capture cross-domain interactions early, reducing “model-of-model” errors.</w:t>
      </w:r>
    </w:p>
    <w:p w14:paraId="2BDFEC6E" w14:textId="19090633" w:rsidR="0071108F" w:rsidRDefault="0035594C" w:rsidP="0035594C">
      <w:r>
        <w:t>Looking ahead, the DEM&amp;S CoP will play an increasingly strategic role in digital engineering. In the next two years, it will consolidate model libraries and expand the adoption of AI-driven surrogates, embedding CoP-derived standards across all new program acquisition phases. Over a three-to-five-year horizon, the CoP will enable model-centric engineering, in which design decisions are made directly from near-real-time simulation outcomes, and will integrate quantum-ready solvers for advanced electromagnetic and materials modeling. In five to ten years, the CoP will power autonomous digital twins that self-diagnose, self-optimize, and close the loop with manufacturing and sustainment pipelines, providing a common “simulation fabric” that supports cross-program reuse and rapid fielding of next-generation platforms such as hypersonic and autonomous systems. Beyond ten years, the CoP is expected to become the strategic backbone of a fully virtualized product lifecycle, where physical prototypes are replaced by high-confidence digital counterparts, and continuous innovation is driven by the seamless coupling of simulation, real-world data streams, AI, and emerging computing paradigms (e.g., neuromorphic and edge HPC). In essence, the DEM&amp;S Community of Practice will evolve from a knowledge-sharing group into the operational core of Lockheed Martin’s digitally engineered product development, ensuring that computational design and analysis remain fast, accurate, and tightly integrated throughout the system lifecycle.</w:t>
      </w:r>
    </w:p>
    <w:p w14:paraId="0BE6AA3D" w14:textId="307436F5" w:rsidR="00DB5FD6" w:rsidRDefault="00053FE3" w:rsidP="00DB5FD6">
      <w:pPr>
        <w:pStyle w:val="Heading2"/>
      </w:pPr>
      <w:r w:rsidRPr="00053FE3">
        <w:t xml:space="preserve">Working with the </w:t>
      </w:r>
      <w:r>
        <w:t>D</w:t>
      </w:r>
      <w:r w:rsidRPr="00053FE3">
        <w:t xml:space="preserve">esign, </w:t>
      </w:r>
      <w:r>
        <w:t>T</w:t>
      </w:r>
      <w:r w:rsidRPr="00053FE3">
        <w:t xml:space="preserve">est, and </w:t>
      </w:r>
      <w:r>
        <w:t>E</w:t>
      </w:r>
      <w:r w:rsidRPr="00053FE3">
        <w:t xml:space="preserve">valuation </w:t>
      </w:r>
      <w:r>
        <w:t>C</w:t>
      </w:r>
      <w:r w:rsidRPr="00053FE3">
        <w:t>ommunity</w:t>
      </w:r>
    </w:p>
    <w:p w14:paraId="11FE4B1A" w14:textId="39CFF1FC" w:rsidR="00CD396E" w:rsidRPr="00CD396E" w:rsidRDefault="00CD396E" w:rsidP="00CD396E">
      <w:pPr>
        <w:pStyle w:val="Heading1"/>
      </w:pPr>
      <w:r>
        <w:t>Final Remarks on DEIC-CoDADE’s Position and Next Steps</w:t>
      </w:r>
    </w:p>
    <w:sectPr w:rsidR="00CD396E" w:rsidRPr="00CD396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im, H Alicia" w:date="2026-06-08T18:20:00Z" w:initials="KHA">
    <w:p w14:paraId="6046706E" w14:textId="77777777" w:rsidR="007012DC" w:rsidRDefault="007012DC" w:rsidP="006805CB">
      <w:r>
        <w:rPr>
          <w:rStyle w:val="CommentReference"/>
        </w:rPr>
        <w:annotationRef/>
      </w:r>
      <w:r>
        <w:rPr>
          <w:sz w:val="20"/>
          <w:szCs w:val="20"/>
        </w:rPr>
        <w:t>one way I think of our charter is if digital twin and thread are what, CoDA is how.  I don't know if this is agreeable?</w:t>
      </w:r>
    </w:p>
  </w:comment>
  <w:comment w:id="1" w:author="Arthur, Richard B (GE Aerospace, US)" w:date="2026-06-18T11:39:00Z" w:initials="RA">
    <w:p w14:paraId="09540701" w14:textId="77777777" w:rsidR="007012DC" w:rsidRDefault="007012DC" w:rsidP="00B31E92">
      <w:pPr>
        <w:pStyle w:val="CommentText"/>
        <w:ind w:firstLine="0"/>
        <w:jc w:val="left"/>
      </w:pPr>
      <w:r>
        <w:rPr>
          <w:rStyle w:val="CommentReference"/>
        </w:rPr>
        <w:annotationRef/>
      </w:r>
      <w:r>
        <w:t xml:space="preserve">I kind of see twin and threads as a how also, to be honest. </w:t>
      </w:r>
    </w:p>
  </w:comment>
  <w:comment w:id="3" w:author="Arthur, Richard B (GE Aerospace, US)" w:date="2026-06-18T12:54:00Z" w:initials="RA">
    <w:p w14:paraId="779D5912" w14:textId="77777777" w:rsidR="007012DC" w:rsidRDefault="007012DC" w:rsidP="0096221B">
      <w:pPr>
        <w:pStyle w:val="CommentText"/>
        <w:ind w:firstLine="0"/>
        <w:jc w:val="left"/>
      </w:pPr>
      <w:r>
        <w:rPr>
          <w:rStyle w:val="CommentReference"/>
        </w:rPr>
        <w:annotationRef/>
      </w:r>
      <w:r>
        <w:t>Major rewrite here.</w:t>
      </w:r>
    </w:p>
  </w:comment>
  <w:comment w:id="4" w:author="Abhishek Ram" w:date="2026-06-05T11:30:00Z" w:initials="AR">
    <w:p w14:paraId="652D3329" w14:textId="77777777" w:rsidR="00436A5C" w:rsidRDefault="00436A5C" w:rsidP="003536A4">
      <w:pPr>
        <w:pStyle w:val="CommentText"/>
        <w:ind w:firstLine="0"/>
        <w:jc w:val="left"/>
      </w:pPr>
      <w:r>
        <w:rPr>
          <w:rStyle w:val="CommentReference"/>
        </w:rPr>
        <w:annotationRef/>
      </w:r>
      <w:r>
        <w:t>Made by Aparna Ravi</w:t>
      </w:r>
    </w:p>
  </w:comment>
  <w:comment w:id="5" w:author="Abhishek Ram" w:date="2026-07-29T12:51:00Z" w:initials="AR">
    <w:p w14:paraId="24BB107C" w14:textId="77777777" w:rsidR="00BF3034" w:rsidRDefault="00BF3034" w:rsidP="00BF3034">
      <w:pPr>
        <w:pStyle w:val="CommentText"/>
        <w:numPr>
          <w:ilvl w:val="0"/>
          <w:numId w:val="14"/>
        </w:numPr>
        <w:jc w:val="left"/>
      </w:pPr>
      <w:r>
        <w:rPr>
          <w:rStyle w:val="CommentReference"/>
        </w:rPr>
        <w:annotationRef/>
      </w:r>
      <w:r>
        <w:rPr>
          <w:color w:val="242424"/>
          <w:highlight w:val="white"/>
        </w:rPr>
        <w:t>(Figure 1) – in general, I see how this is helpful – but…</w:t>
      </w:r>
    </w:p>
    <w:p w14:paraId="377424D0" w14:textId="77777777" w:rsidR="00BF3034" w:rsidRDefault="00BF3034" w:rsidP="00BF3034">
      <w:pPr>
        <w:pStyle w:val="CommentText"/>
        <w:numPr>
          <w:ilvl w:val="1"/>
          <w:numId w:val="14"/>
        </w:numPr>
        <w:jc w:val="left"/>
      </w:pPr>
      <w:r>
        <w:rPr>
          <w:color w:val="242424"/>
          <w:highlight w:val="white"/>
        </w:rPr>
        <w:t>I see several parts of the right half as redundant / kind of the same thing</w:t>
      </w:r>
    </w:p>
    <w:p w14:paraId="437B655A" w14:textId="77777777" w:rsidR="00BF3034" w:rsidRDefault="00BF3034" w:rsidP="00BF3034">
      <w:pPr>
        <w:pStyle w:val="CommentText"/>
        <w:numPr>
          <w:ilvl w:val="1"/>
          <w:numId w:val="14"/>
        </w:numPr>
        <w:jc w:val="left"/>
      </w:pPr>
      <w:r>
        <w:rPr>
          <w:color w:val="242424"/>
          <w:highlight w:val="white"/>
        </w:rPr>
        <w:t>On the left side, 3 of those are general, the SWaP optimization is a specific example – and it mentions multiscale but not multidisciplinary, which I think is more important (multiscale is a necessary aspect of that) – I’d want the left side to include multidisciplinary/multiphysics, multiphase (design, manufacture, operate, service), multiscale, multifidelity</w:t>
      </w:r>
    </w:p>
  </w:comment>
  <w:comment w:id="8" w:author="Ram, Abhishek" w:date="2025-01-09T02:34:00Z" w:initials="AR">
    <w:p w14:paraId="49921960" w14:textId="77777777" w:rsidR="00A75C15" w:rsidRDefault="00A75C15" w:rsidP="006F2643">
      <w:pPr>
        <w:pStyle w:val="CommentText"/>
        <w:ind w:firstLine="0"/>
        <w:jc w:val="left"/>
      </w:pPr>
      <w:r>
        <w:rPr>
          <w:rStyle w:val="CommentReference"/>
        </w:rPr>
        <w:annotationRef/>
      </w:r>
      <w:r>
        <w:t>Is there a paper I can source here?</w:t>
      </w:r>
    </w:p>
  </w:comment>
  <w:comment w:id="9" w:author="Arthur, Richard B (GE Aerospace, US)" w:date="2025-06-06T11:09:00Z" w:initials="RA">
    <w:p w14:paraId="04E4583D" w14:textId="77777777" w:rsidR="00A75C15" w:rsidRDefault="00A75C15" w:rsidP="00CF1CE8">
      <w:pPr>
        <w:pStyle w:val="CommentText"/>
        <w:ind w:firstLine="0"/>
        <w:jc w:val="left"/>
      </w:pPr>
      <w:r>
        <w:rPr>
          <w:rStyle w:val="CommentReference"/>
        </w:rPr>
        <w:annotationRef/>
      </w:r>
      <w:r>
        <w:t xml:space="preserve">Possibly result from </w:t>
      </w:r>
      <w:hyperlink r:id="rId1" w:history="1">
        <w:r w:rsidRPr="00796DCA">
          <w:rPr>
            <w:rStyle w:val="Hyperlink"/>
          </w:rPr>
          <w:t>https://www.mckinsey.com/capabilities/operations/our-insights/on-the-brink-of-a-revolution-engineering-simulation-in-the-age-of-ai</w:t>
        </w:r>
      </w:hyperlink>
      <w:r>
        <w:t xml:space="preserve"> or </w:t>
      </w:r>
      <w:hyperlink r:id="rId2" w:history="1">
        <w:r w:rsidRPr="00796DCA">
          <w:rPr>
            <w:rStyle w:val="Hyperlink"/>
          </w:rPr>
          <w:t>https://esurveydesigns.com/wix/p746435935576.aspx</w:t>
        </w:r>
      </w:hyperlink>
      <w:r>
        <w:t xml:space="preserve"> but would need NAFEMS access. Perhaps someone else can find.</w:t>
      </w:r>
    </w:p>
  </w:comment>
  <w:comment w:id="10" w:author="Kim, H Alicia" w:date="2026-06-08T18:32:00Z" w:initials="KHA">
    <w:p w14:paraId="25AFBCD5" w14:textId="77777777" w:rsidR="002A1DEC" w:rsidRDefault="002A1DEC" w:rsidP="00281F2E">
      <w:r>
        <w:rPr>
          <w:rStyle w:val="CommentReference"/>
        </w:rPr>
        <w:annotationRef/>
      </w:r>
      <w:r>
        <w:rPr>
          <w:sz w:val="20"/>
          <w:szCs w:val="20"/>
        </w:rPr>
        <w:t>I am a little confused, this survey was about AI adoption and how they are not being used in a mature and ethical way, then CoDADE identified issues in interoperability and digital engineering?  they are not linked?</w:t>
      </w:r>
    </w:p>
  </w:comment>
  <w:comment w:id="11" w:author="Arthur, Richard B (GE Aerospace, US)" w:date="2026-06-18T12:57:00Z" w:initials="RA">
    <w:p w14:paraId="61EBFC29" w14:textId="77777777" w:rsidR="002A1DEC" w:rsidRDefault="002A1DEC" w:rsidP="0096221B">
      <w:pPr>
        <w:pStyle w:val="CommentText"/>
        <w:ind w:firstLine="0"/>
        <w:jc w:val="left"/>
      </w:pPr>
      <w:r>
        <w:rPr>
          <w:rStyle w:val="CommentReference"/>
        </w:rPr>
        <w:annotationRef/>
      </w:r>
      <w:r>
        <w:t>I think this resulted from AI-readiness of data.</w:t>
      </w:r>
    </w:p>
  </w:comment>
  <w:comment w:id="12" w:author="Kim, H Alicia" w:date="2026-06-08T18:33:00Z" w:initials="KHA">
    <w:p w14:paraId="3535A75B" w14:textId="77777777" w:rsidR="002A1DEC" w:rsidRDefault="002A1DEC" w:rsidP="00281F2E">
      <w:r>
        <w:rPr>
          <w:rStyle w:val="CommentReference"/>
        </w:rPr>
        <w:annotationRef/>
      </w:r>
      <w:r>
        <w:rPr>
          <w:sz w:val="20"/>
          <w:szCs w:val="20"/>
        </w:rPr>
        <w:t>What do you mean by this?</w:t>
      </w:r>
    </w:p>
  </w:comment>
  <w:comment w:id="13" w:author="Arthur, Richard B (GE Aerospace, US)" w:date="2026-06-18T13:24:00Z" w:initials="RA">
    <w:p w14:paraId="66622E90" w14:textId="77777777" w:rsidR="002A1DEC" w:rsidRDefault="002A1DEC" w:rsidP="002A1DEC">
      <w:pPr>
        <w:pStyle w:val="CommentText"/>
        <w:ind w:firstLine="0"/>
        <w:jc w:val="left"/>
      </w:pPr>
      <w:r>
        <w:rPr>
          <w:rStyle w:val="CommentReference"/>
        </w:rPr>
        <w:annotationRef/>
      </w:r>
      <w:r>
        <w:t>(rejected chnge) I think it actually is “materiel” in the context of DOD “materiel” sourcing.</w:t>
      </w:r>
    </w:p>
    <w:p w14:paraId="5FA148B7" w14:textId="77777777" w:rsidR="002A1DEC" w:rsidRDefault="002A1DEC" w:rsidP="002A1DEC">
      <w:pPr>
        <w:pStyle w:val="CommentText"/>
        <w:ind w:firstLine="0"/>
        <w:jc w:val="left"/>
      </w:pPr>
    </w:p>
    <w:p w14:paraId="496F7EBB" w14:textId="77777777" w:rsidR="002A1DEC" w:rsidRDefault="002A1DEC" w:rsidP="002A1DEC">
      <w:pPr>
        <w:pStyle w:val="CommentText"/>
        <w:ind w:firstLine="0"/>
        <w:jc w:val="left"/>
      </w:pPr>
      <w:r>
        <w:t>I am also confused by the “forces” part of this, but it seems like it’s from some reference, so perhaps there is a more concrete reasoning.</w:t>
      </w:r>
    </w:p>
  </w:comment>
  <w:comment w:id="14" w:author="Kim, H Alicia" w:date="2026-06-08T18:36:00Z" w:initials="KHA">
    <w:p w14:paraId="555D9523" w14:textId="77777777" w:rsidR="002A1DEC" w:rsidRDefault="002A1DEC" w:rsidP="00281F2E">
      <w:r>
        <w:rPr>
          <w:rStyle w:val="CommentReference"/>
        </w:rPr>
        <w:annotationRef/>
      </w:r>
      <w:r>
        <w:rPr>
          <w:sz w:val="20"/>
          <w:szCs w:val="20"/>
        </w:rPr>
        <w:t>Can we use a better defined word than this?  the NDA in AIAA has been referring to UQ and probabilistic methods, not AI.</w:t>
      </w:r>
    </w:p>
  </w:comment>
  <w:comment w:id="15" w:author="Arthur, Richard B (GE Aerospace, US)" w:date="2026-06-18T12:59:00Z" w:initials="RA">
    <w:p w14:paraId="022F4B51" w14:textId="77777777" w:rsidR="002A1DEC" w:rsidRDefault="002A1DEC" w:rsidP="0096221B">
      <w:pPr>
        <w:pStyle w:val="CommentText"/>
        <w:ind w:firstLine="0"/>
        <w:jc w:val="left"/>
      </w:pPr>
      <w:r>
        <w:rPr>
          <w:rStyle w:val="CommentReference"/>
        </w:rPr>
        <w:annotationRef/>
      </w:r>
      <w:r>
        <w:t>I am seeing more and more the characterization of AI as non-deterministic due to its stark reproducibility challenges.</w:t>
      </w:r>
    </w:p>
  </w:comment>
  <w:comment w:id="16" w:author="Arthur, Richard B (GE Aerospace, US)" w:date="2026-06-18T13:25:00Z" w:initials="RA">
    <w:p w14:paraId="6B690F9B" w14:textId="77777777" w:rsidR="002A1DEC" w:rsidRDefault="002A1DEC" w:rsidP="002A1DEC">
      <w:pPr>
        <w:pStyle w:val="CommentText"/>
        <w:ind w:firstLine="0"/>
        <w:jc w:val="left"/>
      </w:pPr>
      <w:r>
        <w:rPr>
          <w:rStyle w:val="CommentReference"/>
        </w:rPr>
        <w:annotationRef/>
      </w:r>
      <w:r>
        <w:t xml:space="preserve">This subject became very sticky in a few discussions. I think Abhishek and I interpret NDA fairly differently, coming from our backgrounds. </w:t>
      </w:r>
    </w:p>
    <w:p w14:paraId="38889B75" w14:textId="77777777" w:rsidR="002A1DEC" w:rsidRDefault="002A1DEC" w:rsidP="002A1DEC">
      <w:pPr>
        <w:pStyle w:val="CommentText"/>
        <w:ind w:firstLine="0"/>
        <w:jc w:val="left"/>
      </w:pPr>
      <w:r>
        <w:t>I anticipate this will be repeated in the pink/red reviews.</w:t>
      </w:r>
    </w:p>
    <w:p w14:paraId="6BC0A281" w14:textId="77777777" w:rsidR="002A1DEC" w:rsidRDefault="002A1DEC" w:rsidP="002A1DEC">
      <w:pPr>
        <w:pStyle w:val="CommentText"/>
        <w:ind w:firstLine="0"/>
        <w:jc w:val="left"/>
      </w:pPr>
      <w:r>
        <w:t>I think we want to say something here about some AI methods introducing non-reproducibility and workflows needing to accommodate this appropriately. One means of addressing NDA is UQ, which is something very important for us to thread throughout the paper IMHO.</w:t>
      </w:r>
    </w:p>
  </w:comment>
  <w:comment w:id="20" w:author="Arthur, Richard B (GE Aerospace, US)" w:date="2026-06-18T13:44:00Z" w:initials="RA">
    <w:p w14:paraId="702E6DDA" w14:textId="77777777" w:rsidR="001521E8" w:rsidRDefault="001521E8" w:rsidP="00690A24">
      <w:pPr>
        <w:pStyle w:val="CommentText"/>
        <w:ind w:firstLine="0"/>
        <w:jc w:val="left"/>
      </w:pPr>
      <w:r>
        <w:rPr>
          <w:rStyle w:val="CommentReference"/>
        </w:rPr>
        <w:annotationRef/>
      </w:r>
      <w:r>
        <w:t>Need to finalize a version with consistent formatting, fonts, etc.</w:t>
      </w:r>
    </w:p>
  </w:comment>
  <w:comment w:id="21" w:author="Arthur, Richard B (GE Aerospace, US)" w:date="2026-06-18T13:50:00Z" w:initials="RA">
    <w:p w14:paraId="40393CFB" w14:textId="77777777" w:rsidR="001521E8" w:rsidRDefault="001521E8" w:rsidP="00690A24">
      <w:pPr>
        <w:pStyle w:val="CommentText"/>
        <w:ind w:firstLine="0"/>
        <w:jc w:val="left"/>
      </w:pPr>
      <w:r>
        <w:rPr>
          <w:rStyle w:val="CommentReference"/>
        </w:rPr>
        <w:annotationRef/>
      </w:r>
      <w:r>
        <w:t>Love the reframing Alicia</w:t>
      </w:r>
    </w:p>
  </w:comment>
  <w:comment w:id="22" w:author="Arthur, Richard B (GE Aerospace, US)" w:date="2026-06-18T13:51:00Z" w:initials="RA">
    <w:p w14:paraId="6EE53B87" w14:textId="77777777" w:rsidR="001521E8" w:rsidRDefault="001521E8" w:rsidP="00690A24">
      <w:pPr>
        <w:pStyle w:val="CommentText"/>
        <w:ind w:firstLine="0"/>
        <w:jc w:val="left"/>
      </w:pPr>
      <w:r>
        <w:rPr>
          <w:rStyle w:val="CommentReference"/>
        </w:rPr>
        <w:annotationRef/>
      </w:r>
      <w:r>
        <w:t>Awkward structure here with sub phrases and examples, consider reworking with more simple construct or callouts</w:t>
      </w:r>
    </w:p>
  </w:comment>
  <w:comment w:id="23" w:author="Arthur, Richard B (GE Aerospace, US)" w:date="2026-06-18T13:32:00Z" w:initials="RA">
    <w:p w14:paraId="6B299BC8" w14:textId="77777777" w:rsidR="001521E8" w:rsidRDefault="001521E8" w:rsidP="001521E8">
      <w:pPr>
        <w:pStyle w:val="CommentText"/>
        <w:ind w:firstLine="0"/>
        <w:jc w:val="left"/>
      </w:pPr>
      <w:r>
        <w:rPr>
          <w:rStyle w:val="CommentReference"/>
        </w:rPr>
        <w:annotationRef/>
      </w:r>
      <w:r>
        <w:t>I have become fond of something the Lockheed CTO said at an event: replace “AI” with “statistics at scale” (we know what that is - whereas AI takes on this mystical seeming sometimes).</w:t>
      </w:r>
    </w:p>
    <w:p w14:paraId="364A3DAB" w14:textId="77777777" w:rsidR="001521E8" w:rsidRDefault="001521E8" w:rsidP="001521E8">
      <w:pPr>
        <w:pStyle w:val="CommentText"/>
        <w:ind w:firstLine="0"/>
        <w:jc w:val="left"/>
      </w:pPr>
      <w:r>
        <w:t>He had a few other great points/  sound bytes including:</w:t>
      </w:r>
    </w:p>
    <w:p w14:paraId="592CA641" w14:textId="77777777" w:rsidR="001521E8" w:rsidRDefault="001521E8" w:rsidP="001521E8">
      <w:pPr>
        <w:pStyle w:val="CommentText"/>
        <w:numPr>
          <w:ilvl w:val="0"/>
          <w:numId w:val="8"/>
        </w:numPr>
        <w:jc w:val="left"/>
      </w:pPr>
      <w:r>
        <w:t>(only) use AI when you don’t care about errors OR the errors are easy to correct.</w:t>
      </w:r>
    </w:p>
    <w:p w14:paraId="20F3035A" w14:textId="77777777" w:rsidR="001521E8" w:rsidRDefault="001521E8" w:rsidP="001521E8">
      <w:pPr>
        <w:pStyle w:val="CommentText"/>
        <w:ind w:firstLine="0"/>
        <w:jc w:val="left"/>
      </w:pPr>
      <w:r>
        <w:t>2. AI implementations should START with the evaluation metric.</w:t>
      </w:r>
    </w:p>
    <w:p w14:paraId="25D45137" w14:textId="77777777" w:rsidR="001521E8" w:rsidRDefault="001521E8" w:rsidP="001521E8">
      <w:pPr>
        <w:pStyle w:val="CommentText"/>
        <w:ind w:firstLine="0"/>
        <w:jc w:val="left"/>
      </w:pPr>
      <w:r>
        <w:t>3. most “AI PhD” theses seem to fall into the motif of “we reverse engineered this alien technology” (discovered dataset)</w:t>
      </w:r>
    </w:p>
  </w:comment>
  <w:comment w:id="29" w:author="Kim, H Alicia" w:date="2026-06-15T06:55:00Z" w:initials="KHA">
    <w:p w14:paraId="1F1A2AE8" w14:textId="77777777" w:rsidR="006800C5" w:rsidRDefault="006800C5" w:rsidP="00276BEF">
      <w:r>
        <w:rPr>
          <w:rStyle w:val="CommentReference"/>
        </w:rPr>
        <w:annotationRef/>
      </w:r>
      <w:r>
        <w:rPr>
          <w:sz w:val="20"/>
          <w:szCs w:val="20"/>
        </w:rPr>
        <w:t>I think this applies to all computational methods and tools.  No theories/models are generally valid, they are all valid within a context. So all computational methods validation relies the intent and purpose of how they are used.</w:t>
      </w:r>
    </w:p>
  </w:comment>
  <w:comment w:id="33" w:author="Ram, Abhishek" w:date="2025-04-14T08:51:00Z" w:initials="AR">
    <w:p w14:paraId="71C4AC71" w14:textId="77777777" w:rsidR="004772A7" w:rsidRDefault="004772A7" w:rsidP="006A2DAB">
      <w:pPr>
        <w:pStyle w:val="CommentText"/>
        <w:ind w:firstLine="0"/>
        <w:jc w:val="left"/>
      </w:pPr>
      <w:r>
        <w:rPr>
          <w:rStyle w:val="CommentReference"/>
        </w:rPr>
        <w:annotationRef/>
      </w:r>
      <w:r>
        <w:t xml:space="preserve">Add source </w:t>
      </w:r>
      <w:hyperlink r:id="rId3" w:history="1">
        <w:r w:rsidRPr="00C157C4">
          <w:rPr>
            <w:rStyle w:val="Hyperlink"/>
          </w:rPr>
          <w:t>https://neiltamplin.me/the-anti-problem-digital-transformation-ad8c4c6a19b</w:t>
        </w:r>
      </w:hyperlink>
      <w:r>
        <w:t xml:space="preserve"> </w:t>
      </w:r>
    </w:p>
  </w:comment>
  <w:comment w:id="34" w:author="Abhishek Ram" w:date="2026-07-01T12:17:00Z" w:initials="AR">
    <w:p w14:paraId="16B999BA" w14:textId="77777777" w:rsidR="00F86926" w:rsidRDefault="00F86926" w:rsidP="00F86926">
      <w:pPr>
        <w:pStyle w:val="CommentText"/>
        <w:ind w:firstLine="0"/>
        <w:jc w:val="left"/>
      </w:pPr>
      <w:r>
        <w:rPr>
          <w:rStyle w:val="CommentReference"/>
        </w:rPr>
        <w:annotationRef/>
      </w:r>
      <w:r>
        <w:t>Cannot find it anymore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46706E" w15:done="0"/>
  <w15:commentEx w15:paraId="09540701" w15:paraIdParent="6046706E" w15:done="0"/>
  <w15:commentEx w15:paraId="779D5912" w15:done="1"/>
  <w15:commentEx w15:paraId="652D3329" w15:done="0"/>
  <w15:commentEx w15:paraId="437B655A" w15:paraIdParent="652D3329" w15:done="0"/>
  <w15:commentEx w15:paraId="49921960" w15:done="1"/>
  <w15:commentEx w15:paraId="04E4583D" w15:paraIdParent="49921960" w15:done="1"/>
  <w15:commentEx w15:paraId="25AFBCD5" w15:done="0"/>
  <w15:commentEx w15:paraId="61EBFC29" w15:paraIdParent="25AFBCD5" w15:done="0"/>
  <w15:commentEx w15:paraId="3535A75B" w15:done="0"/>
  <w15:commentEx w15:paraId="496F7EBB" w15:done="0"/>
  <w15:commentEx w15:paraId="555D9523" w15:done="0"/>
  <w15:commentEx w15:paraId="022F4B51" w15:paraIdParent="555D9523" w15:done="0"/>
  <w15:commentEx w15:paraId="6BC0A281" w15:paraIdParent="555D9523" w15:done="0"/>
  <w15:commentEx w15:paraId="702E6DDA" w15:done="1"/>
  <w15:commentEx w15:paraId="40393CFB" w15:done="0"/>
  <w15:commentEx w15:paraId="6EE53B87" w15:done="0"/>
  <w15:commentEx w15:paraId="25D45137" w15:done="0"/>
  <w15:commentEx w15:paraId="1F1A2AE8" w15:done="0"/>
  <w15:commentEx w15:paraId="71C4AC71" w15:done="0"/>
  <w15:commentEx w15:paraId="16B999BA" w15:paraIdParent="71C4AC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633D3D" w16cex:dateUtc="2026-06-09T01:20:00Z"/>
  <w16cex:commentExtensible w16cex:durableId="76BEAF1A" w16cex:dateUtc="2026-06-18T15:39:00Z"/>
  <w16cex:commentExtensible w16cex:durableId="24EAD024" w16cex:dateUtc="2026-06-18T16:54:00Z"/>
  <w16cex:commentExtensible w16cex:durableId="6A9307CF" w16cex:dateUtc="2026-06-05T15:30:00Z"/>
  <w16cex:commentExtensible w16cex:durableId="33A62072" w16cex:dateUtc="2026-07-29T16:51:00Z"/>
  <w16cex:commentExtensible w16cex:durableId="3E7A4E62" w16cex:dateUtc="2025-01-09T07:34:00Z"/>
  <w16cex:commentExtensible w16cex:durableId="078832FD" w16cex:dateUtc="2025-06-06T15:09:00Z"/>
  <w16cex:commentExtensible w16cex:durableId="3FA3310B" w16cex:dateUtc="2026-06-09T01:32:00Z"/>
  <w16cex:commentExtensible w16cex:durableId="7158309D" w16cex:dateUtc="2026-06-18T16:57:00Z"/>
  <w16cex:commentExtensible w16cex:durableId="70A194AD" w16cex:dateUtc="2026-06-09T01:33:00Z"/>
  <w16cex:commentExtensible w16cex:durableId="652F89C9" w16cex:dateUtc="2026-06-18T17:24:00Z"/>
  <w16cex:commentExtensible w16cex:durableId="70E42697" w16cex:dateUtc="2026-06-09T01:36:00Z"/>
  <w16cex:commentExtensible w16cex:durableId="6356B17B" w16cex:dateUtc="2026-06-18T16:59:00Z"/>
  <w16cex:commentExtensible w16cex:durableId="6B25EE44" w16cex:dateUtc="2026-06-18T17:25:00Z"/>
  <w16cex:commentExtensible w16cex:durableId="35AEB7B5" w16cex:dateUtc="2026-06-18T17:44:00Z"/>
  <w16cex:commentExtensible w16cex:durableId="061A5811" w16cex:dateUtc="2026-06-18T17:50:00Z"/>
  <w16cex:commentExtensible w16cex:durableId="60ABDF1C" w16cex:dateUtc="2026-06-18T17:51:00Z"/>
  <w16cex:commentExtensible w16cex:durableId="25985FF9" w16cex:dateUtc="2026-06-18T17:32:00Z"/>
  <w16cex:commentExtensible w16cex:durableId="1A460799" w16cex:dateUtc="2026-06-15T13:55:00Z"/>
  <w16cex:commentExtensible w16cex:durableId="543CB76F" w16cex:dateUtc="2025-04-14T12:51:00Z"/>
  <w16cex:commentExtensible w16cex:durableId="40C681CF" w16cex:dateUtc="2026-07-01T1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46706E" w16cid:durableId="0D633D3D"/>
  <w16cid:commentId w16cid:paraId="09540701" w16cid:durableId="76BEAF1A"/>
  <w16cid:commentId w16cid:paraId="779D5912" w16cid:durableId="24EAD024"/>
  <w16cid:commentId w16cid:paraId="652D3329" w16cid:durableId="6A9307CF"/>
  <w16cid:commentId w16cid:paraId="437B655A" w16cid:durableId="33A62072"/>
  <w16cid:commentId w16cid:paraId="49921960" w16cid:durableId="3E7A4E62"/>
  <w16cid:commentId w16cid:paraId="04E4583D" w16cid:durableId="078832FD"/>
  <w16cid:commentId w16cid:paraId="25AFBCD5" w16cid:durableId="3FA3310B"/>
  <w16cid:commentId w16cid:paraId="61EBFC29" w16cid:durableId="7158309D"/>
  <w16cid:commentId w16cid:paraId="3535A75B" w16cid:durableId="70A194AD"/>
  <w16cid:commentId w16cid:paraId="496F7EBB" w16cid:durableId="652F89C9"/>
  <w16cid:commentId w16cid:paraId="555D9523" w16cid:durableId="70E42697"/>
  <w16cid:commentId w16cid:paraId="022F4B51" w16cid:durableId="6356B17B"/>
  <w16cid:commentId w16cid:paraId="6BC0A281" w16cid:durableId="6B25EE44"/>
  <w16cid:commentId w16cid:paraId="702E6DDA" w16cid:durableId="35AEB7B5"/>
  <w16cid:commentId w16cid:paraId="40393CFB" w16cid:durableId="061A5811"/>
  <w16cid:commentId w16cid:paraId="6EE53B87" w16cid:durableId="60ABDF1C"/>
  <w16cid:commentId w16cid:paraId="25D45137" w16cid:durableId="25985FF9"/>
  <w16cid:commentId w16cid:paraId="1F1A2AE8" w16cid:durableId="1A460799"/>
  <w16cid:commentId w16cid:paraId="71C4AC71" w16cid:durableId="543CB76F"/>
  <w16cid:commentId w16cid:paraId="16B999BA" w16cid:durableId="40C681C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120C"/>
    <w:multiLevelType w:val="hybridMultilevel"/>
    <w:tmpl w:val="25D4C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83941"/>
    <w:multiLevelType w:val="hybridMultilevel"/>
    <w:tmpl w:val="89388F42"/>
    <w:lvl w:ilvl="0" w:tplc="8C74BE52">
      <w:start w:val="1"/>
      <w:numFmt w:val="decimal"/>
      <w:lvlText w:val="%1."/>
      <w:lvlJc w:val="left"/>
      <w:pPr>
        <w:ind w:left="1440" w:hanging="360"/>
      </w:pPr>
    </w:lvl>
    <w:lvl w:ilvl="1" w:tplc="6EDC7640">
      <w:start w:val="1"/>
      <w:numFmt w:val="decimal"/>
      <w:lvlText w:val="%2."/>
      <w:lvlJc w:val="left"/>
      <w:pPr>
        <w:ind w:left="1800" w:hanging="360"/>
      </w:pPr>
    </w:lvl>
    <w:lvl w:ilvl="2" w:tplc="BAEEB022">
      <w:start w:val="1"/>
      <w:numFmt w:val="decimal"/>
      <w:lvlText w:val="%3."/>
      <w:lvlJc w:val="left"/>
      <w:pPr>
        <w:ind w:left="1440" w:hanging="360"/>
      </w:pPr>
    </w:lvl>
    <w:lvl w:ilvl="3" w:tplc="8258C7B0">
      <w:start w:val="1"/>
      <w:numFmt w:val="decimal"/>
      <w:lvlText w:val="%4."/>
      <w:lvlJc w:val="left"/>
      <w:pPr>
        <w:ind w:left="1440" w:hanging="360"/>
      </w:pPr>
    </w:lvl>
    <w:lvl w:ilvl="4" w:tplc="501212F2">
      <w:start w:val="1"/>
      <w:numFmt w:val="decimal"/>
      <w:lvlText w:val="%5."/>
      <w:lvlJc w:val="left"/>
      <w:pPr>
        <w:ind w:left="1440" w:hanging="360"/>
      </w:pPr>
    </w:lvl>
    <w:lvl w:ilvl="5" w:tplc="2E420890">
      <w:start w:val="1"/>
      <w:numFmt w:val="decimal"/>
      <w:lvlText w:val="%6."/>
      <w:lvlJc w:val="left"/>
      <w:pPr>
        <w:ind w:left="1440" w:hanging="360"/>
      </w:pPr>
    </w:lvl>
    <w:lvl w:ilvl="6" w:tplc="FFEEDD8A">
      <w:start w:val="1"/>
      <w:numFmt w:val="decimal"/>
      <w:lvlText w:val="%7."/>
      <w:lvlJc w:val="left"/>
      <w:pPr>
        <w:ind w:left="1440" w:hanging="360"/>
      </w:pPr>
    </w:lvl>
    <w:lvl w:ilvl="7" w:tplc="848C8D5C">
      <w:start w:val="1"/>
      <w:numFmt w:val="decimal"/>
      <w:lvlText w:val="%8."/>
      <w:lvlJc w:val="left"/>
      <w:pPr>
        <w:ind w:left="1440" w:hanging="360"/>
      </w:pPr>
    </w:lvl>
    <w:lvl w:ilvl="8" w:tplc="886067DC">
      <w:start w:val="1"/>
      <w:numFmt w:val="decimal"/>
      <w:lvlText w:val="%9."/>
      <w:lvlJc w:val="left"/>
      <w:pPr>
        <w:ind w:left="1440" w:hanging="360"/>
      </w:pPr>
    </w:lvl>
  </w:abstractNum>
  <w:abstractNum w:abstractNumId="2" w15:restartNumberingAfterBreak="0">
    <w:nsid w:val="0CA13F2F"/>
    <w:multiLevelType w:val="hybridMultilevel"/>
    <w:tmpl w:val="66DA5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9F712B"/>
    <w:multiLevelType w:val="multilevel"/>
    <w:tmpl w:val="CE7C1DBC"/>
    <w:lvl w:ilvl="0">
      <w:start w:val="1"/>
      <w:numFmt w:val="bullet"/>
      <w:lvlText w:val=""/>
      <w:lvlJc w:val="left"/>
      <w:pPr>
        <w:ind w:left="864" w:hanging="432"/>
      </w:pPr>
      <w:rPr>
        <w:rFonts w:ascii="Symbol" w:hAnsi="Symbol" w:hint="default"/>
      </w:rPr>
    </w:lvl>
    <w:lvl w:ilvl="1">
      <w:start w:val="1"/>
      <w:numFmt w:val="bullet"/>
      <w:lvlText w:val=""/>
      <w:lvlJc w:val="left"/>
      <w:pPr>
        <w:ind w:left="792" w:hanging="360"/>
      </w:pPr>
      <w:rPr>
        <w:rFonts w:ascii="Symbol" w:hAnsi="Symbol" w:hint="default"/>
      </w:r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4" w15:restartNumberingAfterBreak="0">
    <w:nsid w:val="1C4A0B4A"/>
    <w:multiLevelType w:val="multilevel"/>
    <w:tmpl w:val="CE7C1DBC"/>
    <w:lvl w:ilvl="0">
      <w:start w:val="1"/>
      <w:numFmt w:val="bullet"/>
      <w:lvlText w:val=""/>
      <w:lvlJc w:val="left"/>
      <w:pPr>
        <w:ind w:left="864" w:hanging="432"/>
      </w:pPr>
      <w:rPr>
        <w:rFonts w:ascii="Symbol" w:hAnsi="Symbol" w:hint="default"/>
      </w:rPr>
    </w:lvl>
    <w:lvl w:ilvl="1">
      <w:start w:val="1"/>
      <w:numFmt w:val="bullet"/>
      <w:lvlText w:val=""/>
      <w:lvlJc w:val="left"/>
      <w:pPr>
        <w:ind w:left="792" w:hanging="360"/>
      </w:pPr>
      <w:rPr>
        <w:rFonts w:ascii="Symbol" w:hAnsi="Symbol" w:hint="default"/>
      </w:r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5" w15:restartNumberingAfterBreak="0">
    <w:nsid w:val="1DB447B1"/>
    <w:multiLevelType w:val="multilevel"/>
    <w:tmpl w:val="488EF18E"/>
    <w:lvl w:ilvl="0">
      <w:start w:val="1"/>
      <w:numFmt w:val="bullet"/>
      <w:lvlText w:val=""/>
      <w:lvlJc w:val="left"/>
      <w:pPr>
        <w:ind w:left="864" w:hanging="432"/>
      </w:pPr>
      <w:rPr>
        <w:rFonts w:ascii="Symbol" w:hAnsi="Symbol" w:hint="default"/>
      </w:rPr>
    </w:lvl>
    <w:lvl w:ilvl="1">
      <w:start w:val="1"/>
      <w:numFmt w:val="bullet"/>
      <w:lvlText w:val=""/>
      <w:lvlJc w:val="left"/>
      <w:pPr>
        <w:ind w:left="792" w:hanging="360"/>
      </w:pPr>
      <w:rPr>
        <w:rFonts w:ascii="Symbol" w:hAnsi="Symbol" w:hint="default"/>
      </w:rPr>
    </w:lvl>
    <w:lvl w:ilvl="2">
      <w:start w:val="1"/>
      <w:numFmt w:val="bullet"/>
      <w:lvlText w:val="o"/>
      <w:lvlJc w:val="left"/>
      <w:pPr>
        <w:ind w:left="792" w:hanging="360"/>
      </w:pPr>
      <w:rPr>
        <w:rFonts w:ascii="Courier New" w:hAnsi="Courier New" w:cs="Courier New" w:hint="default"/>
      </w:r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6" w15:restartNumberingAfterBreak="0">
    <w:nsid w:val="3AE93518"/>
    <w:multiLevelType w:val="hybridMultilevel"/>
    <w:tmpl w:val="2E76EF18"/>
    <w:lvl w:ilvl="0" w:tplc="EDBE15CA">
      <w:start w:val="1"/>
      <w:numFmt w:val="decimal"/>
      <w:lvlText w:val="%1."/>
      <w:lvlJc w:val="left"/>
      <w:pPr>
        <w:ind w:left="1020" w:hanging="360"/>
      </w:pPr>
    </w:lvl>
    <w:lvl w:ilvl="1" w:tplc="3AAC6040">
      <w:start w:val="1"/>
      <w:numFmt w:val="decimal"/>
      <w:lvlText w:val="%2."/>
      <w:lvlJc w:val="left"/>
      <w:pPr>
        <w:ind w:left="1020" w:hanging="360"/>
      </w:pPr>
    </w:lvl>
    <w:lvl w:ilvl="2" w:tplc="0F885366">
      <w:start w:val="1"/>
      <w:numFmt w:val="decimal"/>
      <w:lvlText w:val="%3."/>
      <w:lvlJc w:val="left"/>
      <w:pPr>
        <w:ind w:left="1020" w:hanging="360"/>
      </w:pPr>
    </w:lvl>
    <w:lvl w:ilvl="3" w:tplc="EA6CE720">
      <w:start w:val="1"/>
      <w:numFmt w:val="decimal"/>
      <w:lvlText w:val="%4."/>
      <w:lvlJc w:val="left"/>
      <w:pPr>
        <w:ind w:left="1020" w:hanging="360"/>
      </w:pPr>
    </w:lvl>
    <w:lvl w:ilvl="4" w:tplc="4BEE7EBE">
      <w:start w:val="1"/>
      <w:numFmt w:val="decimal"/>
      <w:lvlText w:val="%5."/>
      <w:lvlJc w:val="left"/>
      <w:pPr>
        <w:ind w:left="1020" w:hanging="360"/>
      </w:pPr>
    </w:lvl>
    <w:lvl w:ilvl="5" w:tplc="E7A8D342">
      <w:start w:val="1"/>
      <w:numFmt w:val="decimal"/>
      <w:lvlText w:val="%6."/>
      <w:lvlJc w:val="left"/>
      <w:pPr>
        <w:ind w:left="1020" w:hanging="360"/>
      </w:pPr>
    </w:lvl>
    <w:lvl w:ilvl="6" w:tplc="3FCAAF38">
      <w:start w:val="1"/>
      <w:numFmt w:val="decimal"/>
      <w:lvlText w:val="%7."/>
      <w:lvlJc w:val="left"/>
      <w:pPr>
        <w:ind w:left="1020" w:hanging="360"/>
      </w:pPr>
    </w:lvl>
    <w:lvl w:ilvl="7" w:tplc="AA62E098">
      <w:start w:val="1"/>
      <w:numFmt w:val="decimal"/>
      <w:lvlText w:val="%8."/>
      <w:lvlJc w:val="left"/>
      <w:pPr>
        <w:ind w:left="1020" w:hanging="360"/>
      </w:pPr>
    </w:lvl>
    <w:lvl w:ilvl="8" w:tplc="E0F47980">
      <w:start w:val="1"/>
      <w:numFmt w:val="decimal"/>
      <w:lvlText w:val="%9."/>
      <w:lvlJc w:val="left"/>
      <w:pPr>
        <w:ind w:left="1020" w:hanging="360"/>
      </w:pPr>
    </w:lvl>
  </w:abstractNum>
  <w:abstractNum w:abstractNumId="7" w15:restartNumberingAfterBreak="0">
    <w:nsid w:val="3ED4066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43D866E8"/>
    <w:multiLevelType w:val="hybridMultilevel"/>
    <w:tmpl w:val="341C6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0C0C07"/>
    <w:multiLevelType w:val="hybridMultilevel"/>
    <w:tmpl w:val="4404B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3A75D8"/>
    <w:multiLevelType w:val="multilevel"/>
    <w:tmpl w:val="CE7C1DBC"/>
    <w:lvl w:ilvl="0">
      <w:start w:val="1"/>
      <w:numFmt w:val="bullet"/>
      <w:lvlText w:val=""/>
      <w:lvlJc w:val="left"/>
      <w:pPr>
        <w:ind w:left="864" w:hanging="432"/>
      </w:pPr>
      <w:rPr>
        <w:rFonts w:ascii="Symbol" w:hAnsi="Symbol" w:hint="default"/>
      </w:rPr>
    </w:lvl>
    <w:lvl w:ilvl="1">
      <w:start w:val="1"/>
      <w:numFmt w:val="bullet"/>
      <w:lvlText w:val=""/>
      <w:lvlJc w:val="left"/>
      <w:pPr>
        <w:ind w:left="792" w:hanging="360"/>
      </w:pPr>
      <w:rPr>
        <w:rFonts w:ascii="Symbol" w:hAnsi="Symbol" w:hint="default"/>
      </w:r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1" w15:restartNumberingAfterBreak="0">
    <w:nsid w:val="775258DD"/>
    <w:multiLevelType w:val="hybridMultilevel"/>
    <w:tmpl w:val="A0542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3E3F40"/>
    <w:multiLevelType w:val="multilevel"/>
    <w:tmpl w:val="CE7C1DBC"/>
    <w:lvl w:ilvl="0">
      <w:start w:val="1"/>
      <w:numFmt w:val="bullet"/>
      <w:lvlText w:val=""/>
      <w:lvlJc w:val="left"/>
      <w:pPr>
        <w:ind w:left="864" w:hanging="432"/>
      </w:pPr>
      <w:rPr>
        <w:rFonts w:ascii="Symbol" w:hAnsi="Symbol" w:hint="default"/>
      </w:rPr>
    </w:lvl>
    <w:lvl w:ilvl="1">
      <w:start w:val="1"/>
      <w:numFmt w:val="bullet"/>
      <w:lvlText w:val=""/>
      <w:lvlJc w:val="left"/>
      <w:pPr>
        <w:ind w:left="792" w:hanging="360"/>
      </w:pPr>
      <w:rPr>
        <w:rFonts w:ascii="Symbol" w:hAnsi="Symbol" w:hint="default"/>
      </w:r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3" w15:restartNumberingAfterBreak="0">
    <w:nsid w:val="78906F4C"/>
    <w:multiLevelType w:val="hybridMultilevel"/>
    <w:tmpl w:val="C4988F00"/>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start w:val="1"/>
      <w:numFmt w:val="bullet"/>
      <w:lvlText w:val=""/>
      <w:lvlJc w:val="left"/>
      <w:pPr>
        <w:ind w:left="2592" w:hanging="360"/>
      </w:pPr>
      <w:rPr>
        <w:rFonts w:ascii="Wingdings" w:hAnsi="Wingdings" w:hint="default"/>
      </w:rPr>
    </w:lvl>
    <w:lvl w:ilvl="3" w:tplc="0409000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286548075">
    <w:abstractNumId w:val="3"/>
  </w:num>
  <w:num w:numId="2" w16cid:durableId="1424643292">
    <w:abstractNumId w:val="7"/>
  </w:num>
  <w:num w:numId="3" w16cid:durableId="30810877">
    <w:abstractNumId w:val="13"/>
  </w:num>
  <w:num w:numId="4" w16cid:durableId="1371997778">
    <w:abstractNumId w:val="4"/>
  </w:num>
  <w:num w:numId="5" w16cid:durableId="405149368">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62733040">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51084931">
    <w:abstractNumId w:val="5"/>
  </w:num>
  <w:num w:numId="8" w16cid:durableId="1206210857">
    <w:abstractNumId w:val="6"/>
  </w:num>
  <w:num w:numId="9" w16cid:durableId="1814180493">
    <w:abstractNumId w:val="11"/>
  </w:num>
  <w:num w:numId="10" w16cid:durableId="391007797">
    <w:abstractNumId w:val="0"/>
  </w:num>
  <w:num w:numId="11" w16cid:durableId="1258060111">
    <w:abstractNumId w:val="2"/>
  </w:num>
  <w:num w:numId="12" w16cid:durableId="1142431827">
    <w:abstractNumId w:val="9"/>
  </w:num>
  <w:num w:numId="13" w16cid:durableId="674840971">
    <w:abstractNumId w:val="8"/>
  </w:num>
  <w:num w:numId="14" w16cid:durableId="162171649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m, H Alicia">
    <w15:presenceInfo w15:providerId="AD" w15:userId="S::hak113@UCSD.EDU::80c2c382-90ef-4f1d-ab22-52f3c02e4758"/>
  </w15:person>
  <w15:person w15:author="Arthur, Richard B (GE Aerospace, US)">
    <w15:presenceInfo w15:providerId="AD" w15:userId="S::200002307@geaerospace.com::d3158c98-6ef5-4778-81b4-9be09e78c0af"/>
  </w15:person>
  <w15:person w15:author="Abhishek Ram">
    <w15:presenceInfo w15:providerId="Windows Live" w15:userId="5eaa211331428613"/>
  </w15:person>
  <w15:person w15:author="Ram, Abhishek">
    <w15:presenceInfo w15:providerId="AD" w15:userId="S::aram@draper.com::d9ff8330-b3aa-4ffa-ad6e-c753defce7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e2MDc2sTA0MjQ0NDJR0lEKTi0uzszPAykwrgUAfj3iVywAAAA="/>
  </w:docVars>
  <w:rsids>
    <w:rsidRoot w:val="00372C0F"/>
    <w:rsid w:val="00020C7D"/>
    <w:rsid w:val="00053BB7"/>
    <w:rsid w:val="00053FE3"/>
    <w:rsid w:val="000B439F"/>
    <w:rsid w:val="000D2A37"/>
    <w:rsid w:val="000D34DE"/>
    <w:rsid w:val="000E3937"/>
    <w:rsid w:val="001271CF"/>
    <w:rsid w:val="001521E8"/>
    <w:rsid w:val="00173ED7"/>
    <w:rsid w:val="001C50F7"/>
    <w:rsid w:val="00214FAD"/>
    <w:rsid w:val="002270C6"/>
    <w:rsid w:val="00236691"/>
    <w:rsid w:val="00263139"/>
    <w:rsid w:val="00294772"/>
    <w:rsid w:val="002A1186"/>
    <w:rsid w:val="002A1DEC"/>
    <w:rsid w:val="002C27CA"/>
    <w:rsid w:val="002D258D"/>
    <w:rsid w:val="002D3141"/>
    <w:rsid w:val="002D4FA5"/>
    <w:rsid w:val="00322737"/>
    <w:rsid w:val="00337CAB"/>
    <w:rsid w:val="00343AAB"/>
    <w:rsid w:val="0035594C"/>
    <w:rsid w:val="00360434"/>
    <w:rsid w:val="00363F84"/>
    <w:rsid w:val="00372C0F"/>
    <w:rsid w:val="0037644B"/>
    <w:rsid w:val="003A1597"/>
    <w:rsid w:val="004174C8"/>
    <w:rsid w:val="00431023"/>
    <w:rsid w:val="00436A5C"/>
    <w:rsid w:val="004432BB"/>
    <w:rsid w:val="0045009F"/>
    <w:rsid w:val="004761CE"/>
    <w:rsid w:val="004772A7"/>
    <w:rsid w:val="00485EA7"/>
    <w:rsid w:val="004B2FB4"/>
    <w:rsid w:val="004C3315"/>
    <w:rsid w:val="004E05F9"/>
    <w:rsid w:val="00500050"/>
    <w:rsid w:val="00504923"/>
    <w:rsid w:val="00533B07"/>
    <w:rsid w:val="00544CEC"/>
    <w:rsid w:val="005A77C7"/>
    <w:rsid w:val="005C75B0"/>
    <w:rsid w:val="006309A3"/>
    <w:rsid w:val="006333FB"/>
    <w:rsid w:val="00641FD3"/>
    <w:rsid w:val="006800C5"/>
    <w:rsid w:val="00697755"/>
    <w:rsid w:val="006979C7"/>
    <w:rsid w:val="006A09B3"/>
    <w:rsid w:val="006B2C35"/>
    <w:rsid w:val="006B6378"/>
    <w:rsid w:val="007012DC"/>
    <w:rsid w:val="0070472E"/>
    <w:rsid w:val="007067E9"/>
    <w:rsid w:val="00710220"/>
    <w:rsid w:val="0071108F"/>
    <w:rsid w:val="007243C4"/>
    <w:rsid w:val="00726E01"/>
    <w:rsid w:val="007415EA"/>
    <w:rsid w:val="00755740"/>
    <w:rsid w:val="00765AA9"/>
    <w:rsid w:val="0079563C"/>
    <w:rsid w:val="007F4772"/>
    <w:rsid w:val="00840128"/>
    <w:rsid w:val="00840154"/>
    <w:rsid w:val="0084097F"/>
    <w:rsid w:val="00856E40"/>
    <w:rsid w:val="00882EDC"/>
    <w:rsid w:val="008B3064"/>
    <w:rsid w:val="008D61F8"/>
    <w:rsid w:val="009221BB"/>
    <w:rsid w:val="0092487B"/>
    <w:rsid w:val="0095305B"/>
    <w:rsid w:val="00975F8A"/>
    <w:rsid w:val="00983D0A"/>
    <w:rsid w:val="009A4DAD"/>
    <w:rsid w:val="009A4E90"/>
    <w:rsid w:val="009B083A"/>
    <w:rsid w:val="009D1445"/>
    <w:rsid w:val="009D249C"/>
    <w:rsid w:val="009F0B1E"/>
    <w:rsid w:val="00A229A5"/>
    <w:rsid w:val="00A421C5"/>
    <w:rsid w:val="00A75C15"/>
    <w:rsid w:val="00A92872"/>
    <w:rsid w:val="00AA1BE7"/>
    <w:rsid w:val="00AA46A9"/>
    <w:rsid w:val="00AD2929"/>
    <w:rsid w:val="00AE2A63"/>
    <w:rsid w:val="00AF7C24"/>
    <w:rsid w:val="00B0536E"/>
    <w:rsid w:val="00B13DFE"/>
    <w:rsid w:val="00B33200"/>
    <w:rsid w:val="00B50BB7"/>
    <w:rsid w:val="00B63862"/>
    <w:rsid w:val="00B751B2"/>
    <w:rsid w:val="00BA15C5"/>
    <w:rsid w:val="00BB5C9B"/>
    <w:rsid w:val="00BF25C3"/>
    <w:rsid w:val="00BF3034"/>
    <w:rsid w:val="00C00AAC"/>
    <w:rsid w:val="00C059DF"/>
    <w:rsid w:val="00C45956"/>
    <w:rsid w:val="00C45F4C"/>
    <w:rsid w:val="00C52115"/>
    <w:rsid w:val="00C84552"/>
    <w:rsid w:val="00CA48A4"/>
    <w:rsid w:val="00CB5B16"/>
    <w:rsid w:val="00CB7257"/>
    <w:rsid w:val="00CC4A73"/>
    <w:rsid w:val="00CC58FF"/>
    <w:rsid w:val="00CD396E"/>
    <w:rsid w:val="00D21FAD"/>
    <w:rsid w:val="00D2682D"/>
    <w:rsid w:val="00D61E03"/>
    <w:rsid w:val="00D97A3C"/>
    <w:rsid w:val="00DA0E6B"/>
    <w:rsid w:val="00DB19DA"/>
    <w:rsid w:val="00DB5FD6"/>
    <w:rsid w:val="00E51BB9"/>
    <w:rsid w:val="00E72CF6"/>
    <w:rsid w:val="00E748CE"/>
    <w:rsid w:val="00EC093C"/>
    <w:rsid w:val="00ED164B"/>
    <w:rsid w:val="00ED46F9"/>
    <w:rsid w:val="00F16C18"/>
    <w:rsid w:val="00F62419"/>
    <w:rsid w:val="00F86926"/>
    <w:rsid w:val="00F87775"/>
    <w:rsid w:val="00FE7FF2"/>
    <w:rsid w:val="00FF417B"/>
    <w:rsid w:val="00FF5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DAA31"/>
  <w15:chartTrackingRefBased/>
  <w15:docId w15:val="{E8DE5C81-469B-413E-979F-57BCEE43C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0C5"/>
    <w:pPr>
      <w:spacing w:before="120" w:after="120" w:line="240" w:lineRule="auto"/>
      <w:ind w:firstLine="432"/>
      <w:jc w:val="both"/>
    </w:pPr>
    <w:rPr>
      <w:rFonts w:ascii="Times New Roman" w:hAnsi="Times New Roman"/>
    </w:rPr>
  </w:style>
  <w:style w:type="paragraph" w:styleId="Heading1">
    <w:name w:val="heading 1"/>
    <w:basedOn w:val="Normal"/>
    <w:next w:val="Normal"/>
    <w:link w:val="Heading1Char"/>
    <w:uiPriority w:val="9"/>
    <w:qFormat/>
    <w:rsid w:val="007012DC"/>
    <w:pPr>
      <w:keepNext/>
      <w:keepLines/>
      <w:numPr>
        <w:numId w:val="2"/>
      </w:numP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7012DC"/>
    <w:pPr>
      <w:keepNext/>
      <w:keepLines/>
      <w:numPr>
        <w:ilvl w:val="1"/>
        <w:numId w:val="2"/>
      </w:numPr>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765AA9"/>
    <w:pPr>
      <w:keepNext/>
      <w:keepLines/>
      <w:numPr>
        <w:ilvl w:val="2"/>
        <w:numId w:val="2"/>
      </w:numPr>
      <w:ind w:left="0" w:firstLine="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372C0F"/>
    <w:pPr>
      <w:keepNext/>
      <w:keepLines/>
      <w:numPr>
        <w:ilvl w:val="3"/>
        <w:numId w:val="2"/>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2C0F"/>
    <w:pPr>
      <w:keepNext/>
      <w:keepLines/>
      <w:numPr>
        <w:ilvl w:val="4"/>
        <w:numId w:val="2"/>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2C0F"/>
    <w:pPr>
      <w:keepNext/>
      <w:keepLines/>
      <w:numPr>
        <w:ilvl w:val="5"/>
        <w:numId w:val="2"/>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2C0F"/>
    <w:pPr>
      <w:keepNext/>
      <w:keepLines/>
      <w:numPr>
        <w:ilvl w:val="6"/>
        <w:numId w:val="2"/>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2C0F"/>
    <w:pPr>
      <w:keepNext/>
      <w:keepLines/>
      <w:numPr>
        <w:ilvl w:val="7"/>
        <w:numId w:val="2"/>
      </w:numPr>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2C0F"/>
    <w:pPr>
      <w:keepNext/>
      <w:keepLines/>
      <w:numPr>
        <w:ilvl w:val="8"/>
        <w:numId w:val="2"/>
      </w:numPr>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840128"/>
    <w:pPr>
      <w:spacing w:line="360" w:lineRule="auto"/>
    </w:pPr>
  </w:style>
  <w:style w:type="paragraph" w:styleId="Caption">
    <w:name w:val="caption"/>
    <w:basedOn w:val="Normal"/>
    <w:next w:val="Normal"/>
    <w:uiPriority w:val="35"/>
    <w:unhideWhenUsed/>
    <w:qFormat/>
    <w:rsid w:val="00C059DF"/>
    <w:pPr>
      <w:ind w:firstLine="0"/>
      <w:jc w:val="center"/>
    </w:pPr>
    <w:rPr>
      <w:i/>
      <w:iCs/>
      <w:sz w:val="18"/>
      <w:szCs w:val="18"/>
    </w:rPr>
  </w:style>
  <w:style w:type="character" w:customStyle="1" w:styleId="Heading1Char">
    <w:name w:val="Heading 1 Char"/>
    <w:basedOn w:val="DefaultParagraphFont"/>
    <w:link w:val="Heading1"/>
    <w:uiPriority w:val="9"/>
    <w:rsid w:val="007012DC"/>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7012DC"/>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765AA9"/>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semiHidden/>
    <w:rsid w:val="00372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C0F"/>
    <w:rPr>
      <w:rFonts w:eastAsiaTheme="majorEastAsia" w:cstheme="majorBidi"/>
      <w:color w:val="272727" w:themeColor="text1" w:themeTint="D8"/>
    </w:rPr>
  </w:style>
  <w:style w:type="paragraph" w:styleId="Title">
    <w:name w:val="Title"/>
    <w:basedOn w:val="Normal"/>
    <w:next w:val="Normal"/>
    <w:link w:val="TitleChar"/>
    <w:uiPriority w:val="10"/>
    <w:qFormat/>
    <w:rsid w:val="00372C0F"/>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C0F"/>
    <w:pPr>
      <w:numPr>
        <w:ilvl w:val="1"/>
      </w:numPr>
      <w:spacing w:after="160"/>
      <w:ind w:firstLine="43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C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2C0F"/>
    <w:rPr>
      <w:rFonts w:ascii="Times New Roman" w:hAnsi="Times New Roman"/>
      <w:i/>
      <w:iCs/>
      <w:color w:val="404040" w:themeColor="text1" w:themeTint="BF"/>
    </w:rPr>
  </w:style>
  <w:style w:type="paragraph" w:styleId="ListParagraph">
    <w:name w:val="List Paragraph"/>
    <w:basedOn w:val="Normal"/>
    <w:uiPriority w:val="34"/>
    <w:qFormat/>
    <w:rsid w:val="00372C0F"/>
    <w:pPr>
      <w:ind w:left="720"/>
      <w:contextualSpacing/>
    </w:pPr>
  </w:style>
  <w:style w:type="character" w:styleId="IntenseEmphasis">
    <w:name w:val="Intense Emphasis"/>
    <w:basedOn w:val="DefaultParagraphFont"/>
    <w:uiPriority w:val="21"/>
    <w:qFormat/>
    <w:rsid w:val="00372C0F"/>
    <w:rPr>
      <w:i/>
      <w:iCs/>
      <w:color w:val="0F4761" w:themeColor="accent1" w:themeShade="BF"/>
    </w:rPr>
  </w:style>
  <w:style w:type="paragraph" w:styleId="IntenseQuote">
    <w:name w:val="Intense Quote"/>
    <w:basedOn w:val="Normal"/>
    <w:next w:val="Normal"/>
    <w:link w:val="IntenseQuoteChar"/>
    <w:uiPriority w:val="30"/>
    <w:qFormat/>
    <w:rsid w:val="00372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C0F"/>
    <w:rPr>
      <w:rFonts w:ascii="Times New Roman" w:hAnsi="Times New Roman"/>
      <w:i/>
      <w:iCs/>
      <w:color w:val="0F4761" w:themeColor="accent1" w:themeShade="BF"/>
    </w:rPr>
  </w:style>
  <w:style w:type="character" w:styleId="IntenseReference">
    <w:name w:val="Intense Reference"/>
    <w:basedOn w:val="DefaultParagraphFont"/>
    <w:uiPriority w:val="32"/>
    <w:qFormat/>
    <w:rsid w:val="00372C0F"/>
    <w:rPr>
      <w:b/>
      <w:bCs/>
      <w:smallCaps/>
      <w:color w:val="0F4761" w:themeColor="accent1" w:themeShade="BF"/>
      <w:spacing w:val="5"/>
    </w:rPr>
  </w:style>
  <w:style w:type="character" w:styleId="CommentReference">
    <w:name w:val="annotation reference"/>
    <w:basedOn w:val="DefaultParagraphFont"/>
    <w:uiPriority w:val="99"/>
    <w:semiHidden/>
    <w:unhideWhenUsed/>
    <w:rsid w:val="007012DC"/>
    <w:rPr>
      <w:sz w:val="16"/>
      <w:szCs w:val="16"/>
    </w:rPr>
  </w:style>
  <w:style w:type="paragraph" w:styleId="CommentText">
    <w:name w:val="annotation text"/>
    <w:basedOn w:val="Normal"/>
    <w:link w:val="CommentTextChar"/>
    <w:uiPriority w:val="99"/>
    <w:unhideWhenUsed/>
    <w:rsid w:val="007012DC"/>
    <w:rPr>
      <w:sz w:val="20"/>
      <w:szCs w:val="20"/>
    </w:rPr>
  </w:style>
  <w:style w:type="character" w:customStyle="1" w:styleId="CommentTextChar">
    <w:name w:val="Comment Text Char"/>
    <w:basedOn w:val="DefaultParagraphFont"/>
    <w:link w:val="CommentText"/>
    <w:uiPriority w:val="99"/>
    <w:rsid w:val="007012DC"/>
    <w:rPr>
      <w:rFonts w:ascii="Times New Roman" w:hAnsi="Times New Roman"/>
      <w:sz w:val="20"/>
      <w:szCs w:val="20"/>
    </w:rPr>
  </w:style>
  <w:style w:type="character" w:styleId="Hyperlink">
    <w:name w:val="Hyperlink"/>
    <w:basedOn w:val="DefaultParagraphFont"/>
    <w:uiPriority w:val="99"/>
    <w:unhideWhenUsed/>
    <w:rsid w:val="002A1DEC"/>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D21FAD"/>
    <w:pPr>
      <w:jc w:val="left"/>
    </w:pPr>
    <w:rPr>
      <w:b/>
      <w:bCs/>
    </w:rPr>
  </w:style>
  <w:style w:type="character" w:customStyle="1" w:styleId="CommentSubjectChar">
    <w:name w:val="Comment Subject Char"/>
    <w:basedOn w:val="CommentTextChar"/>
    <w:link w:val="CommentSubject"/>
    <w:uiPriority w:val="99"/>
    <w:semiHidden/>
    <w:rsid w:val="00D21FAD"/>
    <w:rPr>
      <w:rFonts w:ascii="Times New Roman" w:hAnsi="Times New Roman"/>
      <w:b/>
      <w:bCs/>
      <w:sz w:val="20"/>
      <w:szCs w:val="20"/>
    </w:rPr>
  </w:style>
  <w:style w:type="table" w:styleId="TableGrid">
    <w:name w:val="Table Grid"/>
    <w:basedOn w:val="TableNormal"/>
    <w:uiPriority w:val="39"/>
    <w:rsid w:val="0071108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772A7"/>
    <w:rPr>
      <w:color w:val="96607D" w:themeColor="followedHyperlink"/>
      <w:u w:val="single"/>
    </w:rPr>
  </w:style>
  <w:style w:type="paragraph" w:styleId="NoSpacing">
    <w:name w:val="No Spacing"/>
    <w:uiPriority w:val="1"/>
    <w:qFormat/>
    <w:rsid w:val="007067E9"/>
    <w:pPr>
      <w:spacing w:after="0" w:line="240" w:lineRule="auto"/>
      <w:jc w:val="center"/>
    </w:pPr>
    <w:rPr>
      <w:rFonts w:ascii="Times New Roman" w:hAnsi="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963">
      <w:bodyDiv w:val="1"/>
      <w:marLeft w:val="0"/>
      <w:marRight w:val="0"/>
      <w:marTop w:val="0"/>
      <w:marBottom w:val="0"/>
      <w:divBdr>
        <w:top w:val="none" w:sz="0" w:space="0" w:color="auto"/>
        <w:left w:val="none" w:sz="0" w:space="0" w:color="auto"/>
        <w:bottom w:val="none" w:sz="0" w:space="0" w:color="auto"/>
        <w:right w:val="none" w:sz="0" w:space="0" w:color="auto"/>
      </w:divBdr>
    </w:div>
    <w:div w:id="63529963">
      <w:bodyDiv w:val="1"/>
      <w:marLeft w:val="0"/>
      <w:marRight w:val="0"/>
      <w:marTop w:val="0"/>
      <w:marBottom w:val="0"/>
      <w:divBdr>
        <w:top w:val="none" w:sz="0" w:space="0" w:color="auto"/>
        <w:left w:val="none" w:sz="0" w:space="0" w:color="auto"/>
        <w:bottom w:val="none" w:sz="0" w:space="0" w:color="auto"/>
        <w:right w:val="none" w:sz="0" w:space="0" w:color="auto"/>
      </w:divBdr>
    </w:div>
    <w:div w:id="105737352">
      <w:bodyDiv w:val="1"/>
      <w:marLeft w:val="0"/>
      <w:marRight w:val="0"/>
      <w:marTop w:val="0"/>
      <w:marBottom w:val="0"/>
      <w:divBdr>
        <w:top w:val="none" w:sz="0" w:space="0" w:color="auto"/>
        <w:left w:val="none" w:sz="0" w:space="0" w:color="auto"/>
        <w:bottom w:val="none" w:sz="0" w:space="0" w:color="auto"/>
        <w:right w:val="none" w:sz="0" w:space="0" w:color="auto"/>
      </w:divBdr>
    </w:div>
    <w:div w:id="193622290">
      <w:bodyDiv w:val="1"/>
      <w:marLeft w:val="0"/>
      <w:marRight w:val="0"/>
      <w:marTop w:val="0"/>
      <w:marBottom w:val="0"/>
      <w:divBdr>
        <w:top w:val="none" w:sz="0" w:space="0" w:color="auto"/>
        <w:left w:val="none" w:sz="0" w:space="0" w:color="auto"/>
        <w:bottom w:val="none" w:sz="0" w:space="0" w:color="auto"/>
        <w:right w:val="none" w:sz="0" w:space="0" w:color="auto"/>
      </w:divBdr>
    </w:div>
    <w:div w:id="510416945">
      <w:bodyDiv w:val="1"/>
      <w:marLeft w:val="0"/>
      <w:marRight w:val="0"/>
      <w:marTop w:val="0"/>
      <w:marBottom w:val="0"/>
      <w:divBdr>
        <w:top w:val="none" w:sz="0" w:space="0" w:color="auto"/>
        <w:left w:val="none" w:sz="0" w:space="0" w:color="auto"/>
        <w:bottom w:val="none" w:sz="0" w:space="0" w:color="auto"/>
        <w:right w:val="none" w:sz="0" w:space="0" w:color="auto"/>
      </w:divBdr>
    </w:div>
    <w:div w:id="545991784">
      <w:bodyDiv w:val="1"/>
      <w:marLeft w:val="0"/>
      <w:marRight w:val="0"/>
      <w:marTop w:val="0"/>
      <w:marBottom w:val="0"/>
      <w:divBdr>
        <w:top w:val="none" w:sz="0" w:space="0" w:color="auto"/>
        <w:left w:val="none" w:sz="0" w:space="0" w:color="auto"/>
        <w:bottom w:val="none" w:sz="0" w:space="0" w:color="auto"/>
        <w:right w:val="none" w:sz="0" w:space="0" w:color="auto"/>
      </w:divBdr>
    </w:div>
    <w:div w:id="724647714">
      <w:bodyDiv w:val="1"/>
      <w:marLeft w:val="0"/>
      <w:marRight w:val="0"/>
      <w:marTop w:val="0"/>
      <w:marBottom w:val="0"/>
      <w:divBdr>
        <w:top w:val="none" w:sz="0" w:space="0" w:color="auto"/>
        <w:left w:val="none" w:sz="0" w:space="0" w:color="auto"/>
        <w:bottom w:val="none" w:sz="0" w:space="0" w:color="auto"/>
        <w:right w:val="none" w:sz="0" w:space="0" w:color="auto"/>
      </w:divBdr>
    </w:div>
    <w:div w:id="726761428">
      <w:bodyDiv w:val="1"/>
      <w:marLeft w:val="0"/>
      <w:marRight w:val="0"/>
      <w:marTop w:val="0"/>
      <w:marBottom w:val="0"/>
      <w:divBdr>
        <w:top w:val="none" w:sz="0" w:space="0" w:color="auto"/>
        <w:left w:val="none" w:sz="0" w:space="0" w:color="auto"/>
        <w:bottom w:val="none" w:sz="0" w:space="0" w:color="auto"/>
        <w:right w:val="none" w:sz="0" w:space="0" w:color="auto"/>
      </w:divBdr>
    </w:div>
    <w:div w:id="829101629">
      <w:bodyDiv w:val="1"/>
      <w:marLeft w:val="0"/>
      <w:marRight w:val="0"/>
      <w:marTop w:val="0"/>
      <w:marBottom w:val="0"/>
      <w:divBdr>
        <w:top w:val="none" w:sz="0" w:space="0" w:color="auto"/>
        <w:left w:val="none" w:sz="0" w:space="0" w:color="auto"/>
        <w:bottom w:val="none" w:sz="0" w:space="0" w:color="auto"/>
        <w:right w:val="none" w:sz="0" w:space="0" w:color="auto"/>
      </w:divBdr>
    </w:div>
    <w:div w:id="845444069">
      <w:bodyDiv w:val="1"/>
      <w:marLeft w:val="0"/>
      <w:marRight w:val="0"/>
      <w:marTop w:val="0"/>
      <w:marBottom w:val="0"/>
      <w:divBdr>
        <w:top w:val="none" w:sz="0" w:space="0" w:color="auto"/>
        <w:left w:val="none" w:sz="0" w:space="0" w:color="auto"/>
        <w:bottom w:val="none" w:sz="0" w:space="0" w:color="auto"/>
        <w:right w:val="none" w:sz="0" w:space="0" w:color="auto"/>
      </w:divBdr>
    </w:div>
    <w:div w:id="946349916">
      <w:bodyDiv w:val="1"/>
      <w:marLeft w:val="0"/>
      <w:marRight w:val="0"/>
      <w:marTop w:val="0"/>
      <w:marBottom w:val="0"/>
      <w:divBdr>
        <w:top w:val="none" w:sz="0" w:space="0" w:color="auto"/>
        <w:left w:val="none" w:sz="0" w:space="0" w:color="auto"/>
        <w:bottom w:val="none" w:sz="0" w:space="0" w:color="auto"/>
        <w:right w:val="none" w:sz="0" w:space="0" w:color="auto"/>
      </w:divBdr>
    </w:div>
    <w:div w:id="997807048">
      <w:bodyDiv w:val="1"/>
      <w:marLeft w:val="0"/>
      <w:marRight w:val="0"/>
      <w:marTop w:val="0"/>
      <w:marBottom w:val="0"/>
      <w:divBdr>
        <w:top w:val="none" w:sz="0" w:space="0" w:color="auto"/>
        <w:left w:val="none" w:sz="0" w:space="0" w:color="auto"/>
        <w:bottom w:val="none" w:sz="0" w:space="0" w:color="auto"/>
        <w:right w:val="none" w:sz="0" w:space="0" w:color="auto"/>
      </w:divBdr>
    </w:div>
    <w:div w:id="1178498247">
      <w:bodyDiv w:val="1"/>
      <w:marLeft w:val="0"/>
      <w:marRight w:val="0"/>
      <w:marTop w:val="0"/>
      <w:marBottom w:val="0"/>
      <w:divBdr>
        <w:top w:val="none" w:sz="0" w:space="0" w:color="auto"/>
        <w:left w:val="none" w:sz="0" w:space="0" w:color="auto"/>
        <w:bottom w:val="none" w:sz="0" w:space="0" w:color="auto"/>
        <w:right w:val="none" w:sz="0" w:space="0" w:color="auto"/>
      </w:divBdr>
    </w:div>
    <w:div w:id="1233463606">
      <w:bodyDiv w:val="1"/>
      <w:marLeft w:val="0"/>
      <w:marRight w:val="0"/>
      <w:marTop w:val="0"/>
      <w:marBottom w:val="0"/>
      <w:divBdr>
        <w:top w:val="none" w:sz="0" w:space="0" w:color="auto"/>
        <w:left w:val="none" w:sz="0" w:space="0" w:color="auto"/>
        <w:bottom w:val="none" w:sz="0" w:space="0" w:color="auto"/>
        <w:right w:val="none" w:sz="0" w:space="0" w:color="auto"/>
      </w:divBdr>
    </w:div>
    <w:div w:id="1307903658">
      <w:bodyDiv w:val="1"/>
      <w:marLeft w:val="0"/>
      <w:marRight w:val="0"/>
      <w:marTop w:val="0"/>
      <w:marBottom w:val="0"/>
      <w:divBdr>
        <w:top w:val="none" w:sz="0" w:space="0" w:color="auto"/>
        <w:left w:val="none" w:sz="0" w:space="0" w:color="auto"/>
        <w:bottom w:val="none" w:sz="0" w:space="0" w:color="auto"/>
        <w:right w:val="none" w:sz="0" w:space="0" w:color="auto"/>
      </w:divBdr>
    </w:div>
    <w:div w:id="1595356549">
      <w:bodyDiv w:val="1"/>
      <w:marLeft w:val="0"/>
      <w:marRight w:val="0"/>
      <w:marTop w:val="0"/>
      <w:marBottom w:val="0"/>
      <w:divBdr>
        <w:top w:val="none" w:sz="0" w:space="0" w:color="auto"/>
        <w:left w:val="none" w:sz="0" w:space="0" w:color="auto"/>
        <w:bottom w:val="none" w:sz="0" w:space="0" w:color="auto"/>
        <w:right w:val="none" w:sz="0" w:space="0" w:color="auto"/>
      </w:divBdr>
    </w:div>
    <w:div w:id="1698114342">
      <w:bodyDiv w:val="1"/>
      <w:marLeft w:val="0"/>
      <w:marRight w:val="0"/>
      <w:marTop w:val="0"/>
      <w:marBottom w:val="0"/>
      <w:divBdr>
        <w:top w:val="none" w:sz="0" w:space="0" w:color="auto"/>
        <w:left w:val="none" w:sz="0" w:space="0" w:color="auto"/>
        <w:bottom w:val="none" w:sz="0" w:space="0" w:color="auto"/>
        <w:right w:val="none" w:sz="0" w:space="0" w:color="auto"/>
      </w:divBdr>
    </w:div>
    <w:div w:id="1703437869">
      <w:bodyDiv w:val="1"/>
      <w:marLeft w:val="0"/>
      <w:marRight w:val="0"/>
      <w:marTop w:val="0"/>
      <w:marBottom w:val="0"/>
      <w:divBdr>
        <w:top w:val="none" w:sz="0" w:space="0" w:color="auto"/>
        <w:left w:val="none" w:sz="0" w:space="0" w:color="auto"/>
        <w:bottom w:val="none" w:sz="0" w:space="0" w:color="auto"/>
        <w:right w:val="none" w:sz="0" w:space="0" w:color="auto"/>
      </w:divBdr>
    </w:div>
    <w:div w:id="1734893196">
      <w:bodyDiv w:val="1"/>
      <w:marLeft w:val="0"/>
      <w:marRight w:val="0"/>
      <w:marTop w:val="0"/>
      <w:marBottom w:val="0"/>
      <w:divBdr>
        <w:top w:val="none" w:sz="0" w:space="0" w:color="auto"/>
        <w:left w:val="none" w:sz="0" w:space="0" w:color="auto"/>
        <w:bottom w:val="none" w:sz="0" w:space="0" w:color="auto"/>
        <w:right w:val="none" w:sz="0" w:space="0" w:color="auto"/>
      </w:divBdr>
    </w:div>
    <w:div w:id="1860503218">
      <w:bodyDiv w:val="1"/>
      <w:marLeft w:val="0"/>
      <w:marRight w:val="0"/>
      <w:marTop w:val="0"/>
      <w:marBottom w:val="0"/>
      <w:divBdr>
        <w:top w:val="none" w:sz="0" w:space="0" w:color="auto"/>
        <w:left w:val="none" w:sz="0" w:space="0" w:color="auto"/>
        <w:bottom w:val="none" w:sz="0" w:space="0" w:color="auto"/>
        <w:right w:val="none" w:sz="0" w:space="0" w:color="auto"/>
      </w:divBdr>
    </w:div>
    <w:div w:id="1865559235">
      <w:bodyDiv w:val="1"/>
      <w:marLeft w:val="0"/>
      <w:marRight w:val="0"/>
      <w:marTop w:val="0"/>
      <w:marBottom w:val="0"/>
      <w:divBdr>
        <w:top w:val="none" w:sz="0" w:space="0" w:color="auto"/>
        <w:left w:val="none" w:sz="0" w:space="0" w:color="auto"/>
        <w:bottom w:val="none" w:sz="0" w:space="0" w:color="auto"/>
        <w:right w:val="none" w:sz="0" w:space="0" w:color="auto"/>
      </w:divBdr>
    </w:div>
    <w:div w:id="1941180691">
      <w:bodyDiv w:val="1"/>
      <w:marLeft w:val="0"/>
      <w:marRight w:val="0"/>
      <w:marTop w:val="0"/>
      <w:marBottom w:val="0"/>
      <w:divBdr>
        <w:top w:val="none" w:sz="0" w:space="0" w:color="auto"/>
        <w:left w:val="none" w:sz="0" w:space="0" w:color="auto"/>
        <w:bottom w:val="none" w:sz="0" w:space="0" w:color="auto"/>
        <w:right w:val="none" w:sz="0" w:space="0" w:color="auto"/>
      </w:divBdr>
    </w:div>
    <w:div w:id="1963337730">
      <w:bodyDiv w:val="1"/>
      <w:marLeft w:val="0"/>
      <w:marRight w:val="0"/>
      <w:marTop w:val="0"/>
      <w:marBottom w:val="0"/>
      <w:divBdr>
        <w:top w:val="none" w:sz="0" w:space="0" w:color="auto"/>
        <w:left w:val="none" w:sz="0" w:space="0" w:color="auto"/>
        <w:bottom w:val="none" w:sz="0" w:space="0" w:color="auto"/>
        <w:right w:val="none" w:sz="0" w:space="0" w:color="auto"/>
      </w:divBdr>
    </w:div>
    <w:div w:id="1976329588">
      <w:bodyDiv w:val="1"/>
      <w:marLeft w:val="0"/>
      <w:marRight w:val="0"/>
      <w:marTop w:val="0"/>
      <w:marBottom w:val="0"/>
      <w:divBdr>
        <w:top w:val="none" w:sz="0" w:space="0" w:color="auto"/>
        <w:left w:val="none" w:sz="0" w:space="0" w:color="auto"/>
        <w:bottom w:val="none" w:sz="0" w:space="0" w:color="auto"/>
        <w:right w:val="none" w:sz="0" w:space="0" w:color="auto"/>
      </w:divBdr>
    </w:div>
    <w:div w:id="2132941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neiltamplin.me/the-anti-problem-digital-transformation-ad8c4c6a19b" TargetMode="External"/><Relationship Id="rId2" Type="http://schemas.openxmlformats.org/officeDocument/2006/relationships/hyperlink" Target="https://esurveydesigns.com/wix/p746435935576.aspx" TargetMode="External"/><Relationship Id="rId1" Type="http://schemas.openxmlformats.org/officeDocument/2006/relationships/hyperlink" Target="https://www.mckinsey.com/capabilities/operations/our-insights/on-the-brink-of-a-revolution-engineering-simulation-in-the-age-of-ai"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DoD23</b:Tag>
    <b:SourceType>Misc</b:SourceType>
    <b:Guid>{DFFF3E5C-0B2A-4492-B7C2-035E8732A537}</b:Guid>
    <b:Title>DoD Instruction 5000.97: Digital Engineering</b:Title>
    <b:Year>2023</b:Year>
    <b:Publisher>Department of Defense</b:Publisher>
    <b:Comments>Department of Defense Directive 5000.59, “DoD Modeling and Simulation (M&amp;S) Management," August 8, 2007, as amended</b:Comments>
    <b:RefOrder>1</b:RefOrder>
  </b:Source>
  <b:Source>
    <b:Tag>Art20</b:Tag>
    <b:SourceType>Misc</b:SourceType>
    <b:Guid>{925237DA-39CD-4656-954B-253040D3CEDB}</b:Guid>
    <b:Title>Digital Twin: Definition &amp; Value (An AIAA and AIA Position Paper)</b:Title>
    <b:Year>2020</b:Year>
    <b:Publisher>American Institute of Aeronautics and Astronautics</b:Publisher>
    <b:Author>
      <b:Author>
        <b:NameList>
          <b:Person>
            <b:Last>Arthur</b:Last>
            <b:First>Rick</b:First>
          </b:Person>
          <b:Person>
            <b:Last>French</b:Last>
            <b:First>Mathew "Mat"</b:First>
          </b:Person>
          <b:Person>
            <b:Last>Ganguli</b:Last>
            <b:Middle>S.</b:Middle>
            <b:First>Jayendra</b:First>
          </b:Person>
          <b:Person>
            <b:Last>Kinard</b:Last>
            <b:Middle>A.</b:Middle>
            <b:First>Don</b:First>
          </b:Person>
          <b:Person>
            <b:Last>Kraft</b:Last>
            <b:Middle>M.</b:Middle>
            <b:First>Edward "Ed"</b:First>
          </b:Person>
          <b:Person>
            <b:Last>Marks</b:Last>
            <b:First>Ian</b:First>
          </b:Person>
          <b:Person>
            <b:Last>Matlik</b:Last>
            <b:Middle>F.</b:Middle>
            <b:First>John</b:First>
          </b:Person>
          <b:Person>
            <b:Last>Pinon-Fischer</b:Last>
            <b:Middle>J.</b:Middle>
            <b:First>Olivia</b:First>
          </b:Person>
          <b:Person>
            <b:Last>Sangid</b:Last>
            <b:Middle>D.</b:Middle>
            <b:First>Michael</b:First>
          </b:Person>
          <b:Person>
            <b:Last>Seal</b:Last>
            <b:First>Daniel (Dan)</b:First>
          </b:Person>
          <b:Person>
            <b:Last>Tucker</b:Last>
            <b:First>Eric</b:First>
          </b:Person>
          <b:Person>
            <b:Last>Vickers</b:Last>
            <b:First>John</b:First>
          </b:Person>
          <b:Person>
            <b:Last>Sung</b:Last>
            <b:First>WoongJe</b:First>
          </b:Person>
        </b:NameList>
      </b:Author>
    </b:Author>
    <b:RefOrder>2</b:RefOrder>
  </b:Source>
  <b:Source>
    <b:Tag>Arn23</b:Tag>
    <b:SourceType>Misc</b:SourceType>
    <b:Guid>{BE45C2D9-5876-44A8-B250-943A6BFE6DD9}</b:Guid>
    <b:Title>Digital Twin: Reference Model, Realizations, &amp; Recommendations (An AIAA, AIA, and NAFEMS Implementation Paper)</b:Title>
    <b:Year>2023</b:Year>
    <b:Publisher>American Institution of Aeronautics and Astronautics</b:Publisher>
    <b:Author>
      <b:Author>
        <b:NameList>
          <b:Person>
            <b:Last>Arnold</b:Last>
            <b:Middle>M.</b:Middle>
            <b:First>Steven</b:First>
          </b:Person>
          <b:Person>
            <b:Last>Aydemir</b:Last>
            <b:First>Hakan</b:First>
          </b:Person>
          <b:Person>
            <b:Last>Byar</b:Last>
            <b:Middle>D.</b:Middle>
            <b:First>Alan</b:First>
          </b:Person>
          <b:Person>
            <b:Last>Dong</b:Last>
            <b:Middle>J.</b:Middle>
            <b:First>John</b:First>
          </b:Person>
          <b:Person>
            <b:Last>Dreisbach</b:Last>
            <b:First>Rod</b:First>
          </b:Person>
          <b:Person>
            <b:Last>Duncan</b:Last>
            <b:First>Scott</b:First>
          </b:Person>
          <b:Person>
            <b:Last>French</b:Last>
            <b:First>Mathew "Mat"</b:First>
          </b:Person>
          <b:Person>
            <b:Last>Ganguli</b:Last>
            <b:Middle>S.</b:Middle>
            <b:First>Jayendra</b:First>
          </b:Person>
          <b:Person>
            <b:Last>Hardwick</b:Last>
            <b:First>Martin</b:First>
          </b:Person>
          <b:Person>
            <b:Last>Kabir</b:Last>
            <b:Middle>H.</b:Middle>
            <b:First>Mohammed</b:First>
          </b:Person>
          <b:Person>
            <b:Last>Kinard</b:Last>
            <b:Middle>A.</b:Middle>
            <b:First>Don</b:First>
          </b:Person>
          <b:Person>
            <b:Last>Lewe</b:Last>
            <b:First>Jung-Ho</b:First>
          </b:Person>
          <b:Person>
            <b:Last>Mahadevan</b:Last>
            <b:First>Sankaran</b:First>
          </b:Person>
          <b:Person>
            <b:Last>Maiaru</b:Last>
            <b:First>Marianna</b:First>
          </b:Person>
          <b:Person>
            <b:Last>Matlik</b:Last>
            <b:Middle>F.</b:Middle>
            <b:First>John</b:First>
          </b:Person>
          <b:Person>
            <b:Last>Nielson</b:Last>
            <b:First>Matt</b:First>
          </b:Person>
          <b:Person>
            <b:Last>Pierre</b:Last>
            <b:First>Jude</b:First>
          </b:Person>
          <b:Person>
            <b:Last>Pinon-Fischer</b:Last>
            <b:Middle>J.</b:Middle>
            <b:First>Olivia</b:First>
          </b:Person>
          <b:Person>
            <b:Last>Roychowdhury</b:Last>
            <b:First>Subhrajit</b:First>
          </b:Person>
          <b:Person>
            <b:Last>Schindel</b:Last>
            <b:Middle>D.</b:Middle>
            <b:First>William</b:First>
          </b:Person>
          <b:Person>
            <b:Last>Taylor</b:Last>
            <b:First>Nigel</b:First>
          </b:Person>
        </b:NameList>
      </b:Author>
    </b:Author>
    <b:RefOrder>3</b:RefOrder>
  </b:Source>
  <b:Source>
    <b:Tag>Arn231</b:Tag>
    <b:SourceType>Misc</b:SourceType>
    <b:Guid>{0EA985E4-02FB-406A-BA93-3B9347FB3DFC}</b:Guid>
    <b:Title>Digital Thread: Definition, Value, and Reference Model (An AIAA, AIA, and NAFEMS Position Paper)</b:Title>
    <b:Year>2023</b:Year>
    <b:Publisher>American Institute of Aeronautics and Astronautics</b:Publisher>
    <b:Author>
      <b:Author>
        <b:NameList>
          <b:Person>
            <b:Last>Arnold</b:Last>
            <b:Middle>M.</b:Middle>
            <b:First>Steven</b:First>
          </b:Person>
          <b:Person>
            <b:Last>Cribb</b:Last>
            <b:Middle>W.</b:Middle>
            <b:First>Matthew</b:First>
          </b:Person>
          <b:Person>
            <b:Last>French</b:Last>
            <b:First>Mathew "Mat"</b:First>
          </b:Person>
          <b:Person>
            <b:Last>Ganguli</b:Last>
            <b:Middle>S.</b:Middle>
            <b:First>Jayendra</b:First>
          </b:Person>
          <b:Person>
            <b:Last>Goodman</b:Last>
            <b:First>Scott</b:First>
          </b:Person>
          <b:Person>
            <b:Last>Hatakeyama</b:Last>
            <b:First>Jason</b:First>
          </b:Person>
          <b:Person>
            <b:Last>Lorang</b:Last>
            <b:Middle>K.</b:Middle>
            <b:First>Melanie</b:First>
          </b:Person>
          <b:Person>
            <b:Last>Matlik</b:Last>
            <b:Middle>F.</b:Middle>
            <b:First>John</b:First>
          </b:Person>
          <b:Person>
            <b:Last>Pinon-Fischer</b:Last>
            <b:Middle>J.</b:Middle>
            <b:First>Olivia </b:First>
          </b:Person>
          <b:Person>
            <b:Last>Schindel</b:Last>
            <b:Middle>D.</b:Middle>
            <b:First>William</b:First>
          </b:Person>
          <b:Person>
            <b:Last>Taylor</b:Last>
            <b:First>Nigel</b:First>
          </b:Person>
          <b:Person>
            <b:Last>Wang</b:Last>
            <b:First>Guijun</b:First>
          </b:Person>
        </b:NameList>
      </b:Author>
    </b:Author>
    <b:RefOrder>4</b:RefOrder>
  </b:Source>
  <b:Source>
    <b:Tag>Liu181</b:Tag>
    <b:SourceType>Misc</b:SourceType>
    <b:Guid>{7DF14628-F009-4D11-9E85-CFAF4822D896}</b:Guid>
    <b:Title>VIsion 2040: A Roadmap for Integrated, Multiscale Modeling and Simulation of Materials and Systems</b:Title>
    <b:Year>2018</b:Year>
    <b:City>Hampton</b:City>
    <b:Publisher>NASA Scientific and Technical Information Program</b:Publisher>
    <b:Author>
      <b:Author>
        <b:NameList>
          <b:Person>
            <b:Last>Liu</b:Last>
            <b:First>Xuan</b:First>
          </b:Person>
          <b:Person>
            <b:Last>Furrer</b:Last>
            <b:First>David</b:First>
          </b:Person>
          <b:Person>
            <b:Last>Kosters</b:Last>
            <b:First>Jared</b:First>
          </b:Person>
          <b:Person>
            <b:Last>Holmes</b:Last>
            <b:First>Jack</b:First>
          </b:Person>
        </b:NameList>
      </b:Author>
    </b:Author>
    <b:StateProvince>Virginia</b:StateProvince>
    <b:CountryRegion>USA</b:CountryRegion>
    <b:StandardNumber>NASA/CR-2018-219771</b:StandardNumber>
    <b:RefOrder>5</b:RefOrder>
  </b:Source>
  <b:Source>
    <b:Tag>Arn19</b:Tag>
    <b:SourceType>Misc</b:SourceType>
    <b:Guid>{B080100C-28D6-4049-8B4D-B1B0EE08A4B4}</b:Guid>
    <b:Title>2040 Vision Study: An Enlargement of Model Based Engineering</b:Title>
    <b:Year>2019</b:Year>
    <b:Publisher>International Association for the Engineering Modeling, Analysis, and Simulation Community (NAFEMS)</b:Publisher>
    <b:City>Columbus</b:City>
    <b:Author>
      <b:Author>
        <b:NameList>
          <b:Person>
            <b:Last>Arnold</b:Last>
            <b:Middle>M.</b:Middle>
            <b:First>Steven</b:First>
          </b:Person>
        </b:NameList>
      </b:Author>
    </b:Author>
    <b:StateProvince>Ohio</b:StateProvince>
    <b:CountryRegion>USA</b:CountryRegion>
    <b:RefOrder>6</b:RefOrder>
  </b:Source>
  <b:Source>
    <b:Tag>DoD22</b:Tag>
    <b:SourceType>Misc</b:SourceType>
    <b:Guid>{18E97705-E681-41A8-A06F-4FF90B2FE3C6}</b:Guid>
    <b:Title>DoD Instruction 8330.01: Interoperability of Information Technology, Including National Security Systems</b:Title>
    <b:Year>2022</b:Year>
    <b:Publisher>Department of Defense</b:Publisher>
    <b:RefOrder>8</b:RefOrder>
  </b:Source>
  <b:Source>
    <b:Tag>Ram26</b:Tag>
    <b:SourceType>ConferenceProceedings</b:SourceType>
    <b:Guid>{98C52D19-6800-4027-9C47-8A97FEE9E01A}</b:Guid>
    <b:Title>A Report on How to Best Support Implementing Digital Engineering for Computational Design and Analysis – A Survey and Results</b:Title>
    <b:Year>2026</b:Year>
    <b:City>Orlando</b:City>
    <b:Publisher>American Institute of Aeronautics and Astronautics</b:Publisher>
    <b:ConferenceName>AIAA Sci-Tech</b:ConferenceName>
    <b:ShortTitle>CoDADE Survey Results</b:ShortTitle>
    <b:StandardNumber>AIAA 2026-1530</b:StandardNumber>
    <b:DOI>https://doi.org/10.2514/6.2026-1530</b:DOI>
    <b:Author>
      <b:Author>
        <b:NameList>
          <b:Person>
            <b:Last>Ram</b:Last>
            <b:First>Abhishek</b:First>
          </b:Person>
        </b:NameList>
      </b:Author>
    </b:Author>
    <b:RefOrder>9</b:RefOrder>
  </b:Source>
  <b:Source>
    <b:Tag>Ste25</b:Tag>
    <b:SourceType>Misc</b:SourceType>
    <b:Guid>{091CB932-CE2E-4030-9E58-672523C10F94}</b:Guid>
    <b:Title>On the Brink of a Revolution? Engineering Simulation in the Age of AI</b:Title>
    <b:Year>2025</b:Year>
    <b:Publisher>McKinsey &amp; Company (In Partnership with The International Association for the Engineering Modelling, Analysis and Simulation Community)</b:Publisher>
    <b:Author>
      <b:Author>
        <b:NameList>
          <b:Person>
            <b:Last>Stein</b:Last>
            <b:Middle>Paul</b:Middle>
            <b:First>Jan</b:First>
          </b:Person>
        </b:NameList>
      </b:Author>
    </b:Author>
    <b:URL>https://www.mckinsey.com/capabilities/operations/our-insights/on-the-brink-of-a-revolution-engineering-simulation-in-the-age-of-ai#/</b:URL>
    <b:RefOrder>7</b:RefOrder>
  </b:Source>
  <b:Source>
    <b:Tag>DAU</b:Tag>
    <b:SourceType>Misc</b:SourceType>
    <b:Guid>{A7D56957-039B-4AB5-BF9C-A499F3A3C0CC}</b:Guid>
    <b:Title>DAU AI Glossary for the DoD</b:Title>
    <b:City>Fort Belvoir</b:City>
    <b:Publisher>Defense Acquisition University (DAU)</b:Publisher>
    <b:StateProvince>Virginia</b:StateProvince>
    <b:CountryRegion>USA</b:CountryRegion>
    <b:RefOrder>28</b:RefOrder>
  </b:Source>
  <b:Source>
    <b:Tag>Sum18</b:Tag>
    <b:SourceType>Misc</b:SourceType>
    <b:Guid>{ECEAEE6B-4C2B-4DAE-8C0B-7D10EC945D8C}</b:Guid>
    <b:Title>Summary of the 2018 Department of Defense Artificial Intelligence Strategy</b:Title>
    <b:Year>2018</b:Year>
    <b:City>Arlington</b:City>
    <b:Publisher>Department of Defense</b:Publisher>
    <b:StateProvince>Virginia</b:StateProvince>
    <b:CountryRegion>USA</b:CountryRegion>
    <b:RefOrder>29</b:RefOrder>
  </b:Source>
  <b:Source>
    <b:Tag>HR518</b:Tag>
    <b:SourceType>Misc</b:SourceType>
    <b:Guid>{F8DC55C8-1CBB-493E-938F-971B19FB272B}</b:Guid>
    <b:Title>H.R. 5515 - John S. McCain National Defense Authorization Act for Fiscal Year 2019</b:Title>
    <b:Year>2018</b:Year>
    <b:City>Washington, D.C.</b:City>
    <b:Publisher>United States Congress House Armed Services Committee</b:Publisher>
    <b:CountryRegion>USA</b:CountryRegion>
    <b:RefOrder>30</b:RefOrder>
  </b:Source>
  <b:Source>
    <b:Tag>HR620</b:Tag>
    <b:SourceType>Misc</b:SourceType>
    <b:Guid>{749C8C17-85F3-4B54-BA5F-139C7D335C6E}</b:Guid>
    <b:Title>H.R.6216 - National Artificial Intelligence Initiative Act of 2020</b:Title>
    <b:Year>2020</b:Year>
    <b:City>Washington D.C.</b:City>
    <b:Publisher>United States Congress House - Space, Science, and Technology Committee</b:Publisher>
    <b:CountryRegion>USA</b:CountryRegion>
    <b:RefOrder>31</b:RefOrder>
  </b:Source>
  <b:Source>
    <b:Tag>USC19</b:Tag>
    <b:SourceType>Misc</b:SourceType>
    <b:Guid>{97AC6627-A343-49BB-BE67-FD38A0A3CAF4}</b:Guid>
    <b:Title>U.S. Code 10 §2358. Research and Development Projects</b:Title>
    <b:Year>2019</b:Year>
    <b:City>Washington D.C.</b:City>
    <b:Publisher>United States Congress House of Representatives Office of the Law Revision Council (ORLC)</b:Publisher>
    <b:CountryRegion>USA</b:CountryRegion>
    <b:RefOrder>32</b:RefOrder>
  </b:Source>
  <b:Source>
    <b:Tag>McC07</b:Tag>
    <b:SourceType>Misc</b:SourceType>
    <b:Guid>{06EDF090-51FE-4FED-B9A9-E04E043BD3B3}</b:Guid>
    <b:Title>What is Artificial Intelligence?</b:Title>
    <b:Year>2007</b:Year>
    <b:Publisher>Stanford University</b:Publisher>
    <b:City>Stanford</b:City>
    <b:StateProvince>California</b:StateProvince>
    <b:CountryRegion>USA</b:CountryRegion>
    <b:Author>
      <b:Author>
        <b:NameList>
          <b:Person>
            <b:Last>McCarthy</b:Last>
            <b:First>John</b:First>
          </b:Person>
        </b:NameList>
      </b:Author>
    </b:Author>
    <b:RefOrder>27</b:RefOrder>
  </b:Source>
  <b:Source>
    <b:Tag>Dep18</b:Tag>
    <b:SourceType>Report</b:SourceType>
    <b:Guid>{05220D14-5EDD-4584-A396-1176914C120F}</b:Guid>
    <b:Title>Digital Engineering Strategy</b:Title>
    <b:Year>2018</b:Year>
    <b:Author>
      <b:Author>
        <b:NameList>
          <b:Person>
            <b:Last>Defense</b:Last>
            <b:First>Department</b:First>
            <b:Middle>of</b:Middle>
          </b:Person>
        </b:NameList>
      </b:Author>
    </b:Author>
    <b:RefOrder>10</b:RefOrder>
  </b:Source>
  <b:Source>
    <b:Tag>Wil23</b:Tag>
    <b:SourceType>Report</b:SourceType>
    <b:Guid>{A0DBB969-D2DB-4518-A44D-D1D2E74D7796}</b:Guid>
    <b:Title>Foundational research gaps and future directions for digital twins</b:Title>
    <b:Year>2023</b:Year>
    <b:Publisher>National Academies of Sciences, Engineering, and Medicine</b:Publisher>
    <b:Author>
      <b:Author>
        <b:NameList>
          <b:Person>
            <b:Last>Willcox</b:Last>
            <b:First>Karen,</b:First>
            <b:Middle>D. Bingham, C. Chung, J. Chung, C. Cruz-Neira, C. Grant, J. Kinter et al.</b:Middle>
          </b:Person>
        </b:NameList>
      </b:Author>
    </b:Author>
    <b:RefOrder>11</b:RefOrder>
  </b:Source>
  <b:Source>
    <b:Tag>Sob97</b:Tag>
    <b:SourceType>JournalArticle</b:SourceType>
    <b:Guid>{C3FD74E3-8A1F-4C18-BFFD-277D538E2EE8}</b:Guid>
    <b:Title>Multidisciplinary aerospace design optimization: survey of recent developments</b:Title>
    <b:Year>1997</b:Year>
    <b:Author>
      <b:Author>
        <b:NameList>
          <b:Person>
            <b:Last>Sobieszczanski-Sobieski</b:Last>
            <b:First>Jaroslaw,</b:First>
            <b:Middle>and Raphael T. Haftka</b:Middle>
          </b:Person>
        </b:NameList>
      </b:Author>
    </b:Author>
    <b:JournalName>Structural optimization </b:JournalName>
    <b:RefOrder>13</b:RefOrder>
  </b:Source>
  <b:Source>
    <b:Tag>Ben88</b:Tag>
    <b:SourceType>JournalArticle</b:SourceType>
    <b:Guid>{560386AF-8CC2-489A-A844-E352890806B7}</b:Guid>
    <b:Author>
      <b:Author>
        <b:NameList>
          <b:Person>
            <b:Last>Bendsøe</b:Last>
            <b:First>M.</b:First>
            <b:Middle>P., &amp; Kikuchi, N.</b:Middle>
          </b:Person>
        </b:NameList>
      </b:Author>
    </b:Author>
    <b:Title>Generating optimal topologies in structural design using a homogenization method</b:Title>
    <b:JournalName>Computer methods in applied mechanics and engineering</b:JournalName>
    <b:Year>1988</b:Year>
    <b:RefOrder>14</b:RefOrder>
  </b:Source>
  <b:Source>
    <b:Tag>Ben15</b:Tag>
    <b:SourceType>JournalArticle</b:SourceType>
    <b:Guid>{2B157C1C-25CF-4CD2-86DE-8C1D56607A97}</b:Guid>
    <b:Author>
      <b:Author>
        <b:NameList>
          <b:Person>
            <b:Last>Benner</b:Last>
            <b:First>P.,</b:First>
            <b:Middle>Gugercin, S., &amp; Willcox, K.</b:Middle>
          </b:Person>
        </b:NameList>
      </b:Author>
    </b:Author>
    <b:Title>A survey of projection-based model reduction methods for parametric dynamical systems</b:Title>
    <b:JournalName>SIAM Review</b:JournalName>
    <b:Year>2015</b:Year>
    <b:RefOrder>15</b:RefOrder>
  </b:Source>
  <b:Source>
    <b:Tag>Qua15</b:Tag>
    <b:SourceType>Book</b:SourceType>
    <b:Guid>{6016EEF7-420F-4F72-B4F4-52B10805F2BF}</b:Guid>
    <b:Author>
      <b:Author>
        <b:NameList>
          <b:Person>
            <b:Last>Quarteroni</b:Last>
            <b:First>A.,</b:First>
            <b:Middle>Manzoni, A., &amp; Negri, F.</b:Middle>
          </b:Person>
        </b:NameList>
      </b:Author>
    </b:Author>
    <b:Title>Reduced basis methods for partial differential equations: an introduction</b:Title>
    <b:Year>2015</b:Year>
    <b:RefOrder>16</b:RefOrder>
  </b:Source>
  <b:Source>
    <b:Tag>Bak19</b:Tag>
    <b:SourceType>Report</b:SourceType>
    <b:Guid>{41905179-5F43-4E3D-A37B-5EAD535F7C65}</b:Guid>
    <b:Author>
      <b:Author>
        <b:NameList>
          <b:Person>
            <b:Last>Baker</b:Last>
            <b:First>N.,</b:First>
            <b:Middle>Alexander, F., Bremer, T., Hagberg, A., Kevrekidis, Y., Najm, H., ... &amp; Lee, S</b:Middle>
          </b:Person>
        </b:NameList>
      </b:Author>
    </b:Author>
    <b:Title>Workshop report on basic research needs for scientific machine learning: Core technologies for artificial intelligence</b:Title>
    <b:Year>2019</b:Year>
    <b:Publisher>USDOE Office of Science (SC)</b:Publisher>
    <b:RefOrder>17</b:RefOrder>
  </b:Source>
  <b:Source>
    <b:Tag>Kar21</b:Tag>
    <b:SourceType>JournalArticle</b:SourceType>
    <b:Guid>{FE9593D5-7249-43E9-BB4E-37ED656F4DA2}</b:Guid>
    <b:Author>
      <b:Author>
        <b:NameList>
          <b:Person>
            <b:Last>Karniadakis</b:Last>
            <b:First>G.</b:First>
            <b:Middle>E., Kevrekidis, I. G., Lu, L., Perdikaris, P., Wang, S., &amp; Yang, L.</b:Middle>
          </b:Person>
        </b:NameList>
      </b:Author>
    </b:Author>
    <b:Title>Physics-informed machine learning</b:Title>
    <b:Year>2021</b:Year>
    <b:JournalName> Nature Reviews Physics</b:JournalName>
    <b:RefOrder>18</b:RefOrder>
  </b:Source>
  <b:Source>
    <b:Tag>Slo14</b:Tag>
    <b:SourceType>JournalArticle</b:SourceType>
    <b:Guid>{F92A386E-81C9-4D43-B039-E543980FB564}</b:Guid>
    <b:Author>
      <b:Author>
        <b:NameList>
          <b:Person>
            <b:Last>Slotnick</b:Last>
            <b:First>J.</b:First>
            <b:Middle>P., Khodadoust, A., Alonso, J., Darmofal, D., Gropp, W., Lurie, E., &amp; Mavriplis, D. J.</b:Middle>
          </b:Person>
        </b:NameList>
      </b:Author>
    </b:Author>
    <b:Title>CFD vision 2030 study: a path to revolutionary computational aerosciences</b:Title>
    <b:Year>2014</b:Year>
    <b:RefOrder>20</b:RefOrder>
  </b:Source>
  <b:Source>
    <b:Tag>Car21</b:Tag>
    <b:SourceType>JournalArticle</b:SourceType>
    <b:Guid>{7AEAC18C-AEE7-43D1-8C73-87C58D22C2F4}</b:Guid>
    <b:Author>
      <b:Author>
        <b:NameList>
          <b:Person>
            <b:Last>Cary</b:Last>
            <b:First>A.</b:First>
            <b:Middle>W., Chawner, J., Duque, E. P., Gropp, W., Kleb, W. L., Kolonay, R. M., ... &amp; Smith, B.</b:Middle>
          </b:Person>
        </b:NameList>
      </b:Author>
    </b:Author>
    <b:Title>Cfd vision 2030 road map: Progress and perspectives</b:Title>
    <b:JournalName>AIAA Aviation</b:JournalName>
    <b:Year>2021</b:Year>
    <b:RefOrder>19</b:RefOrder>
  </b:Source>
  <b:Source>
    <b:Tag>Cot09</b:Tag>
    <b:SourceType>Book</b:SourceType>
    <b:Guid>{9EED591B-175A-4EEF-AD32-AC55DFEF7886}</b:Guid>
    <b:Title>sogeometric analysis: toward integration of CAD and FEA</b:Title>
    <b:Year>2009</b:Year>
    <b:Author>
      <b:Author>
        <b:NameList>
          <b:Person>
            <b:Last>Cottrell</b:Last>
            <b:First>J.</b:First>
            <b:Middle>A., Hughes, T. J., &amp; Bazilevs, Y.</b:Middle>
          </b:Person>
        </b:NameList>
      </b:Author>
    </b:Author>
    <b:RefOrder>21</b:RefOrder>
  </b:Source>
  <b:Source>
    <b:Tag>Bel23</b:Tag>
    <b:SourceType>Book</b:SourceType>
    <b:Guid>{0BDB60AB-5F63-49CF-A727-732040E77A1D}</b:Guid>
    <b:Author>
      <b:Author>
        <b:NameList>
          <b:Person>
            <b:Last>Belytschko</b:Last>
            <b:First>T.,</b:First>
            <b:Middle>Chen, J. S., &amp; Hillman, M.</b:Middle>
          </b:Person>
        </b:NameList>
      </b:Author>
    </b:Author>
    <b:Title>Meshfree and particle methods: fundamentals and applications</b:Title>
    <b:Year>2023</b:Year>
    <b:RefOrder>22</b:RefOrder>
  </b:Source>
  <b:Source>
    <b:Tag>Obe10</b:Tag>
    <b:SourceType>Book</b:SourceType>
    <b:Guid>{D233D803-5A98-46D5-A3A5-6004A53F7FA2}</b:Guid>
    <b:Author>
      <b:Author>
        <b:NameList>
          <b:Person>
            <b:Last>Oberkampf</b:Last>
            <b:First>W.</b:First>
            <b:Middle>L., &amp; Roy, C. J.</b:Middle>
          </b:Person>
        </b:NameList>
      </b:Author>
    </b:Author>
    <b:Title> Verification and validation in scientific computing</b:Title>
    <b:Year>2010</b:Year>
    <b:RefOrder>23</b:RefOrder>
  </b:Source>
  <b:Source>
    <b:Tag>Ame98</b:Tag>
    <b:SourceType>Book</b:SourceType>
    <b:Guid>{8553325D-6D90-41A2-BB96-19D00E59ED20}</b:Guid>
    <b:Author>
      <b:Author>
        <b:NameList>
          <b:Person>
            <b:Last>Astronautics</b:Last>
            <b:First>American</b:First>
            <b:Middle>Institute of Aeronautics and</b:Middle>
          </b:Person>
        </b:NameList>
      </b:Author>
    </b:Author>
    <b:Title>AIAA guide for the verification and validation of computational fluid dynamics simulations</b:Title>
    <b:Year>1998</b:Year>
    <b:RefOrder>24</b:RefOrder>
  </b:Source>
  <b:Source>
    <b:Tag>ASM06</b:Tag>
    <b:SourceType>Book</b:SourceType>
    <b:Guid>{4DDFE97D-E3D3-4981-83D3-34981BC0F329}</b:Guid>
    <b:Author>
      <b:Author>
        <b:NameList>
          <b:Person>
            <b:Last>ASME</b:Last>
          </b:Person>
        </b:NameList>
      </b:Author>
    </b:Author>
    <b:Title>Guide for verification and validation in computational solid mechanics</b:Title>
    <b:Year>2006</b:Year>
    <b:RefOrder>25</b:RefOrder>
  </b:Source>
  <b:Source>
    <b:Tag>How</b:Tag>
    <b:SourceType>Misc</b:SourceType>
    <b:Guid>{83017C39-D52C-4728-A512-D45DDE6E703B}</b:Guid>
    <b:Title>How Digital Engineering Transforms Traditional Engineering Practices</b:Title>
    <b:Publisher>Avian Media Network</b:Publisher>
    <b:PublicationTitle>Digital Engineering Blog Post</b:PublicationTitle>
    <b:URL>https://avian.com/avian-media-network/post?How-Digital-Engineering-Transforms-Traditional-Engineering-Practices-76</b:URL>
    <b:RefOrder>33</b:RefOrder>
  </b:Source>
  <b:Source>
    <b:Tag>Sim25</b:Tag>
    <b:SourceType>Misc</b:SourceType>
    <b:Guid>{D00A4C3B-7E01-42EA-A6C0-D71AF9C6DA63}</b:Guid>
    <b:Title>Mastering the Complexity of Systems with Digital Engineering</b:Title>
    <b:Year>2025</b:Year>
    <b:Publisher>Sodius Willert</b:Publisher>
    <b:Author>
      <b:Author>
        <b:NameList>
          <b:Person>
            <b:Last>Simon</b:Last>
            <b:First>Célina</b:First>
          </b:Person>
        </b:NameList>
      </b:Author>
    </b:Author>
    <b:URL>https://www.sodiuswillert.com/en/blog/mastering-the-complexity-of-systems-with-digital-engineering</b:URL>
    <b:RefOrder>34</b:RefOrder>
  </b:Source>
  <b:Source>
    <b:Tag>Rho24</b:Tag>
    <b:SourceType>Misc</b:SourceType>
    <b:Guid>{1A012BD6-186B-4AB7-A601-79E51263D906}</b:Guid>
    <b:Title>Digital Engineering: A Strategic Shift with a Payoff</b:Title>
    <b:Year>2024</b:Year>
    <b:Publisher>Noblis</b:Publisher>
    <b:Author>
      <b:Author>
        <b:NameList>
          <b:Person>
            <b:Last>Rhodes</b:Last>
            <b:First>Tara</b:First>
          </b:Person>
        </b:NameList>
      </b:Author>
    </b:Author>
    <b:Month>February</b:Month>
    <b:Day>6th</b:Day>
    <b:URL>https://noblis.org/digitalengineering-trhodes/</b:URL>
    <b:RefOrder>35</b:RefOrder>
  </b:Source>
  <b:Source>
    <b:Tag>CFD25</b:Tag>
    <b:SourceType>Misc</b:SourceType>
    <b:Guid>{B1C26C85-5DD5-4061-BC2D-433F6844679A}</b:Guid>
    <b:Title>CFD Vision 2030 Roadmap Progress and Technology Highlights for 2024</b:Title>
    <b:Year>2025</b:Year>
    <b:Publisher>CFD Vision 2030 IC Roadmap Subcommittee</b:Publisher>
    <b:Month>October</b:Month>
    <b:ShortTitle>CFD Vision 2030 2024 Update</b:ShortTitle>
    <b:URL>https://www.cfd2030.com/report-2024.html</b:URL>
    <b:RefOrder>46</b:RefOrder>
  </b:Source>
  <b:Source>
    <b:Tag>Sha22</b:Tag>
    <b:SourceType>JournalArticle</b:SourceType>
    <b:Guid>{6161DF8F-9CC3-43BB-BD4C-6E1B741BE1EF}</b:Guid>
    <b:Title>A Comprehensive State-of-the-Art Survey on Data Visualization Tools: Research Developments, Challenges and Future Domain Specific Visualization Framework</b:Title>
    <b:Year>2022</b:Year>
    <b:Publisher>IEEE</b:Publisher>
    <b:JournalName>IEEE Access</b:JournalName>
    <b:Pages>96581 - 96601</b:Pages>
    <b:Volume>10</b:Volume>
    <b:Issue>2022</b:Issue>
    <b:Author>
      <b:Author>
        <b:NameList>
          <b:Person>
            <b:Last>Shakeel</b:Last>
            <b:Middle>Muhammad</b:Middle>
            <b:First>Hafiz</b:First>
          </b:Person>
          <b:Person>
            <b:Last>Iram</b:Last>
            <b:First>Shamaila</b:First>
          </b:Person>
          <b:Person>
            <b:Last>Al-Aqrabi</b:Last>
            <b:First>Hussain</b:First>
          </b:Person>
          <b:Person>
            <b:Last>Alsoubi</b:Last>
            <b:First>Tariq</b:First>
          </b:Person>
          <b:Person>
            <b:Last>Hill</b:Last>
            <b:First>Richard</b:First>
          </b:Person>
        </b:NameList>
      </b:Author>
    </b:Author>
    <b:DOI>10.1109/ACCESS.2022.3205115</b:DOI>
    <b:RefOrder>26</b:RefOrder>
  </b:Source>
  <b:Source>
    <b:Tag>Ang15</b:Tag>
    <b:SourceType>Misc</b:SourceType>
    <b:Guid>{21F8698D-CAB7-4002-9EC8-5664466F5E17}</b:Guid>
    <b:Title>Advanced Simulation and Computing Co-Design Strategy</b:Title>
    <b:Year>2015</b:Year>
    <b:City>Washington</b:City>
    <b:Publisher>National Nuclear Security Administration</b:Publisher>
    <b:Author>
      <b:Author>
        <b:NameList>
          <b:Person>
            <b:Last>Ang</b:Last>
            <b:Middle>A.</b:Middle>
            <b:First>James</b:First>
          </b:Person>
          <b:Person>
            <b:Last>Hoang</b:Last>
            <b:Middle>T.</b:Middle>
            <b:First>Thuc</b:First>
          </b:Person>
          <b:Person>
            <b:Last>Kelly</b:Last>
            <b:Middle>M.</b:Middle>
            <b:First>Suzanne</b:First>
          </b:Person>
          <b:Person>
            <b:Last>McPherson</b:Last>
            <b:First>Allen</b:First>
          </b:Person>
          <b:Person>
            <b:Last>Neely</b:Last>
            <b:First>Rob</b:First>
          </b:Person>
        </b:NameList>
      </b:Author>
    </b:Author>
    <b:PublicationTitle>A Publication of the Office of Advanced Simulation and Computing and Institutional Research and Development, NNSA Defense Programs</b:PublicationTitle>
    <b:StateProvince>DC</b:StateProvince>
    <b:CountryRegion>USA</b:CountryRegion>
    <b:StandardNumber>SAND2015-9821R</b:StandardNumber>
    <b:Month>November</b:Month>
    <b:RefOrder>36</b:RefOrder>
  </b:Source>
  <b:Source>
    <b:Tag>Art26</b:Tag>
    <b:SourceType>JournalArticle</b:SourceType>
    <b:Guid>{6FA6DD01-9987-4701-A7E8-2C326C11E21A}</b:Guid>
    <b:Title>A Field Guide to Decision Making</b:Title>
    <b:Year>2026</b:Year>
    <b:Publisher>IEEE</b:Publisher>
    <b:JournalName>Computing in Science and Engineering</b:JournalName>
    <b:Pages>1 - 6</b:Pages>
    <b:Author>
      <b:Author>
        <b:NameList>
          <b:Person>
            <b:Last>Arthur</b:Last>
            <b:Middle>B.</b:Middle>
            <b:First>Richard</b:First>
          </b:Person>
        </b:NameList>
      </b:Author>
    </b:Author>
    <b:URL>https://arxiv.org/pdf/2604.20669</b:URL>
    <b:RefOrder>12</b:RefOrder>
  </b:Source>
  <b:Source>
    <b:Tag>Par19</b:Tag>
    <b:SourceType>Misc</b:SourceType>
    <b:Guid>{A4A0FA1E-678D-41CB-A7B3-8C5CFB7F99C1}</b:Guid>
    <b:Title>Part 210: Human-Centred Design for Interactive Systems</b:Title>
    <b:Year>2019</b:Year>
    <b:Publisher>International Organization for Standardization</b:Publisher>
    <b:PublicationTitle>Ergonomics of Human-System Interaction </b:PublicationTitle>
    <b:Month>July</b:Month>
    <b:Edition>2</b:Edition>
    <b:ShortTitle>ISO 9241-210:2019</b:ShortTitle>
    <b:StandardNumber>ISO 9241-210:2019</b:StandardNumber>
    <b:RefOrder>38</b:RefOrder>
  </b:Source>
  <b:Source>
    <b:Tag>Gui10</b:Tag>
    <b:SourceType>Misc</b:SourceType>
    <b:Guid>{9CB6738E-92DF-4E45-88B8-E72C74F0A403}</b:Guid>
    <b:Title>Guidelines for Development of Civil Aircraft and Systems</b:Title>
    <b:Year>2010</b:Year>
    <b:Publisher>Society of Automotive Engineers (SAE) International</b:Publisher>
    <b:Month>12</b:Month>
    <b:Day>20</b:Day>
    <b:ShortTitle>SAE ARP4754A</b:ShortTitle>
    <b:StandardNumber>ARP4754A</b:StandardNumber>
    <b:DOI>https://doi.org/10.4271/ARP4754A</b:DOI>
    <b:RefOrder>39</b:RefOrder>
  </b:Source>
  <b:Source>
    <b:Tag>End17</b:Tag>
    <b:SourceType>JournalArticle</b:SourceType>
    <b:Guid>{4934D81F-7252-4588-9F5A-33B1B623CDA7}</b:Guid>
    <b:Title>From Here to Autonomy: Lessons Learned from Human–Automation Research</b:Title>
    <b:Year>2017</b:Year>
    <b:Publisher>SAGE Publishing</b:Publisher>
    <b:JournalName>Human Factors</b:JournalName>
    <b:Pages>5 - 27</b:Pages>
    <b:Volume>59</b:Volume>
    <b:Issue>1</b:Issue>
    <b:Author>
      <b:Author>
        <b:NameList>
          <b:Person>
            <b:Last>Endsley</b:Last>
            <b:Middle>R.</b:Middle>
            <b:First>M.</b:First>
          </b:Person>
        </b:NameList>
      </b:Author>
    </b:Author>
    <b:DOI>https://psycnet.apa.org/doi/10.1177/0018720816681350</b:DOI>
    <b:RefOrder>40</b:RefOrder>
  </b:Source>
  <b:Source>
    <b:Tag>Che14</b:Tag>
    <b:SourceType>Misc</b:SourceType>
    <b:Guid>{92DF4191-AC64-478A-8422-3ED5A33D124C}</b:Guid>
    <b:Title>Situation Awareness–Based Agent Transparency</b:Title>
    <b:Year>2014</b:Year>
    <b:Author>
      <b:Author>
        <b:NameList>
          <b:Person>
            <b:Last>Chen</b:Last>
            <b:Middle>Jessie</b:Middle>
            <b:First>Y. C.</b:First>
          </b:Person>
          <b:Person>
            <b:Last>Procci</b:Last>
            <b:First>Katelyn</b:First>
          </b:Person>
          <b:Person>
            <b:Last>Boyce</b:Last>
            <b:First>Michael</b:First>
          </b:Person>
          <b:Person>
            <b:Last>Wright</b:Last>
            <b:First>Julia</b:First>
          </b:Person>
          <b:Person>
            <b:Last>Garcia</b:Last>
            <b:First>Andre</b:First>
          </b:Person>
          <b:Person>
            <b:Last>Barnes</b:Last>
            <b:First>Michael</b:First>
          </b:Person>
        </b:NameList>
      </b:Author>
    </b:Author>
    <b:City>Aberdeen Proving Ground</b:City>
    <b:Publisher>U.S. Army Research Laboratory</b:Publisher>
    <b:Month>April</b:Month>
    <b:StateProvince>Maryland</b:StateProvince>
    <b:CountryRegion>USA</b:CountryRegion>
    <b:StandardNumber>ARL-TR-6905</b:StandardNumber>
    <b:RefOrder>41</b:RefOrder>
  </b:Source>
  <b:Source>
    <b:Tag>Par00</b:Tag>
    <b:SourceType>JournalArticle</b:SourceType>
    <b:Guid>{DC2B2000-1DF3-4D75-9B2E-4F64A5DF5561}</b:Guid>
    <b:Title>A Model for Types and Levels of Human Interaction with Automation</b:Title>
    <b:Year>2000</b:Year>
    <b:Publisher>IEEE Transactions on Systems, Man, and Cybernetics - Part A: Systems and Humans</b:Publisher>
    <b:Author>
      <b:Author>
        <b:NameList>
          <b:Person>
            <b:Last>Parasuraman</b:Last>
            <b:First>R.</b:First>
          </b:Person>
          <b:Person>
            <b:Last>Sheridan</b:Last>
            <b:Middle>B.</b:Middle>
            <b:First>T.</b:First>
          </b:Person>
          <b:Person>
            <b:Last>Wickens</b:Last>
            <b:Middle>D.</b:Middle>
            <b:First>C.</b:First>
          </b:Person>
        </b:NameList>
      </b:Author>
    </b:Author>
    <b:JournalName>IEEE Transactions on Systems, Man, and Cybernetics - Part A: Systems and Humans</b:JournalName>
    <b:Pages>286 - 297</b:Pages>
    <b:Volume>30</b:Volume>
    <b:Issue>3</b:Issue>
    <b:DOI>https://doi.org/10.1109/3468.844354</b:DOI>
    <b:RefOrder>42</b:RefOrder>
  </b:Source>
  <b:Source>
    <b:Tag>Aut23</b:Tag>
    <b:SourceType>Misc</b:SourceType>
    <b:Guid>{EC222624-2024-4D32-8742-D764B298875A}</b:Guid>
    <b:Title>Autonomy in Weapon Systems</b:Title>
    <b:Year>2023</b:Year>
    <b:City>Washington</b:City>
    <b:Publisher>Office of the Under Secretary of Defense for Policy</b:Publisher>
    <b:PublicationTitle>DOD DIRECTIVE 3000.09</b:PublicationTitle>
    <b:StateProvince>DC</b:StateProvince>
    <b:CountryRegion>USA</b:CountryRegion>
    <b:StandardNumber>DOD DIRECTIVE 3000.09</b:StandardNumber>
    <b:RefOrder>43</b:RefOrder>
  </b:Source>
  <b:Source>
    <b:Tag>Lee04</b:Tag>
    <b:SourceType>JournalArticle</b:SourceType>
    <b:Guid>{A200BB11-4B0C-49A9-9632-C35716B52A3B}</b:Guid>
    <b:Title>Trust in Automation: Designing for Appropriate Reliance</b:Title>
    <b:Year>2004</b:Year>
    <b:Publisher>Sage Journals</b:Publisher>
    <b:JournalName>Human Factors: The Journal of the Human Factors and Ergonomics Society</b:JournalName>
    <b:Volume>46</b:Volume>
    <b:Issue>1</b:Issue>
    <b:DOI>https://doi.org/10.1518/hfes.46.1.50_30392</b:DOI>
    <b:Author>
      <b:Author>
        <b:NameList>
          <b:Person>
            <b:Last>Lee</b:Last>
            <b:Middle>D.</b:Middle>
            <b:First>John</b:First>
          </b:Person>
          <b:Person>
            <b:Last>See</b:Last>
            <b:Middle>Katrina</b:Middle>
            <b:First>A.</b:First>
          </b:Person>
        </b:NameList>
      </b:Author>
    </b:Author>
    <b:RefOrder>44</b:RefOrder>
  </b:Source>
  <b:Source>
    <b:Tag>Ban19</b:Tag>
    <b:SourceType>ConferenceProceedings</b:SourceType>
    <b:Guid>{2569F1F9-7AD3-4257-B7C2-D1F7BF596031}</b:Guid>
    <b:Title>Beyond Accuracy: The Role of Mental Models in Human-AI Team Performance</b:Title>
    <b:Year>2019</b:Year>
    <b:Pages>2 - 11</b:Pages>
    <b:Volume>7</b:Volume>
    <b:ConferenceName>AAAI Conference on Human Computation and Crowdsourcing</b:ConferenceName>
    <b:DOI>https://doi.org/10.1609/hcomp.v7i1.5285</b:DOI>
    <b:Author>
      <b:Author>
        <b:NameList>
          <b:Person>
            <b:Last>Bansal</b:Last>
            <b:First>Gagan</b:First>
          </b:Person>
          <b:Person>
            <b:Last>Nushi</b:Last>
            <b:First>Besmira</b:First>
          </b:Person>
          <b:Person>
            <b:Last>Kamar</b:Last>
            <b:First>Ece</b:First>
          </b:Person>
          <b:Person>
            <b:Last>Lasecki</b:Last>
            <b:Middle>S.</b:Middle>
            <b:First>Walter</b:First>
          </b:Person>
          <b:Person>
            <b:Last>Weld</b:Last>
            <b:Middle>S.</b:Middle>
            <b:First>Daniel</b:First>
          </b:Person>
          <b:Person>
            <b:Last>Horvitz</b:Last>
            <b:First>Eric</b:First>
          </b:Person>
        </b:NameList>
      </b:Author>
    </b:Author>
    <b:RefOrder>45</b:RefOrder>
  </b:Source>
  <b:Source>
    <b:Tag>Dig25</b:Tag>
    <b:SourceType>Misc</b:SourceType>
    <b:Guid>{95BABC11-D9AA-4DBA-9056-94813BAA5A74}</b:Guid>
    <b:Title>Digital Engineering Workforce Development: Challenges, Best Practices, and Recommendations</b:Title>
    <b:Year>2025</b:Year>
    <b:City>Reston</b:City>
    <b:Publisher>American Institute for Avionics and Astronautics</b:Publisher>
    <b:URL>https://aiaa.org/resources/digital-engineering-workforce-development-white-paper</b:URL>
    <b:Month>May</b:Month>
    <b:StateProvince>Virginia</b:StateProvince>
    <b:CountryRegion>USA</b:CountryRegion>
    <b:RefOrder>37</b:RefOrder>
  </b:Source>
</b:Sources>
</file>

<file path=customXml/itemProps1.xml><?xml version="1.0" encoding="utf-8"?>
<ds:datastoreItem xmlns:ds="http://schemas.openxmlformats.org/officeDocument/2006/customXml" ds:itemID="{BE676B82-234C-48F9-AF47-8FC173F13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35</Pages>
  <Words>16787</Words>
  <Characters>95689</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Ram</dc:creator>
  <cp:keywords/>
  <dc:description/>
  <cp:lastModifiedBy>Abhishek Ram</cp:lastModifiedBy>
  <cp:revision>125</cp:revision>
  <dcterms:created xsi:type="dcterms:W3CDTF">2026-07-01T13:49:00Z</dcterms:created>
  <dcterms:modified xsi:type="dcterms:W3CDTF">2026-07-29T16:53:00Z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16856c43-d4fb-4e93-9530-698292a82450</vt:lpwstr>
  </property>
</Properties>
</file>