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94B2C" w14:textId="3B58E2C3" w:rsidR="00EB4E17" w:rsidRPr="002F4612" w:rsidRDefault="00EB4E17">
      <w:pPr>
        <w:spacing w:after="0" w:line="360" w:lineRule="auto"/>
        <w:rPr>
          <w:sz w:val="28"/>
          <w:szCs w:val="28"/>
        </w:rPr>
      </w:pPr>
    </w:p>
    <w:p w14:paraId="2815B8EB" w14:textId="49B2EB12" w:rsidR="00EB4E17" w:rsidRPr="002F4612" w:rsidRDefault="002F4612">
      <w:pPr>
        <w:spacing w:before="157" w:after="157" w:line="270" w:lineRule="auto"/>
        <w:rPr>
          <w:sz w:val="28"/>
          <w:szCs w:val="28"/>
        </w:rPr>
      </w:pPr>
      <w:r>
        <w:rPr>
          <w:rFonts w:ascii="inter" w:eastAsia="inter" w:hAnsi="inter" w:cs="inter"/>
          <w:b/>
          <w:color w:val="000000"/>
          <w:sz w:val="28"/>
          <w:szCs w:val="28"/>
        </w:rPr>
        <w:t xml:space="preserve">             </w:t>
      </w:r>
      <w:r w:rsidR="00000000" w:rsidRPr="002F4612">
        <w:rPr>
          <w:rFonts w:ascii="inter" w:eastAsia="inter" w:hAnsi="inter" w:cs="inter"/>
          <w:b/>
          <w:color w:val="000000"/>
          <w:sz w:val="28"/>
          <w:szCs w:val="28"/>
        </w:rPr>
        <w:t>Role of digital engineering - AI insights vs human expectations</w:t>
      </w:r>
    </w:p>
    <w:p w14:paraId="6463D25B" w14:textId="77777777" w:rsidR="00EB4E17" w:rsidRPr="002F4612" w:rsidRDefault="00000000">
      <w:pPr>
        <w:spacing w:after="210" w:line="360" w:lineRule="auto"/>
        <w:rPr>
          <w:sz w:val="28"/>
          <w:szCs w:val="28"/>
        </w:rPr>
      </w:pPr>
      <w:r w:rsidRPr="002F4612">
        <w:rPr>
          <w:rFonts w:ascii="inter" w:eastAsia="inter" w:hAnsi="inter" w:cs="inter"/>
          <w:color w:val="000000"/>
          <w:sz w:val="28"/>
          <w:szCs w:val="28"/>
        </w:rPr>
        <w:t>Digital engineering represents a major shift from traditional engineering by embedding advanced digital technologies—such as AI, data analytics, simulation models, and digital twins—into every stage of the engineering process. This transformation has important implications for the relationship between AI-driven insights and human expectations in engineering projects.</w:t>
      </w:r>
    </w:p>
    <w:p w14:paraId="6489D5BB" w14:textId="77777777" w:rsidR="00EB4E17" w:rsidRPr="002F4612" w:rsidRDefault="00000000">
      <w:pPr>
        <w:spacing w:before="315" w:after="105" w:line="360" w:lineRule="auto"/>
        <w:ind w:left="-30"/>
        <w:rPr>
          <w:sz w:val="28"/>
          <w:szCs w:val="28"/>
        </w:rPr>
      </w:pPr>
      <w:r w:rsidRPr="002F4612">
        <w:rPr>
          <w:rFonts w:ascii="inter" w:eastAsia="inter" w:hAnsi="inter" w:cs="inter"/>
          <w:b/>
          <w:color w:val="000000"/>
          <w:sz w:val="28"/>
          <w:szCs w:val="28"/>
        </w:rPr>
        <w:t>The Role of Digital Engineering</w:t>
      </w:r>
    </w:p>
    <w:p w14:paraId="16D95D9F" w14:textId="77777777" w:rsidR="00EB4E17" w:rsidRPr="002F4612" w:rsidRDefault="00000000">
      <w:pPr>
        <w:numPr>
          <w:ilvl w:val="0"/>
          <w:numId w:val="1"/>
        </w:numPr>
        <w:spacing w:before="105" w:after="105" w:line="360" w:lineRule="auto"/>
        <w:rPr>
          <w:sz w:val="28"/>
          <w:szCs w:val="28"/>
        </w:rPr>
      </w:pPr>
      <w:r w:rsidRPr="002F4612">
        <w:rPr>
          <w:rFonts w:ascii="inter" w:eastAsia="inter" w:hAnsi="inter" w:cs="inter"/>
          <w:b/>
          <w:color w:val="000000"/>
          <w:sz w:val="28"/>
          <w:szCs w:val="28"/>
        </w:rPr>
        <w:t>Data-Driven Decision-Making</w:t>
      </w:r>
      <w:r w:rsidRPr="002F4612">
        <w:rPr>
          <w:rFonts w:ascii="inter" w:eastAsia="inter" w:hAnsi="inter" w:cs="inter"/>
          <w:color w:val="000000"/>
          <w:sz w:val="28"/>
          <w:szCs w:val="28"/>
        </w:rPr>
        <w:t>: Digital engineering enables real-time analysis and simulation of designs before they are physically built. AI-powered models can rapidly process massive data sets, identify optimal solutions, and predict potential issues much earlier than traditional manual methods would allow. This leads to more informed, evidence-based decisions throughout the engineering lifecycle.</w:t>
      </w:r>
      <w:bookmarkStart w:id="0" w:name="fnref1"/>
      <w:bookmarkEnd w:id="0"/>
      <w:r w:rsidRPr="002F4612">
        <w:rPr>
          <w:sz w:val="28"/>
          <w:szCs w:val="28"/>
        </w:rPr>
        <w:fldChar w:fldCharType="begin"/>
      </w:r>
      <w:r w:rsidRPr="002F4612">
        <w:rPr>
          <w:sz w:val="28"/>
          <w:szCs w:val="28"/>
        </w:rPr>
        <w:instrText>HYPERLINK \l "fn1" \h</w:instrText>
      </w:r>
      <w:r w:rsidRPr="002F4612">
        <w:rPr>
          <w:sz w:val="28"/>
          <w:szCs w:val="28"/>
        </w:rPr>
      </w:r>
      <w:r w:rsidRPr="002F4612">
        <w:rPr>
          <w:sz w:val="28"/>
          <w:szCs w:val="28"/>
        </w:rPr>
        <w:fldChar w:fldCharType="separate"/>
      </w:r>
      <w:r w:rsidRPr="002F4612">
        <w:rPr>
          <w:rFonts w:ascii="inter" w:eastAsia="inter" w:hAnsi="inter" w:cs="inter"/>
          <w:sz w:val="28"/>
          <w:szCs w:val="28"/>
          <w:u w:val="single"/>
          <w:vertAlign w:val="superscript"/>
        </w:rPr>
        <w:t>[1]</w:t>
      </w:r>
      <w:r w:rsidRPr="002F4612">
        <w:rPr>
          <w:sz w:val="28"/>
          <w:szCs w:val="28"/>
        </w:rPr>
        <w:fldChar w:fldCharType="end"/>
      </w:r>
      <w:bookmarkStart w:id="1" w:name="fnref2"/>
      <w:bookmarkEnd w:id="1"/>
      <w:r w:rsidRPr="002F4612">
        <w:rPr>
          <w:sz w:val="28"/>
          <w:szCs w:val="28"/>
        </w:rPr>
        <w:fldChar w:fldCharType="begin"/>
      </w:r>
      <w:r w:rsidRPr="002F4612">
        <w:rPr>
          <w:sz w:val="28"/>
          <w:szCs w:val="28"/>
        </w:rPr>
        <w:instrText>HYPERLINK \l "fn2" \h</w:instrText>
      </w:r>
      <w:r w:rsidRPr="002F4612">
        <w:rPr>
          <w:sz w:val="28"/>
          <w:szCs w:val="28"/>
        </w:rPr>
      </w:r>
      <w:r w:rsidRPr="002F4612">
        <w:rPr>
          <w:sz w:val="28"/>
          <w:szCs w:val="28"/>
        </w:rPr>
        <w:fldChar w:fldCharType="separate"/>
      </w:r>
      <w:r w:rsidRPr="002F4612">
        <w:rPr>
          <w:rFonts w:ascii="inter" w:eastAsia="inter" w:hAnsi="inter" w:cs="inter"/>
          <w:sz w:val="28"/>
          <w:szCs w:val="28"/>
          <w:u w:val="single"/>
          <w:vertAlign w:val="superscript"/>
        </w:rPr>
        <w:t>[2]</w:t>
      </w:r>
      <w:r w:rsidRPr="002F4612">
        <w:rPr>
          <w:sz w:val="28"/>
          <w:szCs w:val="28"/>
        </w:rPr>
        <w:fldChar w:fldCharType="end"/>
      </w:r>
    </w:p>
    <w:p w14:paraId="2BE96BD0" w14:textId="6F428BEB" w:rsidR="00EB4E17" w:rsidRPr="002F4612" w:rsidRDefault="00000000">
      <w:pPr>
        <w:numPr>
          <w:ilvl w:val="0"/>
          <w:numId w:val="1"/>
        </w:numPr>
        <w:spacing w:before="105" w:after="105" w:line="360" w:lineRule="auto"/>
        <w:rPr>
          <w:sz w:val="28"/>
          <w:szCs w:val="28"/>
        </w:rPr>
      </w:pPr>
      <w:r w:rsidRPr="002F4612">
        <w:rPr>
          <w:rFonts w:ascii="inter" w:eastAsia="inter" w:hAnsi="inter" w:cs="inter"/>
          <w:b/>
          <w:color w:val="000000"/>
          <w:sz w:val="28"/>
          <w:szCs w:val="28"/>
        </w:rPr>
        <w:t>Continuous Innovation and Risk Mitigation</w:t>
      </w:r>
      <w:r w:rsidRPr="002F4612">
        <w:rPr>
          <w:rFonts w:ascii="inter" w:eastAsia="inter" w:hAnsi="inter" w:cs="inter"/>
          <w:color w:val="000000"/>
          <w:sz w:val="28"/>
          <w:szCs w:val="28"/>
        </w:rPr>
        <w:t xml:space="preserve">: By modeling entire systems virtually, teams gain insight into complex interactions. AI can uncover </w:t>
      </w:r>
      <w:r w:rsidR="002F4612" w:rsidRPr="002F4612">
        <w:rPr>
          <w:rFonts w:ascii="inter" w:eastAsia="inter" w:hAnsi="inter" w:cs="inter"/>
          <w:color w:val="000000"/>
          <w:sz w:val="28"/>
          <w:szCs w:val="28"/>
        </w:rPr>
        <w:t>patterns,</w:t>
      </w:r>
      <w:r w:rsidRPr="002F4612">
        <w:rPr>
          <w:rFonts w:ascii="inter" w:eastAsia="inter" w:hAnsi="inter" w:cs="inter"/>
          <w:color w:val="000000"/>
          <w:sz w:val="28"/>
          <w:szCs w:val="28"/>
        </w:rPr>
        <w:t xml:space="preserve"> and outlier risks that humans might overlook, facilitating proactive mitigation and enabling faster innovation.</w:t>
      </w:r>
      <w:bookmarkStart w:id="2" w:name="fnref2:1"/>
      <w:bookmarkEnd w:id="2"/>
      <w:r w:rsidRPr="002F4612">
        <w:rPr>
          <w:sz w:val="28"/>
          <w:szCs w:val="28"/>
        </w:rPr>
        <w:fldChar w:fldCharType="begin"/>
      </w:r>
      <w:r w:rsidRPr="002F4612">
        <w:rPr>
          <w:sz w:val="28"/>
          <w:szCs w:val="28"/>
        </w:rPr>
        <w:instrText>HYPERLINK \l "fn2" \h</w:instrText>
      </w:r>
      <w:r w:rsidRPr="002F4612">
        <w:rPr>
          <w:sz w:val="28"/>
          <w:szCs w:val="28"/>
        </w:rPr>
      </w:r>
      <w:r w:rsidRPr="002F4612">
        <w:rPr>
          <w:sz w:val="28"/>
          <w:szCs w:val="28"/>
        </w:rPr>
        <w:fldChar w:fldCharType="separate"/>
      </w:r>
      <w:r w:rsidRPr="002F4612">
        <w:rPr>
          <w:rFonts w:ascii="inter" w:eastAsia="inter" w:hAnsi="inter" w:cs="inter"/>
          <w:sz w:val="28"/>
          <w:szCs w:val="28"/>
          <w:u w:val="single"/>
          <w:vertAlign w:val="superscript"/>
        </w:rPr>
        <w:t>[2]</w:t>
      </w:r>
      <w:r w:rsidRPr="002F4612">
        <w:rPr>
          <w:sz w:val="28"/>
          <w:szCs w:val="28"/>
        </w:rPr>
        <w:fldChar w:fldCharType="end"/>
      </w:r>
      <w:bookmarkStart w:id="3" w:name="fnref3"/>
      <w:bookmarkEnd w:id="3"/>
      <w:r w:rsidRPr="002F4612">
        <w:rPr>
          <w:sz w:val="28"/>
          <w:szCs w:val="28"/>
        </w:rPr>
        <w:fldChar w:fldCharType="begin"/>
      </w:r>
      <w:r w:rsidRPr="002F4612">
        <w:rPr>
          <w:sz w:val="28"/>
          <w:szCs w:val="28"/>
        </w:rPr>
        <w:instrText>HYPERLINK \l "fn3" \h</w:instrText>
      </w:r>
      <w:r w:rsidRPr="002F4612">
        <w:rPr>
          <w:sz w:val="28"/>
          <w:szCs w:val="28"/>
        </w:rPr>
      </w:r>
      <w:r w:rsidRPr="002F4612">
        <w:rPr>
          <w:sz w:val="28"/>
          <w:szCs w:val="28"/>
        </w:rPr>
        <w:fldChar w:fldCharType="separate"/>
      </w:r>
      <w:r w:rsidRPr="002F4612">
        <w:rPr>
          <w:rFonts w:ascii="inter" w:eastAsia="inter" w:hAnsi="inter" w:cs="inter"/>
          <w:sz w:val="28"/>
          <w:szCs w:val="28"/>
          <w:u w:val="single"/>
          <w:vertAlign w:val="superscript"/>
        </w:rPr>
        <w:t>[3]</w:t>
      </w:r>
      <w:r w:rsidRPr="002F4612">
        <w:rPr>
          <w:sz w:val="28"/>
          <w:szCs w:val="28"/>
        </w:rPr>
        <w:fldChar w:fldCharType="end"/>
      </w:r>
    </w:p>
    <w:p w14:paraId="34D9D63E" w14:textId="77777777" w:rsidR="00EB4E17" w:rsidRPr="002F4612" w:rsidRDefault="00000000">
      <w:pPr>
        <w:numPr>
          <w:ilvl w:val="0"/>
          <w:numId w:val="1"/>
        </w:numPr>
        <w:spacing w:before="105" w:after="105" w:line="360" w:lineRule="auto"/>
        <w:rPr>
          <w:sz w:val="28"/>
          <w:szCs w:val="28"/>
        </w:rPr>
      </w:pPr>
      <w:r w:rsidRPr="002F4612">
        <w:rPr>
          <w:rFonts w:ascii="inter" w:eastAsia="inter" w:hAnsi="inter" w:cs="inter"/>
          <w:b/>
          <w:color w:val="000000"/>
          <w:sz w:val="28"/>
          <w:szCs w:val="28"/>
        </w:rPr>
        <w:t>Efficiency, Speed, and Cost Savings</w:t>
      </w:r>
      <w:r w:rsidRPr="002F4612">
        <w:rPr>
          <w:rFonts w:ascii="inter" w:eastAsia="inter" w:hAnsi="inter" w:cs="inter"/>
          <w:color w:val="000000"/>
          <w:sz w:val="28"/>
          <w:szCs w:val="28"/>
        </w:rPr>
        <w:t>: Automated processes, AI-driven optimizations, and virtual testing reduce the need for costly physical prototypes and lengthy manual adjustments. Collaboration is enhanced because all stakeholders work with centralized, up-to-date models, streamlining workflows and minimizing rework.</w:t>
      </w:r>
      <w:bookmarkStart w:id="4" w:name="fnref3:1"/>
      <w:bookmarkEnd w:id="4"/>
      <w:r w:rsidRPr="002F4612">
        <w:rPr>
          <w:sz w:val="28"/>
          <w:szCs w:val="28"/>
        </w:rPr>
        <w:fldChar w:fldCharType="begin"/>
      </w:r>
      <w:r w:rsidRPr="002F4612">
        <w:rPr>
          <w:sz w:val="28"/>
          <w:szCs w:val="28"/>
        </w:rPr>
        <w:instrText>HYPERLINK \l "fn3" \h</w:instrText>
      </w:r>
      <w:r w:rsidRPr="002F4612">
        <w:rPr>
          <w:sz w:val="28"/>
          <w:szCs w:val="28"/>
        </w:rPr>
      </w:r>
      <w:r w:rsidRPr="002F4612">
        <w:rPr>
          <w:sz w:val="28"/>
          <w:szCs w:val="28"/>
        </w:rPr>
        <w:fldChar w:fldCharType="separate"/>
      </w:r>
      <w:r w:rsidRPr="002F4612">
        <w:rPr>
          <w:rFonts w:ascii="inter" w:eastAsia="inter" w:hAnsi="inter" w:cs="inter"/>
          <w:sz w:val="28"/>
          <w:szCs w:val="28"/>
          <w:u w:val="single"/>
          <w:vertAlign w:val="superscript"/>
        </w:rPr>
        <w:t>[3]</w:t>
      </w:r>
      <w:r w:rsidRPr="002F4612">
        <w:rPr>
          <w:sz w:val="28"/>
          <w:szCs w:val="28"/>
        </w:rPr>
        <w:fldChar w:fldCharType="end"/>
      </w:r>
      <w:bookmarkStart w:id="5" w:name="fnref1:1"/>
      <w:bookmarkEnd w:id="5"/>
      <w:r w:rsidRPr="002F4612">
        <w:rPr>
          <w:sz w:val="28"/>
          <w:szCs w:val="28"/>
        </w:rPr>
        <w:fldChar w:fldCharType="begin"/>
      </w:r>
      <w:r w:rsidRPr="002F4612">
        <w:rPr>
          <w:sz w:val="28"/>
          <w:szCs w:val="28"/>
        </w:rPr>
        <w:instrText>HYPERLINK \l "fn1" \h</w:instrText>
      </w:r>
      <w:r w:rsidRPr="002F4612">
        <w:rPr>
          <w:sz w:val="28"/>
          <w:szCs w:val="28"/>
        </w:rPr>
      </w:r>
      <w:r w:rsidRPr="002F4612">
        <w:rPr>
          <w:sz w:val="28"/>
          <w:szCs w:val="28"/>
        </w:rPr>
        <w:fldChar w:fldCharType="separate"/>
      </w:r>
      <w:r w:rsidRPr="002F4612">
        <w:rPr>
          <w:rFonts w:ascii="inter" w:eastAsia="inter" w:hAnsi="inter" w:cs="inter"/>
          <w:sz w:val="28"/>
          <w:szCs w:val="28"/>
          <w:u w:val="single"/>
          <w:vertAlign w:val="superscript"/>
        </w:rPr>
        <w:t>[1]</w:t>
      </w:r>
      <w:r w:rsidRPr="002F4612">
        <w:rPr>
          <w:sz w:val="28"/>
          <w:szCs w:val="28"/>
        </w:rPr>
        <w:fldChar w:fldCharType="end"/>
      </w:r>
      <w:bookmarkStart w:id="6" w:name="fnref2:2"/>
      <w:bookmarkEnd w:id="6"/>
      <w:r w:rsidRPr="002F4612">
        <w:rPr>
          <w:sz w:val="28"/>
          <w:szCs w:val="28"/>
        </w:rPr>
        <w:fldChar w:fldCharType="begin"/>
      </w:r>
      <w:r w:rsidRPr="002F4612">
        <w:rPr>
          <w:sz w:val="28"/>
          <w:szCs w:val="28"/>
        </w:rPr>
        <w:instrText>HYPERLINK \l "fn2" \h</w:instrText>
      </w:r>
      <w:r w:rsidRPr="002F4612">
        <w:rPr>
          <w:sz w:val="28"/>
          <w:szCs w:val="28"/>
        </w:rPr>
      </w:r>
      <w:r w:rsidRPr="002F4612">
        <w:rPr>
          <w:sz w:val="28"/>
          <w:szCs w:val="28"/>
        </w:rPr>
        <w:fldChar w:fldCharType="separate"/>
      </w:r>
      <w:r w:rsidRPr="002F4612">
        <w:rPr>
          <w:rFonts w:ascii="inter" w:eastAsia="inter" w:hAnsi="inter" w:cs="inter"/>
          <w:sz w:val="28"/>
          <w:szCs w:val="28"/>
          <w:u w:val="single"/>
          <w:vertAlign w:val="superscript"/>
        </w:rPr>
        <w:t>[2]</w:t>
      </w:r>
      <w:r w:rsidRPr="002F4612">
        <w:rPr>
          <w:sz w:val="28"/>
          <w:szCs w:val="28"/>
        </w:rPr>
        <w:fldChar w:fldCharType="end"/>
      </w:r>
    </w:p>
    <w:p w14:paraId="23FCCD89" w14:textId="77777777" w:rsidR="00EB4E17" w:rsidRPr="002F4612" w:rsidRDefault="00000000">
      <w:pPr>
        <w:numPr>
          <w:ilvl w:val="0"/>
          <w:numId w:val="1"/>
        </w:numPr>
        <w:spacing w:before="105" w:after="105" w:line="360" w:lineRule="auto"/>
        <w:rPr>
          <w:sz w:val="28"/>
          <w:szCs w:val="28"/>
        </w:rPr>
      </w:pPr>
      <w:r w:rsidRPr="002F4612">
        <w:rPr>
          <w:rFonts w:ascii="inter" w:eastAsia="inter" w:hAnsi="inter" w:cs="inter"/>
          <w:b/>
          <w:color w:val="000000"/>
          <w:sz w:val="28"/>
          <w:szCs w:val="28"/>
        </w:rPr>
        <w:lastRenderedPageBreak/>
        <w:t>Unified Collaboration via Digital Threads</w:t>
      </w:r>
      <w:r w:rsidRPr="002F4612">
        <w:rPr>
          <w:rFonts w:ascii="inter" w:eastAsia="inter" w:hAnsi="inter" w:cs="inter"/>
          <w:color w:val="000000"/>
          <w:sz w:val="28"/>
          <w:szCs w:val="28"/>
        </w:rPr>
        <w:t>: Digital engineering connects all phases—design, testing, manufacturing, operation—through digital “threads” that unify data, support traceability, and enable interdisciplinary teams to act on AI-generated insights in real time.</w:t>
      </w:r>
      <w:bookmarkStart w:id="7" w:name="fnref2:3"/>
      <w:bookmarkEnd w:id="7"/>
      <w:r w:rsidRPr="002F4612">
        <w:rPr>
          <w:sz w:val="28"/>
          <w:szCs w:val="28"/>
        </w:rPr>
        <w:fldChar w:fldCharType="begin"/>
      </w:r>
      <w:r w:rsidRPr="002F4612">
        <w:rPr>
          <w:sz w:val="28"/>
          <w:szCs w:val="28"/>
        </w:rPr>
        <w:instrText>HYPERLINK \l "fn2" \h</w:instrText>
      </w:r>
      <w:r w:rsidRPr="002F4612">
        <w:rPr>
          <w:sz w:val="28"/>
          <w:szCs w:val="28"/>
        </w:rPr>
      </w:r>
      <w:r w:rsidRPr="002F4612">
        <w:rPr>
          <w:sz w:val="28"/>
          <w:szCs w:val="28"/>
        </w:rPr>
        <w:fldChar w:fldCharType="separate"/>
      </w:r>
      <w:r w:rsidRPr="002F4612">
        <w:rPr>
          <w:rFonts w:ascii="inter" w:eastAsia="inter" w:hAnsi="inter" w:cs="inter"/>
          <w:sz w:val="28"/>
          <w:szCs w:val="28"/>
          <w:u w:val="single"/>
          <w:vertAlign w:val="superscript"/>
        </w:rPr>
        <w:t>[2]</w:t>
      </w:r>
      <w:r w:rsidRPr="002F4612">
        <w:rPr>
          <w:sz w:val="28"/>
          <w:szCs w:val="28"/>
        </w:rPr>
        <w:fldChar w:fldCharType="end"/>
      </w:r>
    </w:p>
    <w:p w14:paraId="3465BF69" w14:textId="77777777" w:rsidR="00EB4E17" w:rsidRPr="002F4612" w:rsidRDefault="00000000">
      <w:pPr>
        <w:spacing w:before="315" w:after="105" w:line="360" w:lineRule="auto"/>
        <w:ind w:left="-30"/>
        <w:rPr>
          <w:sz w:val="28"/>
          <w:szCs w:val="28"/>
        </w:rPr>
      </w:pPr>
      <w:r w:rsidRPr="002F4612">
        <w:rPr>
          <w:rFonts w:ascii="inter" w:eastAsia="inter" w:hAnsi="inter" w:cs="inter"/>
          <w:b/>
          <w:color w:val="000000"/>
          <w:sz w:val="28"/>
          <w:szCs w:val="28"/>
        </w:rPr>
        <w:t>AI Insights vs. Human Expectations</w:t>
      </w:r>
    </w:p>
    <w:p w14:paraId="3E6CF34A" w14:textId="77777777" w:rsidR="00EB4E17" w:rsidRPr="002F4612" w:rsidRDefault="00000000">
      <w:pPr>
        <w:spacing w:before="315" w:after="105" w:line="360" w:lineRule="auto"/>
        <w:ind w:left="-30"/>
        <w:rPr>
          <w:sz w:val="28"/>
          <w:szCs w:val="28"/>
        </w:rPr>
      </w:pPr>
      <w:r w:rsidRPr="002F4612">
        <w:rPr>
          <w:rFonts w:ascii="inter" w:eastAsia="inter" w:hAnsi="inter" w:cs="inter"/>
          <w:b/>
          <w:color w:val="000000"/>
          <w:sz w:val="28"/>
          <w:szCs w:val="28"/>
        </w:rPr>
        <w:t>AI Insights</w:t>
      </w:r>
    </w:p>
    <w:p w14:paraId="74BE370B" w14:textId="77777777" w:rsidR="00EB4E17" w:rsidRPr="002F4612" w:rsidRDefault="00000000">
      <w:pPr>
        <w:numPr>
          <w:ilvl w:val="0"/>
          <w:numId w:val="2"/>
        </w:numPr>
        <w:spacing w:before="105" w:after="105" w:line="360" w:lineRule="auto"/>
        <w:rPr>
          <w:sz w:val="28"/>
          <w:szCs w:val="28"/>
        </w:rPr>
      </w:pPr>
      <w:r w:rsidRPr="002F4612">
        <w:rPr>
          <w:rFonts w:ascii="inter" w:eastAsia="inter" w:hAnsi="inter" w:cs="inter"/>
          <w:color w:val="000000"/>
          <w:sz w:val="28"/>
          <w:szCs w:val="28"/>
        </w:rPr>
        <w:t>AI excels at pattern recognition, anomaly detection, rapid simulation, and optimization within vast, complex datasets. It offers predictive insights, scenario analysis, and automated design suggestions.</w:t>
      </w:r>
    </w:p>
    <w:p w14:paraId="4052A70B" w14:textId="77777777" w:rsidR="00EB4E17" w:rsidRPr="002F4612" w:rsidRDefault="00000000">
      <w:pPr>
        <w:numPr>
          <w:ilvl w:val="0"/>
          <w:numId w:val="2"/>
        </w:numPr>
        <w:spacing w:before="105" w:after="105" w:line="360" w:lineRule="auto"/>
        <w:rPr>
          <w:sz w:val="28"/>
          <w:szCs w:val="28"/>
        </w:rPr>
      </w:pPr>
      <w:r w:rsidRPr="002F4612">
        <w:rPr>
          <w:rFonts w:ascii="inter" w:eastAsia="inter" w:hAnsi="inter" w:cs="inter"/>
          <w:color w:val="000000"/>
          <w:sz w:val="28"/>
          <w:szCs w:val="28"/>
        </w:rPr>
        <w:t>AI can reveal unexpected vulnerabilities or optimization opportunities, supporting adaptive design and rapid iteration.</w:t>
      </w:r>
    </w:p>
    <w:p w14:paraId="3DDF2930" w14:textId="38BA258B" w:rsidR="00EB4E17" w:rsidRPr="002F4612" w:rsidRDefault="00000000">
      <w:pPr>
        <w:numPr>
          <w:ilvl w:val="0"/>
          <w:numId w:val="2"/>
        </w:numPr>
        <w:spacing w:before="105" w:after="105" w:line="360" w:lineRule="auto"/>
        <w:rPr>
          <w:sz w:val="28"/>
          <w:szCs w:val="28"/>
        </w:rPr>
      </w:pPr>
      <w:r w:rsidRPr="002F4612">
        <w:rPr>
          <w:rFonts w:ascii="inter" w:eastAsia="inter" w:hAnsi="inter" w:cs="inter"/>
          <w:color w:val="000000"/>
          <w:sz w:val="28"/>
          <w:szCs w:val="28"/>
        </w:rPr>
        <w:t xml:space="preserve">ML tools automate schema matching, error detection, and even adaptive aggregation, making integration and decision-making more robust and less </w:t>
      </w:r>
      <w:r w:rsidR="002F4612" w:rsidRPr="002F4612">
        <w:rPr>
          <w:rFonts w:ascii="inter" w:eastAsia="inter" w:hAnsi="inter" w:cs="inter"/>
          <w:color w:val="000000"/>
          <w:sz w:val="28"/>
          <w:szCs w:val="28"/>
        </w:rPr>
        <w:t>error prone</w:t>
      </w:r>
      <w:r w:rsidRPr="002F4612">
        <w:rPr>
          <w:rFonts w:ascii="inter" w:eastAsia="inter" w:hAnsi="inter" w:cs="inter"/>
          <w:color w:val="000000"/>
          <w:sz w:val="28"/>
          <w:szCs w:val="28"/>
        </w:rPr>
        <w:t>.</w:t>
      </w:r>
    </w:p>
    <w:p w14:paraId="353BE843" w14:textId="77777777" w:rsidR="00EB4E17" w:rsidRPr="002F4612" w:rsidRDefault="00000000">
      <w:pPr>
        <w:spacing w:before="315" w:after="105" w:line="360" w:lineRule="auto"/>
        <w:ind w:left="-30"/>
        <w:rPr>
          <w:sz w:val="28"/>
          <w:szCs w:val="28"/>
        </w:rPr>
      </w:pPr>
      <w:r w:rsidRPr="002F4612">
        <w:rPr>
          <w:rFonts w:ascii="inter" w:eastAsia="inter" w:hAnsi="inter" w:cs="inter"/>
          <w:b/>
          <w:color w:val="000000"/>
          <w:sz w:val="28"/>
          <w:szCs w:val="28"/>
        </w:rPr>
        <w:t>Human Expectations</w:t>
      </w:r>
    </w:p>
    <w:p w14:paraId="564A134D" w14:textId="77777777" w:rsidR="00EB4E17" w:rsidRPr="002F4612" w:rsidRDefault="00000000">
      <w:pPr>
        <w:numPr>
          <w:ilvl w:val="0"/>
          <w:numId w:val="3"/>
        </w:numPr>
        <w:spacing w:before="105" w:after="105" w:line="360" w:lineRule="auto"/>
        <w:rPr>
          <w:sz w:val="28"/>
          <w:szCs w:val="28"/>
        </w:rPr>
      </w:pPr>
      <w:r w:rsidRPr="002F4612">
        <w:rPr>
          <w:rFonts w:ascii="inter" w:eastAsia="inter" w:hAnsi="inter" w:cs="inter"/>
          <w:color w:val="000000"/>
          <w:sz w:val="28"/>
          <w:szCs w:val="28"/>
        </w:rPr>
        <w:t xml:space="preserve">Humans often expect engineering results to align with intuition, </w:t>
      </w:r>
      <w:proofErr w:type="gramStart"/>
      <w:r w:rsidRPr="002F4612">
        <w:rPr>
          <w:rFonts w:ascii="inter" w:eastAsia="inter" w:hAnsi="inter" w:cs="inter"/>
          <w:color w:val="000000"/>
          <w:sz w:val="28"/>
          <w:szCs w:val="28"/>
        </w:rPr>
        <w:t>past experience</w:t>
      </w:r>
      <w:proofErr w:type="gramEnd"/>
      <w:r w:rsidRPr="002F4612">
        <w:rPr>
          <w:rFonts w:ascii="inter" w:eastAsia="inter" w:hAnsi="inter" w:cs="inter"/>
          <w:color w:val="000000"/>
          <w:sz w:val="28"/>
          <w:szCs w:val="28"/>
        </w:rPr>
        <w:t>, or incremental improvements relative to established norms.</w:t>
      </w:r>
    </w:p>
    <w:p w14:paraId="72D35D51" w14:textId="77777777" w:rsidR="00EB4E17" w:rsidRPr="002F4612" w:rsidRDefault="00000000">
      <w:pPr>
        <w:numPr>
          <w:ilvl w:val="0"/>
          <w:numId w:val="3"/>
        </w:numPr>
        <w:spacing w:before="105" w:after="105" w:line="360" w:lineRule="auto"/>
        <w:rPr>
          <w:sz w:val="28"/>
          <w:szCs w:val="28"/>
        </w:rPr>
      </w:pPr>
      <w:r w:rsidRPr="002F4612">
        <w:rPr>
          <w:rFonts w:ascii="inter" w:eastAsia="inter" w:hAnsi="inter" w:cs="inter"/>
          <w:color w:val="000000"/>
          <w:sz w:val="28"/>
          <w:szCs w:val="28"/>
        </w:rPr>
        <w:t>Human decision-makers can misinterpret AI-derived “unexpected” recommendations or optimizations as counterintuitive or risky, especially if transparency is lacking.</w:t>
      </w:r>
    </w:p>
    <w:p w14:paraId="31AFDF4B" w14:textId="77777777" w:rsidR="00EB4E17" w:rsidRPr="002F4612" w:rsidRDefault="00000000">
      <w:pPr>
        <w:numPr>
          <w:ilvl w:val="0"/>
          <w:numId w:val="3"/>
        </w:numPr>
        <w:spacing w:before="105" w:after="105" w:line="360" w:lineRule="auto"/>
        <w:rPr>
          <w:sz w:val="28"/>
          <w:szCs w:val="28"/>
        </w:rPr>
      </w:pPr>
      <w:r w:rsidRPr="002F4612">
        <w:rPr>
          <w:rFonts w:ascii="inter" w:eastAsia="inter" w:hAnsi="inter" w:cs="inter"/>
          <w:color w:val="000000"/>
          <w:sz w:val="28"/>
          <w:szCs w:val="28"/>
        </w:rPr>
        <w:t>Trust and understanding must be cultivated—effective collaboration relies on engineers being able to interpret, challenge, and validate AI insights with their practical knowledge and ethical judgment.</w:t>
      </w:r>
    </w:p>
    <w:p w14:paraId="43160541" w14:textId="77777777" w:rsidR="00EB4E17" w:rsidRPr="002F4612" w:rsidRDefault="00000000">
      <w:pPr>
        <w:spacing w:before="315" w:after="105" w:line="360" w:lineRule="auto"/>
        <w:ind w:left="-30"/>
        <w:rPr>
          <w:sz w:val="28"/>
          <w:szCs w:val="28"/>
        </w:rPr>
      </w:pPr>
      <w:r w:rsidRPr="002F4612">
        <w:rPr>
          <w:rFonts w:ascii="inter" w:eastAsia="inter" w:hAnsi="inter" w:cs="inter"/>
          <w:b/>
          <w:color w:val="000000"/>
          <w:sz w:val="28"/>
          <w:szCs w:val="28"/>
        </w:rPr>
        <w:lastRenderedPageBreak/>
        <w:t>Bridging the Gap</w:t>
      </w:r>
    </w:p>
    <w:p w14:paraId="3ED4739E" w14:textId="77777777" w:rsidR="00EB4E17" w:rsidRPr="002F4612" w:rsidRDefault="00000000">
      <w:pPr>
        <w:numPr>
          <w:ilvl w:val="0"/>
          <w:numId w:val="4"/>
        </w:numPr>
        <w:spacing w:before="105" w:after="105" w:line="360" w:lineRule="auto"/>
        <w:rPr>
          <w:sz w:val="28"/>
          <w:szCs w:val="28"/>
        </w:rPr>
      </w:pPr>
      <w:r w:rsidRPr="002F4612">
        <w:rPr>
          <w:rFonts w:ascii="inter" w:eastAsia="inter" w:hAnsi="inter" w:cs="inter"/>
          <w:b/>
          <w:color w:val="000000"/>
          <w:sz w:val="28"/>
          <w:szCs w:val="28"/>
        </w:rPr>
        <w:t>Enhanced Communication</w:t>
      </w:r>
      <w:r w:rsidRPr="002F4612">
        <w:rPr>
          <w:rFonts w:ascii="inter" w:eastAsia="inter" w:hAnsi="inter" w:cs="inter"/>
          <w:color w:val="000000"/>
          <w:sz w:val="28"/>
          <w:szCs w:val="28"/>
        </w:rPr>
        <w:t>: The visual, model-based nature of digital engineering improves clarity and fosters consensus, helping teams align on AI-enabled design choices and outcomes.</w:t>
      </w:r>
    </w:p>
    <w:p w14:paraId="7764488A" w14:textId="77777777" w:rsidR="00EB4E17" w:rsidRPr="002F4612" w:rsidRDefault="00000000">
      <w:pPr>
        <w:numPr>
          <w:ilvl w:val="0"/>
          <w:numId w:val="4"/>
        </w:numPr>
        <w:spacing w:before="105" w:after="105" w:line="360" w:lineRule="auto"/>
        <w:rPr>
          <w:sz w:val="28"/>
          <w:szCs w:val="28"/>
        </w:rPr>
      </w:pPr>
      <w:r w:rsidRPr="002F4612">
        <w:rPr>
          <w:rFonts w:ascii="inter" w:eastAsia="inter" w:hAnsi="inter" w:cs="inter"/>
          <w:b/>
          <w:color w:val="000000"/>
          <w:sz w:val="28"/>
          <w:szCs w:val="28"/>
        </w:rPr>
        <w:t>Transparency &amp; Explainability</w:t>
      </w:r>
      <w:r w:rsidRPr="002F4612">
        <w:rPr>
          <w:rFonts w:ascii="inter" w:eastAsia="inter" w:hAnsi="inter" w:cs="inter"/>
          <w:color w:val="000000"/>
          <w:sz w:val="28"/>
          <w:szCs w:val="28"/>
        </w:rPr>
        <w:t>: Ensuring AI insights are interpretable and explainable to human stakeholders is crucial for adoption, confidence, and accountability.</w:t>
      </w:r>
    </w:p>
    <w:p w14:paraId="5D3FD5A9" w14:textId="6D848A30" w:rsidR="00EB4E17" w:rsidRPr="002F4612" w:rsidRDefault="00000000">
      <w:pPr>
        <w:numPr>
          <w:ilvl w:val="0"/>
          <w:numId w:val="4"/>
        </w:numPr>
        <w:spacing w:before="105" w:after="105" w:line="360" w:lineRule="auto"/>
        <w:rPr>
          <w:sz w:val="28"/>
          <w:szCs w:val="28"/>
        </w:rPr>
      </w:pPr>
      <w:r w:rsidRPr="002F4612">
        <w:rPr>
          <w:rFonts w:ascii="inter" w:eastAsia="inter" w:hAnsi="inter" w:cs="inter"/>
          <w:b/>
          <w:color w:val="000000"/>
          <w:sz w:val="28"/>
          <w:szCs w:val="28"/>
        </w:rPr>
        <w:t>Human-AI Partnership</w:t>
      </w:r>
      <w:r w:rsidRPr="002F4612">
        <w:rPr>
          <w:rFonts w:ascii="inter" w:eastAsia="inter" w:hAnsi="inter" w:cs="inter"/>
          <w:color w:val="000000"/>
          <w:sz w:val="28"/>
          <w:szCs w:val="28"/>
        </w:rPr>
        <w:t>: Digital engineering succeeds when AI augments (not replaces) human expertise—</w:t>
      </w:r>
      <w:r w:rsidR="002F4612" w:rsidRPr="002F4612">
        <w:rPr>
          <w:rFonts w:ascii="inter" w:eastAsia="inter" w:hAnsi="inter" w:cs="inter"/>
          <w:color w:val="000000"/>
          <w:sz w:val="28"/>
          <w:szCs w:val="28"/>
        </w:rPr>
        <w:t>managing</w:t>
      </w:r>
      <w:r w:rsidRPr="002F4612">
        <w:rPr>
          <w:rFonts w:ascii="inter" w:eastAsia="inter" w:hAnsi="inter" w:cs="inter"/>
          <w:color w:val="000000"/>
          <w:sz w:val="28"/>
          <w:szCs w:val="28"/>
        </w:rPr>
        <w:t xml:space="preserve"> computational speed and holistic system views, while humans set objectives, constraints, and exercise critical oversight.</w:t>
      </w:r>
    </w:p>
    <w:p w14:paraId="74F4943A" w14:textId="77777777" w:rsidR="00EB4E17" w:rsidRPr="002F4612" w:rsidRDefault="00000000">
      <w:pPr>
        <w:spacing w:after="210" w:line="360" w:lineRule="auto"/>
        <w:rPr>
          <w:sz w:val="28"/>
          <w:szCs w:val="28"/>
        </w:rPr>
      </w:pPr>
      <w:r w:rsidRPr="002F4612">
        <w:rPr>
          <w:rFonts w:ascii="inter" w:eastAsia="inter" w:hAnsi="inter" w:cs="inter"/>
          <w:color w:val="000000"/>
          <w:sz w:val="28"/>
          <w:szCs w:val="28"/>
        </w:rPr>
        <w:t>In summary, digital engineering empowers organizations to merge the speed, depth, and adaptability of AI-powered analysis with the creativity, context, and judgment of human engineers. Achieving synergy between AI insights and human expectations is pivotal for unlocking the full potential of digital transformation in engineering.</w:t>
      </w:r>
      <w:bookmarkStart w:id="8" w:name="fnref1:2"/>
      <w:bookmarkEnd w:id="8"/>
      <w:r w:rsidRPr="002F4612">
        <w:rPr>
          <w:sz w:val="28"/>
          <w:szCs w:val="28"/>
        </w:rPr>
        <w:fldChar w:fldCharType="begin"/>
      </w:r>
      <w:r w:rsidRPr="002F4612">
        <w:rPr>
          <w:sz w:val="28"/>
          <w:szCs w:val="28"/>
        </w:rPr>
        <w:instrText>HYPERLINK \l "fn1" \h</w:instrText>
      </w:r>
      <w:r w:rsidRPr="002F4612">
        <w:rPr>
          <w:sz w:val="28"/>
          <w:szCs w:val="28"/>
        </w:rPr>
      </w:r>
      <w:r w:rsidRPr="002F4612">
        <w:rPr>
          <w:sz w:val="28"/>
          <w:szCs w:val="28"/>
        </w:rPr>
        <w:fldChar w:fldCharType="separate"/>
      </w:r>
      <w:r w:rsidRPr="002F4612">
        <w:rPr>
          <w:rFonts w:ascii="inter" w:eastAsia="inter" w:hAnsi="inter" w:cs="inter"/>
          <w:sz w:val="28"/>
          <w:szCs w:val="28"/>
          <w:u w:val="single"/>
          <w:vertAlign w:val="superscript"/>
        </w:rPr>
        <w:t>[1]</w:t>
      </w:r>
      <w:r w:rsidRPr="002F4612">
        <w:rPr>
          <w:sz w:val="28"/>
          <w:szCs w:val="28"/>
        </w:rPr>
        <w:fldChar w:fldCharType="end"/>
      </w:r>
      <w:bookmarkStart w:id="9" w:name="fnref3:2"/>
      <w:bookmarkEnd w:id="9"/>
      <w:r w:rsidRPr="002F4612">
        <w:rPr>
          <w:sz w:val="28"/>
          <w:szCs w:val="28"/>
        </w:rPr>
        <w:fldChar w:fldCharType="begin"/>
      </w:r>
      <w:r w:rsidRPr="002F4612">
        <w:rPr>
          <w:sz w:val="28"/>
          <w:szCs w:val="28"/>
        </w:rPr>
        <w:instrText>HYPERLINK \l "fn3" \h</w:instrText>
      </w:r>
      <w:r w:rsidRPr="002F4612">
        <w:rPr>
          <w:sz w:val="28"/>
          <w:szCs w:val="28"/>
        </w:rPr>
      </w:r>
      <w:r w:rsidRPr="002F4612">
        <w:rPr>
          <w:sz w:val="28"/>
          <w:szCs w:val="28"/>
        </w:rPr>
        <w:fldChar w:fldCharType="separate"/>
      </w:r>
      <w:r w:rsidRPr="002F4612">
        <w:rPr>
          <w:rFonts w:ascii="inter" w:eastAsia="inter" w:hAnsi="inter" w:cs="inter"/>
          <w:sz w:val="28"/>
          <w:szCs w:val="28"/>
          <w:u w:val="single"/>
          <w:vertAlign w:val="superscript"/>
        </w:rPr>
        <w:t>[3]</w:t>
      </w:r>
      <w:r w:rsidRPr="002F4612">
        <w:rPr>
          <w:sz w:val="28"/>
          <w:szCs w:val="28"/>
        </w:rPr>
        <w:fldChar w:fldCharType="end"/>
      </w:r>
      <w:bookmarkStart w:id="10" w:name="fnref2:4"/>
      <w:bookmarkEnd w:id="10"/>
      <w:r w:rsidRPr="002F4612">
        <w:rPr>
          <w:sz w:val="28"/>
          <w:szCs w:val="28"/>
        </w:rPr>
        <w:fldChar w:fldCharType="begin"/>
      </w:r>
      <w:r w:rsidRPr="002F4612">
        <w:rPr>
          <w:sz w:val="28"/>
          <w:szCs w:val="28"/>
        </w:rPr>
        <w:instrText>HYPERLINK \l "fn2" \h</w:instrText>
      </w:r>
      <w:r w:rsidRPr="002F4612">
        <w:rPr>
          <w:sz w:val="28"/>
          <w:szCs w:val="28"/>
        </w:rPr>
      </w:r>
      <w:r w:rsidRPr="002F4612">
        <w:rPr>
          <w:sz w:val="28"/>
          <w:szCs w:val="28"/>
        </w:rPr>
        <w:fldChar w:fldCharType="separate"/>
      </w:r>
      <w:r w:rsidRPr="002F4612">
        <w:rPr>
          <w:rFonts w:ascii="inter" w:eastAsia="inter" w:hAnsi="inter" w:cs="inter"/>
          <w:sz w:val="28"/>
          <w:szCs w:val="28"/>
          <w:u w:val="single"/>
          <w:vertAlign w:val="superscript"/>
        </w:rPr>
        <w:t>[2]</w:t>
      </w:r>
      <w:r w:rsidRPr="002F4612">
        <w:rPr>
          <w:sz w:val="28"/>
          <w:szCs w:val="28"/>
        </w:rPr>
        <w:fldChar w:fldCharType="end"/>
      </w:r>
    </w:p>
    <w:p w14:paraId="779F9D62" w14:textId="77777777" w:rsidR="00EB4E17" w:rsidRPr="002F4612" w:rsidRDefault="00000000">
      <w:pPr>
        <w:spacing w:before="210" w:after="0" w:line="360" w:lineRule="auto"/>
        <w:rPr>
          <w:sz w:val="28"/>
          <w:szCs w:val="28"/>
        </w:rPr>
      </w:pPr>
      <w:r w:rsidRPr="002F4612">
        <w:rPr>
          <w:noProof/>
          <w:sz w:val="28"/>
          <w:szCs w:val="28"/>
        </w:rPr>
      </w:r>
      <w:r w:rsidRPr="002F4612">
        <w:rPr>
          <w:noProof/>
          <w:sz w:val="28"/>
          <w:szCs w:val="28"/>
        </w:rPr>
        <w:pict w14:anchorId="05C3CE13">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bookmarkStart w:id="11" w:name="fn1"/>
    <w:bookmarkEnd w:id="11"/>
    <w:p w14:paraId="4165B2BC" w14:textId="77777777" w:rsidR="00EB4E17" w:rsidRPr="002F4612" w:rsidRDefault="00000000">
      <w:pPr>
        <w:numPr>
          <w:ilvl w:val="0"/>
          <w:numId w:val="6"/>
        </w:numPr>
        <w:spacing w:after="210" w:line="360" w:lineRule="auto"/>
        <w:rPr>
          <w:sz w:val="28"/>
          <w:szCs w:val="28"/>
        </w:rPr>
      </w:pPr>
      <w:r w:rsidRPr="002F4612">
        <w:rPr>
          <w:sz w:val="28"/>
          <w:szCs w:val="28"/>
        </w:rPr>
        <w:fldChar w:fldCharType="begin"/>
      </w:r>
      <w:r w:rsidRPr="002F4612">
        <w:rPr>
          <w:sz w:val="28"/>
          <w:szCs w:val="28"/>
        </w:rPr>
        <w:instrText>HYPERLINK "https://avian.com/avian-media-network/post?How-Digital-Engineering-Transforms-Traditional-Engineering-Practices-76" \h</w:instrText>
      </w:r>
      <w:r w:rsidRPr="002F4612">
        <w:rPr>
          <w:sz w:val="28"/>
          <w:szCs w:val="28"/>
        </w:rPr>
      </w:r>
      <w:r w:rsidRPr="002F4612">
        <w:rPr>
          <w:sz w:val="28"/>
          <w:szCs w:val="28"/>
        </w:rPr>
        <w:fldChar w:fldCharType="separate"/>
      </w:r>
      <w:r w:rsidRPr="002F4612">
        <w:rPr>
          <w:rFonts w:ascii="inter" w:eastAsia="inter" w:hAnsi="inter" w:cs="inter"/>
          <w:sz w:val="28"/>
          <w:szCs w:val="28"/>
          <w:u w:val="single"/>
        </w:rPr>
        <w:t>https://avian.com/avian-media-network/post?How-Digital-Engineering-Transforms-Traditional-Engineering-Practices-76</w:t>
      </w:r>
      <w:r w:rsidRPr="002F4612">
        <w:rPr>
          <w:sz w:val="28"/>
          <w:szCs w:val="28"/>
        </w:rPr>
        <w:fldChar w:fldCharType="end"/>
      </w:r>
      <w:r w:rsidRPr="002F4612">
        <w:rPr>
          <w:rFonts w:ascii="inter" w:eastAsia="inter" w:hAnsi="inter" w:cs="inter"/>
          <w:color w:val="000000"/>
          <w:sz w:val="28"/>
          <w:szCs w:val="28"/>
        </w:rPr>
        <w:t xml:space="preserve">   </w:t>
      </w:r>
    </w:p>
    <w:bookmarkStart w:id="12" w:name="fn2"/>
    <w:bookmarkEnd w:id="12"/>
    <w:p w14:paraId="7586B321" w14:textId="77777777" w:rsidR="00EB4E17" w:rsidRPr="002F4612" w:rsidRDefault="00000000">
      <w:pPr>
        <w:numPr>
          <w:ilvl w:val="0"/>
          <w:numId w:val="6"/>
        </w:numPr>
        <w:spacing w:after="210" w:line="360" w:lineRule="auto"/>
        <w:rPr>
          <w:sz w:val="28"/>
          <w:szCs w:val="28"/>
        </w:rPr>
      </w:pPr>
      <w:r w:rsidRPr="002F4612">
        <w:rPr>
          <w:sz w:val="28"/>
          <w:szCs w:val="28"/>
        </w:rPr>
        <w:fldChar w:fldCharType="begin"/>
      </w:r>
      <w:r w:rsidRPr="002F4612">
        <w:rPr>
          <w:sz w:val="28"/>
          <w:szCs w:val="28"/>
        </w:rPr>
        <w:instrText>HYPERLINK "https://www.sodiuswillert.com/en/blog/mastering-the-complexity-of-systems-with-digital-engineering" \h</w:instrText>
      </w:r>
      <w:r w:rsidRPr="002F4612">
        <w:rPr>
          <w:sz w:val="28"/>
          <w:szCs w:val="28"/>
        </w:rPr>
      </w:r>
      <w:r w:rsidRPr="002F4612">
        <w:rPr>
          <w:sz w:val="28"/>
          <w:szCs w:val="28"/>
        </w:rPr>
        <w:fldChar w:fldCharType="separate"/>
      </w:r>
      <w:r w:rsidRPr="002F4612">
        <w:rPr>
          <w:rFonts w:ascii="inter" w:eastAsia="inter" w:hAnsi="inter" w:cs="inter"/>
          <w:sz w:val="28"/>
          <w:szCs w:val="28"/>
          <w:u w:val="single"/>
        </w:rPr>
        <w:t>https://www.sodiuswillert.com/en/blog/mastering-the-complexity-of-systems-with-digital-engineering</w:t>
      </w:r>
      <w:r w:rsidRPr="002F4612">
        <w:rPr>
          <w:sz w:val="28"/>
          <w:szCs w:val="28"/>
        </w:rPr>
        <w:fldChar w:fldCharType="end"/>
      </w:r>
      <w:r w:rsidRPr="002F4612">
        <w:rPr>
          <w:rFonts w:ascii="inter" w:eastAsia="inter" w:hAnsi="inter" w:cs="inter"/>
          <w:color w:val="000000"/>
          <w:sz w:val="28"/>
          <w:szCs w:val="28"/>
        </w:rPr>
        <w:t xml:space="preserve">     </w:t>
      </w:r>
    </w:p>
    <w:bookmarkStart w:id="13" w:name="fn3"/>
    <w:bookmarkEnd w:id="13"/>
    <w:p w14:paraId="4B92FB37" w14:textId="77777777" w:rsidR="00EB4E17" w:rsidRPr="002F4612" w:rsidRDefault="00000000">
      <w:pPr>
        <w:numPr>
          <w:ilvl w:val="0"/>
          <w:numId w:val="6"/>
        </w:numPr>
        <w:spacing w:after="210" w:line="360" w:lineRule="auto"/>
        <w:rPr>
          <w:sz w:val="28"/>
          <w:szCs w:val="28"/>
        </w:rPr>
      </w:pPr>
      <w:r w:rsidRPr="002F4612">
        <w:rPr>
          <w:sz w:val="28"/>
          <w:szCs w:val="28"/>
        </w:rPr>
        <w:fldChar w:fldCharType="begin"/>
      </w:r>
      <w:r w:rsidRPr="002F4612">
        <w:rPr>
          <w:sz w:val="28"/>
          <w:szCs w:val="28"/>
        </w:rPr>
        <w:instrText>HYPERLINK "http://noblis.org/digitalengineering-trhodes/" \h</w:instrText>
      </w:r>
      <w:r w:rsidRPr="002F4612">
        <w:rPr>
          <w:sz w:val="28"/>
          <w:szCs w:val="28"/>
        </w:rPr>
      </w:r>
      <w:r w:rsidRPr="002F4612">
        <w:rPr>
          <w:sz w:val="28"/>
          <w:szCs w:val="28"/>
        </w:rPr>
        <w:fldChar w:fldCharType="separate"/>
      </w:r>
      <w:r w:rsidRPr="002F4612">
        <w:rPr>
          <w:rFonts w:ascii="inter" w:eastAsia="inter" w:hAnsi="inter" w:cs="inter"/>
          <w:sz w:val="28"/>
          <w:szCs w:val="28"/>
          <w:u w:val="single"/>
        </w:rPr>
        <w:t>http://noblis.org/digitalengineering-trhodes/</w:t>
      </w:r>
      <w:r w:rsidRPr="002F4612">
        <w:rPr>
          <w:sz w:val="28"/>
          <w:szCs w:val="28"/>
        </w:rPr>
        <w:fldChar w:fldCharType="end"/>
      </w:r>
      <w:r w:rsidRPr="002F4612">
        <w:rPr>
          <w:rFonts w:ascii="inter" w:eastAsia="inter" w:hAnsi="inter" w:cs="inter"/>
          <w:color w:val="000000"/>
          <w:sz w:val="28"/>
          <w:szCs w:val="28"/>
        </w:rPr>
        <w:t xml:space="preserve">   </w:t>
      </w:r>
    </w:p>
    <w:sectPr w:rsidR="00EB4E17" w:rsidRPr="002F4612">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A11B2"/>
    <w:multiLevelType w:val="hybridMultilevel"/>
    <w:tmpl w:val="391087E4"/>
    <w:lvl w:ilvl="0" w:tplc="A028A9B2">
      <w:start w:val="1"/>
      <w:numFmt w:val="bullet"/>
      <w:lvlText w:val=""/>
      <w:lvlJc w:val="left"/>
      <w:pPr>
        <w:tabs>
          <w:tab w:val="num" w:pos="900"/>
        </w:tabs>
        <w:ind w:left="540" w:hanging="360"/>
      </w:pPr>
      <w:rPr>
        <w:rFonts w:ascii="Symbol" w:hAnsi="Symbol" w:hint="default"/>
      </w:rPr>
    </w:lvl>
    <w:lvl w:ilvl="1" w:tplc="BE544A30">
      <w:numFmt w:val="decimal"/>
      <w:lvlText w:val=""/>
      <w:lvlJc w:val="left"/>
    </w:lvl>
    <w:lvl w:ilvl="2" w:tplc="9D64A464">
      <w:numFmt w:val="decimal"/>
      <w:lvlText w:val=""/>
      <w:lvlJc w:val="left"/>
    </w:lvl>
    <w:lvl w:ilvl="3" w:tplc="016CD87A">
      <w:numFmt w:val="decimal"/>
      <w:lvlText w:val=""/>
      <w:lvlJc w:val="left"/>
    </w:lvl>
    <w:lvl w:ilvl="4" w:tplc="696CDB46">
      <w:numFmt w:val="decimal"/>
      <w:lvlText w:val=""/>
      <w:lvlJc w:val="left"/>
    </w:lvl>
    <w:lvl w:ilvl="5" w:tplc="A71C62F6">
      <w:numFmt w:val="decimal"/>
      <w:lvlText w:val=""/>
      <w:lvlJc w:val="left"/>
    </w:lvl>
    <w:lvl w:ilvl="6" w:tplc="F8CE8E0C">
      <w:numFmt w:val="decimal"/>
      <w:lvlText w:val=""/>
      <w:lvlJc w:val="left"/>
    </w:lvl>
    <w:lvl w:ilvl="7" w:tplc="D4543B9A">
      <w:numFmt w:val="decimal"/>
      <w:lvlText w:val=""/>
      <w:lvlJc w:val="left"/>
    </w:lvl>
    <w:lvl w:ilvl="8" w:tplc="EB384C3E">
      <w:numFmt w:val="decimal"/>
      <w:lvlText w:val=""/>
      <w:lvlJc w:val="left"/>
    </w:lvl>
  </w:abstractNum>
  <w:abstractNum w:abstractNumId="1" w15:restartNumberingAfterBreak="0">
    <w:nsid w:val="20DB3316"/>
    <w:multiLevelType w:val="hybridMultilevel"/>
    <w:tmpl w:val="1B48F68E"/>
    <w:lvl w:ilvl="0" w:tplc="5A783A56">
      <w:numFmt w:val="decimal"/>
      <w:lvlText w:val=""/>
      <w:lvlJc w:val="left"/>
    </w:lvl>
    <w:lvl w:ilvl="1" w:tplc="4ECA337A">
      <w:numFmt w:val="decimal"/>
      <w:lvlText w:val=""/>
      <w:lvlJc w:val="left"/>
    </w:lvl>
    <w:lvl w:ilvl="2" w:tplc="4DBEC12E">
      <w:numFmt w:val="decimal"/>
      <w:lvlText w:val=""/>
      <w:lvlJc w:val="left"/>
    </w:lvl>
    <w:lvl w:ilvl="3" w:tplc="B548FC94">
      <w:numFmt w:val="decimal"/>
      <w:lvlText w:val=""/>
      <w:lvlJc w:val="left"/>
    </w:lvl>
    <w:lvl w:ilvl="4" w:tplc="6FDE2DB8">
      <w:numFmt w:val="decimal"/>
      <w:lvlText w:val=""/>
      <w:lvlJc w:val="left"/>
    </w:lvl>
    <w:lvl w:ilvl="5" w:tplc="3E8251B4">
      <w:numFmt w:val="decimal"/>
      <w:lvlText w:val=""/>
      <w:lvlJc w:val="left"/>
    </w:lvl>
    <w:lvl w:ilvl="6" w:tplc="E1F63742">
      <w:numFmt w:val="decimal"/>
      <w:lvlText w:val=""/>
      <w:lvlJc w:val="left"/>
    </w:lvl>
    <w:lvl w:ilvl="7" w:tplc="450AF5D2">
      <w:numFmt w:val="decimal"/>
      <w:lvlText w:val=""/>
      <w:lvlJc w:val="left"/>
    </w:lvl>
    <w:lvl w:ilvl="8" w:tplc="09066C9C">
      <w:numFmt w:val="decimal"/>
      <w:lvlText w:val=""/>
      <w:lvlJc w:val="left"/>
    </w:lvl>
  </w:abstractNum>
  <w:abstractNum w:abstractNumId="2" w15:restartNumberingAfterBreak="0">
    <w:nsid w:val="32006C0F"/>
    <w:multiLevelType w:val="hybridMultilevel"/>
    <w:tmpl w:val="CED452EE"/>
    <w:lvl w:ilvl="0" w:tplc="040EF9C4">
      <w:start w:val="1"/>
      <w:numFmt w:val="bullet"/>
      <w:lvlText w:val=""/>
      <w:lvlJc w:val="left"/>
      <w:pPr>
        <w:tabs>
          <w:tab w:val="num" w:pos="900"/>
        </w:tabs>
        <w:ind w:left="540" w:hanging="360"/>
      </w:pPr>
      <w:rPr>
        <w:rFonts w:ascii="Symbol" w:hAnsi="Symbol" w:hint="default"/>
      </w:rPr>
    </w:lvl>
    <w:lvl w:ilvl="1" w:tplc="55C4CB9C">
      <w:numFmt w:val="decimal"/>
      <w:lvlText w:val=""/>
      <w:lvlJc w:val="left"/>
    </w:lvl>
    <w:lvl w:ilvl="2" w:tplc="A40A9354">
      <w:numFmt w:val="decimal"/>
      <w:lvlText w:val=""/>
      <w:lvlJc w:val="left"/>
    </w:lvl>
    <w:lvl w:ilvl="3" w:tplc="71D80826">
      <w:numFmt w:val="decimal"/>
      <w:lvlText w:val=""/>
      <w:lvlJc w:val="left"/>
    </w:lvl>
    <w:lvl w:ilvl="4" w:tplc="ECDEA198">
      <w:numFmt w:val="decimal"/>
      <w:lvlText w:val=""/>
      <w:lvlJc w:val="left"/>
    </w:lvl>
    <w:lvl w:ilvl="5" w:tplc="DF8ED6E6">
      <w:numFmt w:val="decimal"/>
      <w:lvlText w:val=""/>
      <w:lvlJc w:val="left"/>
    </w:lvl>
    <w:lvl w:ilvl="6" w:tplc="C9B60890">
      <w:numFmt w:val="decimal"/>
      <w:lvlText w:val=""/>
      <w:lvlJc w:val="left"/>
    </w:lvl>
    <w:lvl w:ilvl="7" w:tplc="F09E65A2">
      <w:numFmt w:val="decimal"/>
      <w:lvlText w:val=""/>
      <w:lvlJc w:val="left"/>
    </w:lvl>
    <w:lvl w:ilvl="8" w:tplc="7BDAEE08">
      <w:numFmt w:val="decimal"/>
      <w:lvlText w:val=""/>
      <w:lvlJc w:val="left"/>
    </w:lvl>
  </w:abstractNum>
  <w:abstractNum w:abstractNumId="3" w15:restartNumberingAfterBreak="0">
    <w:nsid w:val="634C14A5"/>
    <w:multiLevelType w:val="hybridMultilevel"/>
    <w:tmpl w:val="73586A44"/>
    <w:lvl w:ilvl="0" w:tplc="0A22FB52">
      <w:start w:val="1"/>
      <w:numFmt w:val="decimal"/>
      <w:lvlText w:val="%1."/>
      <w:lvlJc w:val="left"/>
      <w:pPr>
        <w:tabs>
          <w:tab w:val="num" w:pos="900"/>
        </w:tabs>
        <w:ind w:left="540" w:hanging="360"/>
      </w:pPr>
    </w:lvl>
    <w:lvl w:ilvl="1" w:tplc="40709D14">
      <w:numFmt w:val="decimal"/>
      <w:lvlText w:val=""/>
      <w:lvlJc w:val="left"/>
    </w:lvl>
    <w:lvl w:ilvl="2" w:tplc="B71C4B8A">
      <w:numFmt w:val="decimal"/>
      <w:lvlText w:val=""/>
      <w:lvlJc w:val="left"/>
    </w:lvl>
    <w:lvl w:ilvl="3" w:tplc="7A488D6A">
      <w:numFmt w:val="decimal"/>
      <w:lvlText w:val=""/>
      <w:lvlJc w:val="left"/>
    </w:lvl>
    <w:lvl w:ilvl="4" w:tplc="A7504D46">
      <w:numFmt w:val="decimal"/>
      <w:lvlText w:val=""/>
      <w:lvlJc w:val="left"/>
    </w:lvl>
    <w:lvl w:ilvl="5" w:tplc="D83C0DA8">
      <w:numFmt w:val="decimal"/>
      <w:lvlText w:val=""/>
      <w:lvlJc w:val="left"/>
    </w:lvl>
    <w:lvl w:ilvl="6" w:tplc="47EEE4FA">
      <w:numFmt w:val="decimal"/>
      <w:lvlText w:val=""/>
      <w:lvlJc w:val="left"/>
    </w:lvl>
    <w:lvl w:ilvl="7" w:tplc="EBAA81B2">
      <w:numFmt w:val="decimal"/>
      <w:lvlText w:val=""/>
      <w:lvlJc w:val="left"/>
    </w:lvl>
    <w:lvl w:ilvl="8" w:tplc="3348C92E">
      <w:numFmt w:val="decimal"/>
      <w:lvlText w:val=""/>
      <w:lvlJc w:val="left"/>
    </w:lvl>
  </w:abstractNum>
  <w:abstractNum w:abstractNumId="4" w15:restartNumberingAfterBreak="0">
    <w:nsid w:val="7163408D"/>
    <w:multiLevelType w:val="hybridMultilevel"/>
    <w:tmpl w:val="47A8643C"/>
    <w:lvl w:ilvl="0" w:tplc="E5442740">
      <w:start w:val="1"/>
      <w:numFmt w:val="bullet"/>
      <w:lvlText w:val=""/>
      <w:lvlJc w:val="left"/>
      <w:pPr>
        <w:tabs>
          <w:tab w:val="num" w:pos="900"/>
        </w:tabs>
        <w:ind w:left="540" w:hanging="360"/>
      </w:pPr>
      <w:rPr>
        <w:rFonts w:ascii="Symbol" w:hAnsi="Symbol" w:hint="default"/>
      </w:rPr>
    </w:lvl>
    <w:lvl w:ilvl="1" w:tplc="464AE032">
      <w:numFmt w:val="decimal"/>
      <w:lvlText w:val=""/>
      <w:lvlJc w:val="left"/>
    </w:lvl>
    <w:lvl w:ilvl="2" w:tplc="9A3EB0A0">
      <w:numFmt w:val="decimal"/>
      <w:lvlText w:val=""/>
      <w:lvlJc w:val="left"/>
    </w:lvl>
    <w:lvl w:ilvl="3" w:tplc="89AE80C0">
      <w:numFmt w:val="decimal"/>
      <w:lvlText w:val=""/>
      <w:lvlJc w:val="left"/>
    </w:lvl>
    <w:lvl w:ilvl="4" w:tplc="C318FC90">
      <w:numFmt w:val="decimal"/>
      <w:lvlText w:val=""/>
      <w:lvlJc w:val="left"/>
    </w:lvl>
    <w:lvl w:ilvl="5" w:tplc="C48264B0">
      <w:numFmt w:val="decimal"/>
      <w:lvlText w:val=""/>
      <w:lvlJc w:val="left"/>
    </w:lvl>
    <w:lvl w:ilvl="6" w:tplc="2ED64216">
      <w:numFmt w:val="decimal"/>
      <w:lvlText w:val=""/>
      <w:lvlJc w:val="left"/>
    </w:lvl>
    <w:lvl w:ilvl="7" w:tplc="A932550A">
      <w:numFmt w:val="decimal"/>
      <w:lvlText w:val=""/>
      <w:lvlJc w:val="left"/>
    </w:lvl>
    <w:lvl w:ilvl="8" w:tplc="BAF4DBC2">
      <w:numFmt w:val="decimal"/>
      <w:lvlText w:val=""/>
      <w:lvlJc w:val="left"/>
    </w:lvl>
  </w:abstractNum>
  <w:abstractNum w:abstractNumId="5" w15:restartNumberingAfterBreak="0">
    <w:nsid w:val="7D9631A6"/>
    <w:multiLevelType w:val="hybridMultilevel"/>
    <w:tmpl w:val="E1C62C68"/>
    <w:lvl w:ilvl="0" w:tplc="DB746F12">
      <w:start w:val="1"/>
      <w:numFmt w:val="bullet"/>
      <w:lvlText w:val=""/>
      <w:lvlJc w:val="left"/>
      <w:pPr>
        <w:tabs>
          <w:tab w:val="num" w:pos="900"/>
        </w:tabs>
        <w:ind w:left="540" w:hanging="360"/>
      </w:pPr>
      <w:rPr>
        <w:rFonts w:ascii="Symbol" w:hAnsi="Symbol" w:hint="default"/>
      </w:rPr>
    </w:lvl>
    <w:lvl w:ilvl="1" w:tplc="7F0C927A">
      <w:numFmt w:val="decimal"/>
      <w:lvlText w:val=""/>
      <w:lvlJc w:val="left"/>
    </w:lvl>
    <w:lvl w:ilvl="2" w:tplc="EA101132">
      <w:numFmt w:val="decimal"/>
      <w:lvlText w:val=""/>
      <w:lvlJc w:val="left"/>
    </w:lvl>
    <w:lvl w:ilvl="3" w:tplc="F6BE90E6">
      <w:numFmt w:val="decimal"/>
      <w:lvlText w:val=""/>
      <w:lvlJc w:val="left"/>
    </w:lvl>
    <w:lvl w:ilvl="4" w:tplc="6816955E">
      <w:numFmt w:val="decimal"/>
      <w:lvlText w:val=""/>
      <w:lvlJc w:val="left"/>
    </w:lvl>
    <w:lvl w:ilvl="5" w:tplc="A1D27F08">
      <w:numFmt w:val="decimal"/>
      <w:lvlText w:val=""/>
      <w:lvlJc w:val="left"/>
    </w:lvl>
    <w:lvl w:ilvl="6" w:tplc="EC92379E">
      <w:numFmt w:val="decimal"/>
      <w:lvlText w:val=""/>
      <w:lvlJc w:val="left"/>
    </w:lvl>
    <w:lvl w:ilvl="7" w:tplc="08BA3830">
      <w:numFmt w:val="decimal"/>
      <w:lvlText w:val=""/>
      <w:lvlJc w:val="left"/>
    </w:lvl>
    <w:lvl w:ilvl="8" w:tplc="D5EC43CE">
      <w:numFmt w:val="decimal"/>
      <w:lvlText w:val=""/>
      <w:lvlJc w:val="left"/>
    </w:lvl>
  </w:abstractNum>
  <w:num w:numId="1" w16cid:durableId="245193212">
    <w:abstractNumId w:val="2"/>
  </w:num>
  <w:num w:numId="2" w16cid:durableId="2027055034">
    <w:abstractNumId w:val="5"/>
  </w:num>
  <w:num w:numId="3" w16cid:durableId="679503795">
    <w:abstractNumId w:val="4"/>
  </w:num>
  <w:num w:numId="4" w16cid:durableId="1667202302">
    <w:abstractNumId w:val="0"/>
  </w:num>
  <w:num w:numId="5" w16cid:durableId="1458068597">
    <w:abstractNumId w:val="1"/>
  </w:num>
  <w:num w:numId="6" w16cid:durableId="2029797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E17"/>
    <w:rsid w:val="00262982"/>
    <w:rsid w:val="002F4612"/>
    <w:rsid w:val="00EB4E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AF6AA1"/>
  <w15:docId w15:val="{0483C70C-E397-440B-BF50-C6B10357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Pattabiraman, Padmanabhan</cp:lastModifiedBy>
  <cp:revision>2</cp:revision>
  <dcterms:created xsi:type="dcterms:W3CDTF">2025-08-12T01:13:00Z</dcterms:created>
  <dcterms:modified xsi:type="dcterms:W3CDTF">2025-08-12T12:38:00Z</dcterms:modified>
</cp:coreProperties>
</file>