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right="240"/>
        <w:rPr>
          <w:rFonts w:hint="eastAsia" w:asciiTheme="minorEastAsia" w:hAnsiTheme="minorEastAsia" w:eastAsiaTheme="minorEastAsia" w:cstheme="minorEastAsia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Cs w:val="24"/>
          <w:lang w:val="en-US" w:eastAsia="zh-CN"/>
        </w:rPr>
        <w:t>4.1.1功能概述</w:t>
      </w:r>
    </w:p>
    <w:p>
      <w:pPr>
        <w:rPr>
          <w:rFonts w:hint="eastAsia" w:asciiTheme="minorEastAsia" w:hAnsiTheme="minorEastAsia" w:eastAsiaTheme="minorEastAsia"/>
          <w:szCs w:val="24"/>
          <w:lang w:val="en-US"/>
        </w:rPr>
      </w:pPr>
      <w:r>
        <w:rPr>
          <w:rFonts w:asciiTheme="minorEastAsia" w:hAnsiTheme="minorEastAsia" w:eastAsiaTheme="minorEastAsia"/>
          <w:szCs w:val="24"/>
        </w:rPr>
        <w:t xml:space="preserve">     </w:t>
      </w:r>
      <w:r>
        <w:rPr>
          <w:rFonts w:hint="eastAsia" w:asciiTheme="minorEastAsia" w:hAnsiTheme="minorEastAsia" w:eastAsiaTheme="minorEastAsia"/>
          <w:szCs w:val="24"/>
        </w:rPr>
        <w:t></w:t>
      </w:r>
      <w:r>
        <w:rPr>
          <w:rFonts w:hint="eastAsia" w:asciiTheme="minorEastAsia" w:hAnsiTheme="minorEastAsia" w:eastAsiaTheme="minorEastAsia"/>
          <w:szCs w:val="24"/>
          <w:lang w:val="en-US"/>
        </w:rPr>
        <w:t>船公司提供空白提单供我司打印正本提单，我司对空白提单进行交接入库、使用管理，可查看空白提单详细打印、作废情况，按船司要求回收作废提单纸；放单后打印正本提单时将序列号与提单号绑定。</w:t>
      </w:r>
    </w:p>
    <w:p>
      <w:pPr>
        <w:pStyle w:val="2"/>
        <w:ind w:right="240"/>
        <w:rPr>
          <w:rFonts w:hint="eastAsia" w:asciiTheme="minorEastAsia" w:hAnsiTheme="minorEastAsia" w:eastAsiaTheme="minorEastAsia" w:cstheme="minorEastAsia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Cs w:val="24"/>
          <w:lang w:val="en-US" w:eastAsia="zh-CN"/>
        </w:rPr>
        <w:t>4.1.2状态说明</w:t>
      </w:r>
    </w:p>
    <w:p>
      <w:pPr>
        <w:ind w:firstLine="720"/>
        <w:rPr>
          <w:rFonts w:hint="eastAsia" w:asciiTheme="minorEastAsia" w:hAnsiTheme="minorEastAsia" w:eastAsiaTheme="minorEastAsia"/>
          <w:lang w:val="en-US"/>
        </w:rPr>
      </w:pPr>
      <w:r>
        <w:rPr>
          <w:rFonts w:hint="eastAsia" w:asciiTheme="minorEastAsia" w:hAnsiTheme="minorEastAsia" w:eastAsiaTheme="minorEastAsia"/>
          <w:lang w:val="en-US"/>
        </w:rPr>
        <w:t>使用状态：已入库、已使用、已归档</w:t>
      </w:r>
    </w:p>
    <w:p>
      <w:pPr>
        <w:pStyle w:val="2"/>
        <w:ind w:right="240"/>
        <w:rPr>
          <w:rFonts w:hint="eastAsia" w:asciiTheme="minorEastAsia" w:hAnsiTheme="minorEastAsia" w:eastAsiaTheme="minorEastAsia" w:cstheme="minorEastAsia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Cs w:val="24"/>
          <w:lang w:val="en-US" w:eastAsia="zh-CN"/>
        </w:rPr>
        <w:t>4.1.3功能流程</w:t>
      </w:r>
    </w:p>
    <w:tbl>
      <w:tblPr>
        <w:tblStyle w:val="4"/>
        <w:tblW w:w="905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172"/>
        <w:gridCol w:w="64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bookmarkStart w:id="0" w:name="OLE_LINK1"/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需求编号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需求名称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空白提单入库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重要性(优先级)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需求描述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收到</w:t>
            </w: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 w:eastAsia="zh-CN"/>
              </w:rPr>
              <w:t>船司</w:t>
            </w:r>
            <w:bookmarkStart w:id="5" w:name="_GoBack"/>
            <w:bookmarkEnd w:id="5"/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线下交接给我司的空白提单页，需要按号码段新增入库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涉众及关注点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参与者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制单岗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规</w:t>
            </w:r>
          </w:p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格</w:t>
            </w:r>
          </w:p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说</w:t>
            </w:r>
          </w:p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 xml:space="preserve">明 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前置条件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收到</w:t>
            </w: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 w:eastAsia="zh-CN"/>
              </w:rPr>
              <w:t>船司</w:t>
            </w: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提供的空白提单页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正常事件流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"/>
              <w:numPr>
                <w:ilvl w:val="0"/>
                <w:numId w:val="2"/>
              </w:numPr>
              <w:ind w:left="360" w:hanging="360"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进入“空白提单管理”页面，点击“新增”</w:t>
            </w:r>
          </w:p>
          <w:p>
            <w:pPr>
              <w:pStyle w:val="6"/>
              <w:numPr>
                <w:ilvl w:val="0"/>
                <w:numId w:val="2"/>
              </w:numPr>
              <w:ind w:left="360" w:hanging="360"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输入序列号的起始、结束号段，系统自动算出总空白提单数量，状态默认“已入库”，默认入库时间、入库人</w:t>
            </w:r>
          </w:p>
          <w:p>
            <w:pPr>
              <w:pStyle w:val="6"/>
              <w:numPr>
                <w:ilvl w:val="0"/>
                <w:numId w:val="2"/>
              </w:numPr>
              <w:ind w:left="360" w:hanging="360"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点击“保存”，保存当前记录行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分支事件流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asciiTheme="minorEastAsia" w:hAnsiTheme="minorEastAsia" w:cstheme="minorEastAsia"/>
                <w:i/>
                <w:iCs/>
                <w:szCs w:val="21"/>
              </w:rPr>
              <w:t xml:space="preserve"> 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异常事件流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"/>
              <w:numPr>
                <w:ilvl w:val="0"/>
                <w:numId w:val="3"/>
              </w:numPr>
              <w:ind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点击“保存”按钮，校验序列号的起始、结束号段不允许为空，如不符合条件，提示“空白提单页的起始或结束号段不允许为空”</w:t>
            </w:r>
          </w:p>
          <w:p>
            <w:pPr>
              <w:pStyle w:val="6"/>
              <w:numPr>
                <w:ilvl w:val="0"/>
                <w:numId w:val="3"/>
              </w:numPr>
              <w:ind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点击“保存”按钮，校验序列号的起始、结束号段是否已存在，如已存在，提示“白提单页的号码段已存在，不允许保存”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后置条件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事件流图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质量属性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性能：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可扩展性：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安全性：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业务规则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设计约束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界面原型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数据需求（可选项）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补充说明（可选项）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未解决的问题（可选项）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"/>
              <w:ind w:firstLine="0" w:firstLineChars="0"/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bookmarkEnd w:id="0"/>
    </w:tbl>
    <w:p>
      <w:pPr>
        <w:rPr>
          <w:rFonts w:cs="Arial"/>
        </w:rPr>
      </w:pPr>
    </w:p>
    <w:tbl>
      <w:tblPr>
        <w:tblStyle w:val="4"/>
        <w:tblW w:w="905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172"/>
        <w:gridCol w:w="64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需求编号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需求名称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通过提单号查询序列号详情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重要性(优先级)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需求描述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已打印正本提单，存在关联关系的空白提单详细信息查询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涉众及关注点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参与者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制单岗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规</w:t>
            </w:r>
          </w:p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格</w:t>
            </w:r>
          </w:p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说</w:t>
            </w:r>
          </w:p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 xml:space="preserve">明 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前置条件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已关联提单号的空白提单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正常事件流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"/>
              <w:numPr>
                <w:ilvl w:val="0"/>
                <w:numId w:val="4"/>
              </w:numPr>
              <w:ind w:left="360" w:hanging="360"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进入“空白提单管理”页面，输入提单号</w:t>
            </w:r>
          </w:p>
          <w:p>
            <w:pPr>
              <w:pStyle w:val="6"/>
              <w:numPr>
                <w:ilvl w:val="0"/>
                <w:numId w:val="4"/>
              </w:numPr>
              <w:ind w:left="360" w:hanging="360"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点击“查询”，匹配关联提单号的提单序列号记录</w:t>
            </w:r>
          </w:p>
          <w:p>
            <w:pPr>
              <w:pStyle w:val="6"/>
              <w:numPr>
                <w:ilvl w:val="0"/>
                <w:numId w:val="4"/>
              </w:numPr>
              <w:ind w:left="360" w:hanging="360"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点击“查看”，展示该序列号段关联的提单号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分支事件流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asciiTheme="minorEastAsia" w:hAnsiTheme="minorEastAsia" w:cstheme="minorEastAsia"/>
                <w:i/>
                <w:iCs/>
                <w:szCs w:val="21"/>
              </w:rPr>
              <w:t xml:space="preserve"> 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异常事件流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"/>
              <w:numPr>
                <w:ilvl w:val="0"/>
                <w:numId w:val="5"/>
              </w:numPr>
              <w:ind w:left="425" w:hanging="425" w:firstLineChars="0"/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/>
                <w:i/>
                <w:lang w:val="en-US"/>
              </w:rPr>
              <w:t>点击“查询”按钮，校验提单号、使用日期、入库日期三选一必填，如不符合条件，提示“提单号或使用日期或入库日期不允许为空”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后置条件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事件流图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质量属性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性能：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可扩展性：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安全性：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业务规则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设计约束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界面原型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数据需求（可选项）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补充说明（可选项）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未解决的问题（可选项）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"/>
              <w:ind w:firstLine="0" w:firstLineChars="0"/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</w:tbl>
    <w:p>
      <w:pPr>
        <w:rPr>
          <w:rFonts w:cs="Arial"/>
        </w:rPr>
      </w:pPr>
    </w:p>
    <w:tbl>
      <w:tblPr>
        <w:tblStyle w:val="4"/>
        <w:tblW w:w="905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172"/>
        <w:gridCol w:w="64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需求编号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需求名称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通过提单号查询空白提单信息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重要性(优先级)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需求描述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已打印正本提单，存在关联关系的空白提单详细信息查询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涉众及关注点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参与者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制单岗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规</w:t>
            </w:r>
          </w:p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格</w:t>
            </w:r>
          </w:p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说</w:t>
            </w:r>
          </w:p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 xml:space="preserve">明 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前置条件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  <w:lang w:val="en-US"/>
              </w:rPr>
              <w:t>回收已关联提单号的序列号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正常事件流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"/>
              <w:numPr>
                <w:ilvl w:val="0"/>
                <w:numId w:val="6"/>
              </w:numPr>
              <w:ind w:left="360" w:hanging="360"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进入“空白提单管理”页面，输入提单号</w:t>
            </w:r>
          </w:p>
          <w:p>
            <w:pPr>
              <w:pStyle w:val="6"/>
              <w:numPr>
                <w:ilvl w:val="0"/>
                <w:numId w:val="6"/>
              </w:numPr>
              <w:ind w:left="360" w:hanging="360"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点击“查询”，匹配关联提单号的提单序列号记录</w:t>
            </w:r>
          </w:p>
          <w:p>
            <w:pPr>
              <w:pStyle w:val="6"/>
              <w:numPr>
                <w:ilvl w:val="0"/>
                <w:numId w:val="6"/>
              </w:numPr>
              <w:ind w:left="360" w:hanging="360"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点击“查看”，展示该序列号段关联的提单号</w:t>
            </w:r>
          </w:p>
          <w:p>
            <w:pPr>
              <w:pStyle w:val="6"/>
              <w:numPr>
                <w:ilvl w:val="0"/>
                <w:numId w:val="6"/>
              </w:numPr>
              <w:ind w:left="360" w:hanging="360" w:firstLineChars="0"/>
              <w:rPr>
                <w:i/>
              </w:rPr>
            </w:pPr>
            <w:r>
              <w:rPr>
                <w:rFonts w:hint="eastAsia"/>
                <w:i/>
                <w:lang w:val="en-US"/>
              </w:rPr>
              <w:t>选中需要回收的一个或多个序列号记录，点击“回收”，清空选中记录关联的提单号，重新按顺序打印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分支事件流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asciiTheme="minorEastAsia" w:hAnsiTheme="minorEastAsia" w:cstheme="minorEastAsia"/>
                <w:i/>
                <w:iCs/>
                <w:szCs w:val="21"/>
              </w:rPr>
              <w:t xml:space="preserve"> 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异常事件流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"/>
              <w:ind w:firstLine="0" w:firstLineChars="0"/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后置条件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事件流图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质量属性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性能：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可扩展性：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szCs w:val="21"/>
              </w:rPr>
              <w:t>安全性：</w:t>
            </w:r>
          </w:p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业务规则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设计约束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界面原型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数据需求（可选项）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补充说明（可选项）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i/>
                <w:iCs/>
                <w:szCs w:val="21"/>
              </w:rPr>
              <w:t>未解决的问题（可选项）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"/>
              <w:ind w:firstLine="0" w:firstLineChars="0"/>
              <w:rPr>
                <w:rFonts w:hint="eastAsia" w:asciiTheme="minorEastAsia" w:hAnsiTheme="minorEastAsia" w:cstheme="minorEastAsia"/>
                <w:i/>
                <w:iCs/>
                <w:szCs w:val="21"/>
              </w:rPr>
            </w:pPr>
          </w:p>
        </w:tc>
      </w:tr>
    </w:tbl>
    <w:p>
      <w:pPr>
        <w:rPr>
          <w:rFonts w:cs="Arial"/>
        </w:rPr>
      </w:pPr>
    </w:p>
    <w:p>
      <w:pPr>
        <w:rPr>
          <w:rFonts w:cs="Arial"/>
        </w:rPr>
      </w:pPr>
    </w:p>
    <w:p>
      <w:pPr>
        <w:pStyle w:val="2"/>
        <w:ind w:right="240"/>
        <w:rPr>
          <w:rFonts w:hint="eastAsia" w:asciiTheme="minorEastAsia" w:hAnsiTheme="minorEastAsia" w:eastAsiaTheme="minorEastAsia" w:cstheme="minorEastAsia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Cs w:val="24"/>
          <w:lang w:val="en-US" w:eastAsia="zh-CN"/>
        </w:rPr>
        <w:t>4.1.4原型界面</w:t>
      </w:r>
    </w:p>
    <w:p>
      <w:r>
        <w:drawing>
          <wp:inline distT="0" distB="0" distL="114300" distR="114300">
            <wp:extent cx="5757545" cy="1744980"/>
            <wp:effectExtent l="0" t="0" r="8255" b="7620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05630" cy="3836035"/>
            <wp:effectExtent l="0" t="0" r="127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tabs>
          <w:tab w:val="left" w:pos="864"/>
        </w:tabs>
        <w:ind w:left="864" w:right="240" w:hanging="864"/>
        <w:rPr>
          <w:rFonts w:hint="eastAsia" w:asciiTheme="majorEastAsia" w:hAnsiTheme="majorEastAsia"/>
          <w:color w:val="2E75B6" w:themeColor="accent1" w:themeShade="BF"/>
          <w:szCs w:val="24"/>
          <w:lang w:eastAsia="ja-JP"/>
        </w:rPr>
      </w:pPr>
      <w:bookmarkStart w:id="1" w:name="_Toc336177919"/>
      <w:r>
        <w:rPr>
          <w:rFonts w:hint="eastAsia" w:asciiTheme="majorEastAsia" w:hAnsiTheme="majorEastAsia"/>
          <w:color w:val="2E75B6" w:themeColor="accent1" w:themeShade="BF"/>
          <w:szCs w:val="24"/>
          <w:lang w:val="en-US" w:eastAsia="ja-JP"/>
        </w:rPr>
        <w:t>4.1.4.1</w:t>
      </w:r>
      <w:r>
        <w:rPr>
          <w:rFonts w:hint="eastAsia" w:asciiTheme="majorEastAsia" w:hAnsiTheme="majorEastAsia"/>
          <w:color w:val="2E75B6" w:themeColor="accent1" w:themeShade="BF"/>
          <w:szCs w:val="24"/>
          <w:lang w:val="en-US"/>
        </w:rPr>
        <w:t>原型</w:t>
      </w:r>
      <w:r>
        <w:rPr>
          <w:rFonts w:hint="eastAsia" w:asciiTheme="majorEastAsia" w:hAnsiTheme="majorEastAsia"/>
          <w:color w:val="2E75B6" w:themeColor="accent1" w:themeShade="BF"/>
          <w:szCs w:val="24"/>
          <w:lang w:eastAsia="ja-JP"/>
        </w:rPr>
        <w:t>要素</w:t>
      </w:r>
      <w:bookmarkEnd w:id="1"/>
      <w:r>
        <w:rPr>
          <w:rFonts w:hint="eastAsia" w:asciiTheme="majorEastAsia" w:hAnsiTheme="majorEastAsia"/>
          <w:color w:val="2E75B6" w:themeColor="accent1" w:themeShade="BF"/>
          <w:szCs w:val="24"/>
          <w:lang w:eastAsia="ja-JP"/>
        </w:rPr>
        <w:t xml:space="preserve"> </w:t>
      </w:r>
    </w:p>
    <w:p>
      <w:pPr>
        <w:rPr>
          <w:rFonts w:eastAsia="MS Mincho" w:cs="Arial"/>
          <w:b/>
          <w:bCs/>
          <w:i/>
          <w:iCs/>
          <w:snapToGrid w:val="0"/>
          <w:color w:val="003366"/>
          <w:szCs w:val="18"/>
          <w:lang w:eastAsia="ja-JP"/>
        </w:rPr>
      </w:pPr>
    </w:p>
    <w:p>
      <w:pPr>
        <w:rPr>
          <w:color w:val="44546A" w:themeColor="text2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lang w:val="en-US"/>
          <w14:textFill>
            <w14:solidFill>
              <w14:schemeClr w14:val="tx2"/>
            </w14:solidFill>
          </w14:textFill>
        </w:rPr>
        <w:t>空白提单管理</w:t>
      </w:r>
      <w:r>
        <w:rPr>
          <w:color w:val="44546A" w:themeColor="text2"/>
          <w14:textFill>
            <w14:solidFill>
              <w14:schemeClr w14:val="tx2"/>
            </w14:solidFill>
          </w14:textFill>
        </w:rPr>
        <w:t>界面</w:t>
      </w:r>
    </w:p>
    <w:tbl>
      <w:tblPr>
        <w:tblStyle w:val="4"/>
        <w:tblpPr w:leftFromText="180" w:rightFromText="180" w:vertAnchor="text" w:horzAnchor="page" w:tblpX="1287" w:tblpY="191"/>
        <w:tblW w:w="105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850"/>
        <w:gridCol w:w="1446"/>
        <w:gridCol w:w="986"/>
        <w:gridCol w:w="1264"/>
        <w:gridCol w:w="1643"/>
        <w:gridCol w:w="26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8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界面信息</w:t>
            </w:r>
          </w:p>
        </w:tc>
        <w:tc>
          <w:tcPr>
            <w:tcW w:w="850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界面标签</w:t>
            </w:r>
          </w:p>
        </w:tc>
        <w:tc>
          <w:tcPr>
            <w:tcW w:w="1446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输入方式</w:t>
            </w:r>
          </w:p>
        </w:tc>
        <w:tc>
          <w:tcPr>
            <w:tcW w:w="986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可否编辑</w:t>
            </w:r>
          </w:p>
        </w:tc>
        <w:tc>
          <w:tcPr>
            <w:tcW w:w="1264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来源</w:t>
            </w:r>
          </w:p>
        </w:tc>
        <w:tc>
          <w:tcPr>
            <w:tcW w:w="1643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是否必填</w:t>
            </w:r>
          </w:p>
        </w:tc>
        <w:tc>
          <w:tcPr>
            <w:tcW w:w="2650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668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提单号</w:t>
            </w: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序列号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多行文本框</w:t>
            </w:r>
          </w:p>
        </w:tc>
        <w:tc>
          <w:tcPr>
            <w:tcW w:w="98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264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tcPr>
            <w:tcW w:w="164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2650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668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提单号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多行文本框</w:t>
            </w:r>
          </w:p>
        </w:tc>
        <w:tc>
          <w:tcPr>
            <w:tcW w:w="98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264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tcPr>
            <w:tcW w:w="164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2650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68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使用时间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时间控件</w:t>
            </w:r>
          </w:p>
        </w:tc>
        <w:tc>
          <w:tcPr>
            <w:tcW w:w="98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26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tcPr>
            <w:tcW w:w="1643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26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68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2" w:name="OLE_LINK32" w:colFirst="3" w:colLast="5"/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入库时间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时间控件</w:t>
            </w:r>
          </w:p>
        </w:tc>
        <w:tc>
          <w:tcPr>
            <w:tcW w:w="98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26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tcPr>
            <w:tcW w:w="1643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26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68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使用状态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下拉框</w:t>
            </w:r>
          </w:p>
        </w:tc>
        <w:tc>
          <w:tcPr>
            <w:tcW w:w="98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26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tcPr>
            <w:tcW w:w="1643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26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lang w:val="en-US"/>
        </w:rPr>
      </w:pPr>
    </w:p>
    <w:p>
      <w:pPr>
        <w:rPr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/>
        </w:rPr>
        <w:t>空白提单管理</w:t>
      </w:r>
      <w:r>
        <w:rPr>
          <w:rFonts w:hint="eastAsia"/>
        </w:rPr>
        <w:t>查询结果列</w:t>
      </w:r>
    </w:p>
    <w:tbl>
      <w:tblPr>
        <w:tblStyle w:val="4"/>
        <w:tblpPr w:leftFromText="180" w:rightFromText="180" w:vertAnchor="text" w:horzAnchor="page" w:tblpX="1287" w:tblpY="191"/>
        <w:tblW w:w="105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441"/>
        <w:gridCol w:w="1276"/>
        <w:gridCol w:w="1701"/>
        <w:gridCol w:w="1134"/>
        <w:gridCol w:w="1275"/>
        <w:gridCol w:w="20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界面信息</w:t>
            </w:r>
          </w:p>
        </w:tc>
        <w:tc>
          <w:tcPr>
            <w:tcW w:w="1441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界面标签</w:t>
            </w:r>
          </w:p>
        </w:tc>
        <w:tc>
          <w:tcPr>
            <w:tcW w:w="1276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输入方式</w:t>
            </w:r>
          </w:p>
        </w:tc>
        <w:tc>
          <w:tcPr>
            <w:tcW w:w="1701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可否编辑</w:t>
            </w:r>
          </w:p>
        </w:tc>
        <w:tc>
          <w:tcPr>
            <w:tcW w:w="1134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来源</w:t>
            </w:r>
          </w:p>
        </w:tc>
        <w:tc>
          <w:tcPr>
            <w:tcW w:w="1275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是否必填</w:t>
            </w:r>
          </w:p>
        </w:tc>
        <w:tc>
          <w:tcPr>
            <w:tcW w:w="2007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673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07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673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编号起始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3" w:name="OLE_LINK33"/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  <w:bookmarkEnd w:id="3"/>
          </w:p>
        </w:tc>
        <w:tc>
          <w:tcPr>
            <w:tcW w:w="2007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673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编号结束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pPr>
              <w:rPr>
                <w:lang w:val="en-US"/>
              </w:rPr>
            </w:pPr>
            <w:bookmarkStart w:id="4" w:name="OLE_LINK175"/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  <w:bookmarkEnd w:id="4"/>
          </w:p>
        </w:tc>
        <w:tc>
          <w:tcPr>
            <w:tcW w:w="2007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7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pPr>
              <w:rPr>
                <w:lang w:val="en-US"/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07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7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当前编号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07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7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总数量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07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7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使用数量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07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7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作废数量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07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7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入库日期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07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7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入库人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007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7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</w:tcPr>
          <w:p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701" w:type="dxa"/>
          </w:tcPr>
          <w:p>
            <w:r>
              <w:rPr>
                <w:rFonts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</w:tcPr>
          <w:p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2007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rFonts w:hint="eastAsia"/>
          <w:lang w:val="en-US"/>
        </w:rPr>
        <w:t>空白提单管理详情</w:t>
      </w:r>
      <w:r>
        <w:rPr>
          <w:rFonts w:hint="eastAsia"/>
        </w:rPr>
        <w:t>查询结果列</w:t>
      </w:r>
    </w:p>
    <w:tbl>
      <w:tblPr>
        <w:tblStyle w:val="4"/>
        <w:tblpPr w:leftFromText="180" w:rightFromText="180" w:vertAnchor="text" w:horzAnchor="page" w:tblpX="1287" w:tblpY="191"/>
        <w:tblW w:w="105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850"/>
        <w:gridCol w:w="1446"/>
        <w:gridCol w:w="986"/>
        <w:gridCol w:w="1264"/>
        <w:gridCol w:w="1643"/>
        <w:gridCol w:w="26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界面信息</w:t>
            </w:r>
          </w:p>
        </w:tc>
        <w:tc>
          <w:tcPr>
            <w:tcW w:w="850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界面标签</w:t>
            </w:r>
          </w:p>
        </w:tc>
        <w:tc>
          <w:tcPr>
            <w:tcW w:w="1446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输入方式</w:t>
            </w:r>
          </w:p>
        </w:tc>
        <w:tc>
          <w:tcPr>
            <w:tcW w:w="986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可否编辑</w:t>
            </w:r>
          </w:p>
        </w:tc>
        <w:tc>
          <w:tcPr>
            <w:tcW w:w="1264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来源</w:t>
            </w:r>
          </w:p>
        </w:tc>
        <w:tc>
          <w:tcPr>
            <w:tcW w:w="1643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是否必填</w:t>
            </w:r>
          </w:p>
        </w:tc>
        <w:tc>
          <w:tcPr>
            <w:tcW w:w="2650" w:type="dxa"/>
            <w:shd w:val="clear" w:color="auto" w:fill="C0C0C0"/>
          </w:tcPr>
          <w:p>
            <w:pPr>
              <w:jc w:val="center"/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668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提单序列号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98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264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3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650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68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提单号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98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26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3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6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668" w:type="dxa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986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264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3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650" w:type="dxa"/>
            <w:vAlign w:val="center"/>
          </w:tcPr>
          <w:p>
            <w:pPr>
              <w:rPr>
                <w:rFonts w:hint="eastAsia" w:asciiTheme="minorEastAsia" w:hAnsiTheme="minorEastAsia" w:cstheme="minorEastAsia"/>
                <w:i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</w:p>
    <w:p>
      <w:pPr>
        <w:pStyle w:val="2"/>
        <w:ind w:right="240"/>
        <w:rPr>
          <w:rFonts w:eastAsia="MS Mincho"/>
          <w:i/>
          <w:iCs/>
        </w:rPr>
      </w:pPr>
      <w:r>
        <w:rPr>
          <w:rFonts w:hint="eastAsia" w:asciiTheme="minorEastAsia" w:hAnsiTheme="minorEastAsia" w:eastAsiaTheme="minorEastAsia" w:cstheme="minorEastAsia"/>
          <w:szCs w:val="24"/>
          <w:lang w:val="en-US" w:eastAsia="zh-CN"/>
        </w:rPr>
        <w:t>4.1.5功能点描述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>1.【查询】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 xml:space="preserve">  用户输入查询条件，查询出符合条件的空白提单序列号段数据，用列表形式展示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>2.  【重置】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 xml:space="preserve">  清空查询条件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>3.  【新增】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 xml:space="preserve">  新增一条空白提单序列号段数据，编号起始、结束字段必填，默认“已入库”状态， 根据编号段自动计算总数量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>4.  【编辑】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 xml:space="preserve">  编辑当前选中的空白提单序列号段数据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>5.  【作废】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 xml:space="preserve">   作废当前选中的空白提单序列号段数据，该号码段内的序列号不可用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>6. 【导出作废清单】</w:t>
      </w:r>
    </w:p>
    <w:p>
      <w:p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 xml:space="preserve">   导出当前选中的空白提单序列号段内作废的序列号清单，用于与船司线下交接纸质单据</w:t>
      </w:r>
    </w:p>
    <w:p>
      <w:pPr>
        <w:numPr>
          <w:ilvl w:val="0"/>
          <w:numId w:val="7"/>
        </w:num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>【子页面-作废】</w:t>
      </w:r>
    </w:p>
    <w:p>
      <w:pPr>
        <w:ind w:firstLine="720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>作废选中的空白提单序列号，选择作废原因</w:t>
      </w:r>
    </w:p>
    <w:p>
      <w:pPr>
        <w:numPr>
          <w:ilvl w:val="0"/>
          <w:numId w:val="7"/>
        </w:numPr>
        <w:ind w:left="567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>【子页面-回收】</w:t>
      </w:r>
    </w:p>
    <w:p>
      <w:pPr>
        <w:ind w:firstLine="720"/>
        <w:rPr>
          <w:rFonts w:eastAsiaTheme="minorEastAsia"/>
          <w:i/>
          <w:iCs/>
          <w:lang w:val="en-US"/>
        </w:rPr>
      </w:pPr>
      <w:r>
        <w:rPr>
          <w:rFonts w:hint="eastAsia" w:eastAsiaTheme="minorEastAsia"/>
          <w:i/>
          <w:iCs/>
          <w:lang w:val="en-US"/>
        </w:rPr>
        <w:t>回收选中的空白提单序列号，清空该序列号关联的提单号，释放当前序列号可再次打印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D1007"/>
    <w:multiLevelType w:val="singleLevel"/>
    <w:tmpl w:val="96BD100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9752EFD"/>
    <w:multiLevelType w:val="singleLevel"/>
    <w:tmpl w:val="99752EF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A0F6A3C4"/>
    <w:multiLevelType w:val="singleLevel"/>
    <w:tmpl w:val="A0F6A3C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1D075E4F"/>
    <w:multiLevelType w:val="singleLevel"/>
    <w:tmpl w:val="1D075E4F"/>
    <w:lvl w:ilvl="0" w:tentative="0">
      <w:start w:val="7"/>
      <w:numFmt w:val="decimal"/>
      <w:suff w:val="space"/>
      <w:lvlText w:val="%1."/>
      <w:lvlJc w:val="left"/>
    </w:lvl>
  </w:abstractNum>
  <w:abstractNum w:abstractNumId="4">
    <w:nsid w:val="1DC5EFBA"/>
    <w:multiLevelType w:val="singleLevel"/>
    <w:tmpl w:val="1DC5EF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4E9217A"/>
    <w:multiLevelType w:val="multilevel"/>
    <w:tmpl w:val="24E9217A"/>
    <w:lvl w:ilvl="0" w:tentative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2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3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612DCB56"/>
    <w:multiLevelType w:val="singleLevel"/>
    <w:tmpl w:val="612DCB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97043"/>
    <w:rsid w:val="383E0A57"/>
    <w:rsid w:val="57D9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宋体" w:cs="Times New Roman"/>
      <w:sz w:val="24"/>
      <w:lang w:val="en-GB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ind w:right="100" w:rightChars="100"/>
      <w:jc w:val="both"/>
      <w:outlineLvl w:val="2"/>
    </w:pPr>
    <w:rPr>
      <w:rFonts w:cs="Arial"/>
      <w:b/>
      <w:bCs/>
      <w:snapToGrid w:val="0"/>
      <w:color w:val="003366"/>
      <w:szCs w:val="18"/>
      <w:lang w:eastAsia="ja-JP"/>
    </w:rPr>
  </w:style>
  <w:style w:type="paragraph" w:styleId="3">
    <w:name w:val="heading 4"/>
    <w:basedOn w:val="1"/>
    <w:next w:val="1"/>
    <w:qFormat/>
    <w:uiPriority w:val="0"/>
    <w:pPr>
      <w:numPr>
        <w:ilvl w:val="3"/>
        <w:numId w:val="1"/>
      </w:numPr>
      <w:outlineLvl w:val="3"/>
    </w:pPr>
    <w:rPr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2026-03-30T06:25:00Z</dcterms:created>
  <dc:creator>User</dc:creator>
  <cp:lastModifiedBy>User</cp:lastModifiedBy>
  <dcterms:modified xsi:type="dcterms:W3CDTF">2026-03-30T06:29:14Z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011FF1B0FF6648269735F765853D9202</vt:lpwstr>
  </property>
</Properties>
</file>