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Vendor Master Data Standard (FIN-STD-012, v2.0, sandbox training copy)</w:t>
      </w:r>
    </w:p>
    <w:p>
      <w:pPr>
        <w:pStyle w:val="Heading1"/>
      </w:pPr>
      <w:r>
        <w:t>1. Scope</w:t>
      </w:r>
    </w:p>
    <w:p>
      <w:r>
        <w:t>Applies to creating and changing supplier records, including bank account details.</w:t>
      </w:r>
    </w:p>
    <w:p>
      <w:pPr>
        <w:pStyle w:val="Heading1"/>
      </w:pPr>
      <w:r>
        <w:t>2. Bank detail changes</w:t>
      </w:r>
    </w:p>
    <w:p>
      <w:r>
        <w:t>Any change to a supplier's bank account must be verified by a call-back to a phone number already on file (not one supplied in the change request).</w:t>
      </w:r>
    </w:p>
    <w:p>
      <w:r>
        <w:t>Payments to a newly changed bank account are held for 5 business days after verification.</w:t>
      </w:r>
    </w:p>
    <w:p>
      <w:r>
        <w:t>An invoice that references bank details different from the vendor master is a 'Bank detail mismatch exception' and is always High severity because it is a common fraud pattern.</w:t>
      </w:r>
    </w:p>
    <w:p>
      <w:pPr>
        <w:pStyle w:val="Heading1"/>
      </w:pPr>
      <w:r>
        <w:t>3. New vendors</w:t>
      </w:r>
    </w:p>
    <w:p>
      <w:r>
        <w:t>A vendor created less than 30 days ago is flagged 'New vendor'. Its first three invoices require AP Review regardless of amount.</w:t>
      </w:r>
    </w:p>
    <w:p>
      <w:pPr>
        <w:pStyle w:val="Heading1"/>
      </w:pPr>
      <w:r>
        <w:t>4. Blocked vendors</w:t>
      </w:r>
    </w:p>
    <w:p>
      <w:r>
        <w:t>Invoices from a vendor with status 'Blocked' must not be paid. Raise a review item and notify Procurement.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