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0549" w14:textId="74557566" w:rsidR="00680440" w:rsidRDefault="00680440" w:rsidP="006933FE">
      <w:pPr>
        <w:pStyle w:val="Heading1"/>
      </w:pPr>
      <w:r w:rsidRPr="00680440">
        <w:t>Guided Capstone Project Report</w:t>
      </w:r>
    </w:p>
    <w:p w14:paraId="6A575D2B" w14:textId="639DA2C9" w:rsidR="00D813F7" w:rsidRPr="00D813F7" w:rsidRDefault="00D813F7" w:rsidP="00D813F7">
      <w:pPr>
        <w:pStyle w:val="Heading2"/>
      </w:pPr>
      <w:r w:rsidRPr="00D813F7">
        <w:t>Recommendations for Big Mountain Resort</w:t>
      </w:r>
    </w:p>
    <w:p w14:paraId="40786516" w14:textId="77777777" w:rsidR="00D813F7" w:rsidRDefault="00D813F7" w:rsidP="009C677A"/>
    <w:p w14:paraId="299DFE58" w14:textId="0A06C320" w:rsidR="009C677A" w:rsidRDefault="009C677A" w:rsidP="009C677A">
      <w:r>
        <w:t>Big Mountain Resort currently charges $81 per ticket.</w:t>
      </w:r>
      <w:r w:rsidR="00CE72B2">
        <w:t xml:space="preserve"> Our goal was to predict ticket prices, using the data on 330 US resorts</w:t>
      </w:r>
      <w:r>
        <w:t xml:space="preserve"> </w:t>
      </w:r>
      <w:r w:rsidR="00CE72B2">
        <w:t>to help determine pricing strategy for the BMR.</w:t>
      </w:r>
    </w:p>
    <w:p w14:paraId="34DC6067" w14:textId="35F40E6E" w:rsidR="00CE72B2" w:rsidRDefault="00CE72B2" w:rsidP="009C677A">
      <w:r>
        <w:t xml:space="preserve">The early exploration of the data demonstrated a strong correlation of adult ticket prices with the following data features across resorts: </w:t>
      </w:r>
      <w:r w:rsidRPr="00A54E12">
        <w:rPr>
          <w:i/>
          <w:iCs/>
        </w:rPr>
        <w:t>vertical drop</w:t>
      </w:r>
      <w:r>
        <w:t xml:space="preserve">, </w:t>
      </w:r>
      <w:r w:rsidRPr="00A54E12">
        <w:rPr>
          <w:i/>
          <w:iCs/>
        </w:rPr>
        <w:t>fastQuads</w:t>
      </w:r>
      <w:r>
        <w:t xml:space="preserve">, </w:t>
      </w:r>
      <w:r w:rsidRPr="00A54E12">
        <w:rPr>
          <w:i/>
          <w:iCs/>
        </w:rPr>
        <w:t>Runs</w:t>
      </w:r>
      <w:r>
        <w:t xml:space="preserve">, and </w:t>
      </w:r>
      <w:r w:rsidRPr="00A54E12">
        <w:rPr>
          <w:i/>
          <w:iCs/>
        </w:rPr>
        <w:t>Snow Making_ac</w:t>
      </w:r>
      <w:r>
        <w:t>, as the heatmap plot</w:t>
      </w:r>
      <w:r w:rsidR="00A54E12">
        <w:t xml:space="preserve"> </w:t>
      </w:r>
      <w:r>
        <w:t xml:space="preserve">in FIG. 1 </w:t>
      </w:r>
      <w:r w:rsidR="00A54E12">
        <w:t xml:space="preserve">shows </w:t>
      </w:r>
      <w:r>
        <w:t>below:</w:t>
      </w:r>
    </w:p>
    <w:p w14:paraId="46D8DEB9" w14:textId="1EDB7053" w:rsidR="00CE72B2" w:rsidRDefault="00CE72B2" w:rsidP="00CE72B2">
      <w:pPr>
        <w:keepNext/>
        <w:jc w:val="center"/>
      </w:pPr>
      <w:r>
        <w:rPr>
          <w:noProof/>
        </w:rPr>
        <w:drawing>
          <wp:inline distT="0" distB="0" distL="0" distR="0" wp14:anchorId="67579DE1" wp14:editId="7B615445">
            <wp:extent cx="4377350" cy="3951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14" cy="39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2C98" w14:textId="527CC448" w:rsidR="00CE72B2" w:rsidRPr="00CE72B2" w:rsidRDefault="00CE72B2" w:rsidP="00CE72B2">
      <w:pPr>
        <w:jc w:val="center"/>
        <w:rPr>
          <w:b/>
          <w:bCs/>
          <w:color w:val="4472C4" w:themeColor="accent1"/>
        </w:rPr>
      </w:pPr>
      <w:r w:rsidRPr="00CE72B2">
        <w:rPr>
          <w:b/>
          <w:bCs/>
          <w:color w:val="4472C4" w:themeColor="accent1"/>
        </w:rPr>
        <w:t xml:space="preserve">FIG. </w:t>
      </w:r>
      <w:r w:rsidRPr="00CE72B2">
        <w:rPr>
          <w:b/>
          <w:bCs/>
          <w:color w:val="4472C4" w:themeColor="accent1"/>
        </w:rPr>
        <w:fldChar w:fldCharType="begin"/>
      </w:r>
      <w:r w:rsidRPr="00CE72B2">
        <w:rPr>
          <w:b/>
          <w:bCs/>
          <w:color w:val="4472C4" w:themeColor="accent1"/>
        </w:rPr>
        <w:instrText xml:space="preserve"> SEQ FIG. \* ARABIC </w:instrText>
      </w:r>
      <w:r w:rsidRPr="00CE72B2">
        <w:rPr>
          <w:b/>
          <w:bCs/>
          <w:color w:val="4472C4" w:themeColor="accent1"/>
        </w:rPr>
        <w:fldChar w:fldCharType="separate"/>
      </w:r>
      <w:r w:rsidR="00185E2C">
        <w:rPr>
          <w:b/>
          <w:bCs/>
          <w:noProof/>
          <w:color w:val="4472C4" w:themeColor="accent1"/>
        </w:rPr>
        <w:t>1</w:t>
      </w:r>
      <w:r w:rsidRPr="00CE72B2">
        <w:rPr>
          <w:b/>
          <w:bCs/>
          <w:color w:val="4472C4" w:themeColor="accent1"/>
        </w:rPr>
        <w:fldChar w:fldCharType="end"/>
      </w:r>
    </w:p>
    <w:p w14:paraId="25BFE2B3" w14:textId="001E031C" w:rsidR="00185E2C" w:rsidRDefault="00185E2C" w:rsidP="009C677A">
      <w:r>
        <w:t xml:space="preserve">We further proceeded with building and </w:t>
      </w:r>
      <w:r w:rsidR="00787149">
        <w:t xml:space="preserve">assessing </w:t>
      </w:r>
      <w:r>
        <w:t xml:space="preserve">the </w:t>
      </w:r>
      <w:r w:rsidR="00787149">
        <w:t xml:space="preserve">performance of the linear </w:t>
      </w:r>
      <w:r>
        <w:t xml:space="preserve">regression </w:t>
      </w:r>
      <w:r w:rsidR="00787149">
        <w:t xml:space="preserve">and random forest </w:t>
      </w:r>
      <w:r>
        <w:t xml:space="preserve">regressor </w:t>
      </w:r>
      <w:r w:rsidR="00787149">
        <w:t>models</w:t>
      </w:r>
      <w:r>
        <w:t>. The Linear Model further supported the initial patterns; here are the model coefficients representing features sorted in descending orders:</w:t>
      </w:r>
    </w:p>
    <w:p w14:paraId="16F5DEBB" w14:textId="77777777" w:rsidR="00185E2C" w:rsidRPr="00185E2C" w:rsidRDefault="00185E2C" w:rsidP="00185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5E2C">
        <w:rPr>
          <w:rFonts w:ascii="Courier New" w:eastAsia="Times New Roman" w:hAnsi="Courier New" w:cs="Courier New"/>
          <w:color w:val="000000"/>
          <w:sz w:val="21"/>
          <w:szCs w:val="21"/>
        </w:rPr>
        <w:t>vertical_drop        10.767857</w:t>
      </w:r>
    </w:p>
    <w:p w14:paraId="716E6FBE" w14:textId="77777777" w:rsidR="00185E2C" w:rsidRPr="00185E2C" w:rsidRDefault="00185E2C" w:rsidP="00185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5E2C">
        <w:rPr>
          <w:rFonts w:ascii="Courier New" w:eastAsia="Times New Roman" w:hAnsi="Courier New" w:cs="Courier New"/>
          <w:color w:val="000000"/>
          <w:sz w:val="21"/>
          <w:szCs w:val="21"/>
        </w:rPr>
        <w:t>Snow Making_ac        6.290074</w:t>
      </w:r>
    </w:p>
    <w:p w14:paraId="34C1B4A0" w14:textId="77777777" w:rsidR="00185E2C" w:rsidRPr="00185E2C" w:rsidRDefault="00185E2C" w:rsidP="00185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5E2C">
        <w:rPr>
          <w:rFonts w:ascii="Courier New" w:eastAsia="Times New Roman" w:hAnsi="Courier New" w:cs="Courier New"/>
          <w:color w:val="000000"/>
          <w:sz w:val="21"/>
          <w:szCs w:val="21"/>
        </w:rPr>
        <w:t>total_chairs          5.794156</w:t>
      </w:r>
    </w:p>
    <w:p w14:paraId="063B277C" w14:textId="77777777" w:rsidR="00185E2C" w:rsidRPr="00185E2C" w:rsidRDefault="00185E2C" w:rsidP="00185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5E2C">
        <w:rPr>
          <w:rFonts w:ascii="Courier New" w:eastAsia="Times New Roman" w:hAnsi="Courier New" w:cs="Courier New"/>
          <w:color w:val="000000"/>
          <w:sz w:val="21"/>
          <w:szCs w:val="21"/>
        </w:rPr>
        <w:t>fastQuads             5.745626</w:t>
      </w:r>
    </w:p>
    <w:p w14:paraId="26666CDB" w14:textId="77777777" w:rsidR="00185E2C" w:rsidRPr="00185E2C" w:rsidRDefault="00185E2C" w:rsidP="00185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5E2C">
        <w:rPr>
          <w:rFonts w:ascii="Courier New" w:eastAsia="Times New Roman" w:hAnsi="Courier New" w:cs="Courier New"/>
          <w:color w:val="000000"/>
          <w:sz w:val="21"/>
          <w:szCs w:val="21"/>
        </w:rPr>
        <w:t>Runs                  5.370555</w:t>
      </w:r>
    </w:p>
    <w:p w14:paraId="426AD8DD" w14:textId="77777777" w:rsidR="00185E2C" w:rsidRPr="00185E2C" w:rsidRDefault="00185E2C" w:rsidP="00185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5E2C">
        <w:rPr>
          <w:rFonts w:ascii="Courier New" w:eastAsia="Times New Roman" w:hAnsi="Courier New" w:cs="Courier New"/>
          <w:color w:val="000000"/>
          <w:sz w:val="21"/>
          <w:szCs w:val="21"/>
        </w:rPr>
        <w:t>LongestRun_mi         0.181814</w:t>
      </w:r>
    </w:p>
    <w:p w14:paraId="180E5ED2" w14:textId="77777777" w:rsidR="00185E2C" w:rsidRPr="00185E2C" w:rsidRDefault="00185E2C" w:rsidP="00185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5E2C">
        <w:rPr>
          <w:rFonts w:ascii="Courier New" w:eastAsia="Times New Roman" w:hAnsi="Courier New" w:cs="Courier New"/>
          <w:color w:val="000000"/>
          <w:sz w:val="21"/>
          <w:szCs w:val="21"/>
        </w:rPr>
        <w:t>trams                -4.142024</w:t>
      </w:r>
    </w:p>
    <w:p w14:paraId="7A584B2B" w14:textId="77777777" w:rsidR="00185E2C" w:rsidRPr="00185E2C" w:rsidRDefault="00185E2C" w:rsidP="00185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5E2C">
        <w:rPr>
          <w:rFonts w:ascii="Courier New" w:eastAsia="Times New Roman" w:hAnsi="Courier New" w:cs="Courier New"/>
          <w:color w:val="000000"/>
          <w:sz w:val="21"/>
          <w:szCs w:val="21"/>
        </w:rPr>
        <w:t>SkiableTerrain_ac    -5.249780</w:t>
      </w:r>
    </w:p>
    <w:p w14:paraId="2848A942" w14:textId="77777777" w:rsidR="00185E2C" w:rsidRPr="00185E2C" w:rsidRDefault="00185E2C" w:rsidP="00185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5E2C">
        <w:rPr>
          <w:rFonts w:ascii="Courier New" w:eastAsia="Times New Roman" w:hAnsi="Courier New" w:cs="Courier New"/>
          <w:color w:val="000000"/>
          <w:sz w:val="21"/>
          <w:szCs w:val="21"/>
        </w:rPr>
        <w:t>dtype: float64</w:t>
      </w:r>
    </w:p>
    <w:p w14:paraId="27E95E68" w14:textId="77777777" w:rsidR="00185E2C" w:rsidRDefault="00185E2C" w:rsidP="009C677A"/>
    <w:p w14:paraId="2C1E2254" w14:textId="6AA51078" w:rsidR="00185E2C" w:rsidRDefault="00185E2C" w:rsidP="00185E2C">
      <w:r>
        <w:lastRenderedPageBreak/>
        <w:t xml:space="preserve">The Random Forest Model returned the following top four features as: </w:t>
      </w:r>
      <w:r w:rsidRPr="00185E2C">
        <w:rPr>
          <w:i/>
          <w:iCs/>
        </w:rPr>
        <w:t>fastQuads</w:t>
      </w:r>
      <w:r>
        <w:t xml:space="preserve">, </w:t>
      </w:r>
      <w:r w:rsidRPr="00185E2C">
        <w:rPr>
          <w:i/>
          <w:iCs/>
        </w:rPr>
        <w:t>Runs</w:t>
      </w:r>
      <w:r>
        <w:t xml:space="preserve">, </w:t>
      </w:r>
      <w:r w:rsidRPr="00185E2C">
        <w:rPr>
          <w:i/>
          <w:iCs/>
        </w:rPr>
        <w:t>Snow Making_ac</w:t>
      </w:r>
      <w:r>
        <w:t xml:space="preserve">, and </w:t>
      </w:r>
      <w:r w:rsidRPr="00185E2C">
        <w:rPr>
          <w:i/>
          <w:iCs/>
        </w:rPr>
        <w:t>vertical_drop</w:t>
      </w:r>
      <w:r>
        <w:t xml:space="preserve"> – please refer to FIG. 2 with a corresponding bar plot that shows the feature importance ranking.</w:t>
      </w:r>
    </w:p>
    <w:p w14:paraId="1F4A174F" w14:textId="2F70C09D" w:rsidR="00CE72B2" w:rsidRDefault="00CE72B2" w:rsidP="00185E2C">
      <w:pPr>
        <w:keepNext/>
        <w:jc w:val="center"/>
      </w:pPr>
      <w:r>
        <w:rPr>
          <w:noProof/>
        </w:rPr>
        <w:drawing>
          <wp:inline distT="0" distB="0" distL="0" distR="0" wp14:anchorId="218B617F" wp14:editId="606D210F">
            <wp:extent cx="4558420" cy="3661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06" cy="367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7DA1" w14:textId="644884F8" w:rsidR="00185E2C" w:rsidRPr="00185E2C" w:rsidRDefault="00185E2C" w:rsidP="00185E2C">
      <w:pPr>
        <w:jc w:val="center"/>
        <w:rPr>
          <w:b/>
          <w:bCs/>
          <w:color w:val="4472C4" w:themeColor="accent1"/>
        </w:rPr>
      </w:pPr>
      <w:r w:rsidRPr="00185E2C">
        <w:rPr>
          <w:b/>
          <w:bCs/>
          <w:color w:val="4472C4" w:themeColor="accent1"/>
        </w:rPr>
        <w:t xml:space="preserve">FIG. </w:t>
      </w:r>
      <w:r w:rsidRPr="00185E2C">
        <w:rPr>
          <w:b/>
          <w:bCs/>
          <w:color w:val="4472C4" w:themeColor="accent1"/>
        </w:rPr>
        <w:fldChar w:fldCharType="begin"/>
      </w:r>
      <w:r w:rsidRPr="00185E2C">
        <w:rPr>
          <w:b/>
          <w:bCs/>
          <w:color w:val="4472C4" w:themeColor="accent1"/>
        </w:rPr>
        <w:instrText xml:space="preserve"> SEQ FIG. \* ARABIC </w:instrText>
      </w:r>
      <w:r w:rsidRPr="00185E2C">
        <w:rPr>
          <w:b/>
          <w:bCs/>
          <w:color w:val="4472C4" w:themeColor="accent1"/>
        </w:rPr>
        <w:fldChar w:fldCharType="separate"/>
      </w:r>
      <w:r>
        <w:rPr>
          <w:b/>
          <w:bCs/>
          <w:noProof/>
          <w:color w:val="4472C4" w:themeColor="accent1"/>
        </w:rPr>
        <w:t>2</w:t>
      </w:r>
      <w:r w:rsidRPr="00185E2C">
        <w:rPr>
          <w:b/>
          <w:bCs/>
          <w:color w:val="4472C4" w:themeColor="accent1"/>
        </w:rPr>
        <w:fldChar w:fldCharType="end"/>
      </w:r>
    </w:p>
    <w:p w14:paraId="435B85C7" w14:textId="77777777" w:rsidR="00916691" w:rsidRDefault="00185E2C" w:rsidP="00185E2C">
      <w:r>
        <w:t xml:space="preserve">While </w:t>
      </w:r>
      <w:r w:rsidR="00916691">
        <w:t xml:space="preserve">we found that </w:t>
      </w:r>
      <w:r>
        <w:t xml:space="preserve">the main features </w:t>
      </w:r>
      <w:r w:rsidR="00916691">
        <w:t>are common for both of the models</w:t>
      </w:r>
      <w:r>
        <w:t>,</w:t>
      </w:r>
      <w:r w:rsidR="00916691">
        <w:t xml:space="preserve"> we needed to assess their respective performance to select the more accurate one. We have assessed the two models and concluded that the random forest model was a better choice, because it showed a lower cross-validation man absolute error than that of the linear model and also, less variability.</w:t>
      </w:r>
    </w:p>
    <w:p w14:paraId="2D334E89" w14:textId="734A10F1" w:rsidR="009C677A" w:rsidRDefault="00BF715B" w:rsidP="009C677A">
      <w:r>
        <w:t>W</w:t>
      </w:r>
      <w:r w:rsidR="00916691">
        <w:t xml:space="preserve">e </w:t>
      </w:r>
      <w:r w:rsidR="00787149">
        <w:t xml:space="preserve">built and </w:t>
      </w:r>
      <w:r w:rsidR="009C677A">
        <w:t>r</w:t>
      </w:r>
      <w:r w:rsidR="00787149">
        <w:t>a</w:t>
      </w:r>
      <w:r w:rsidR="009C677A">
        <w:t xml:space="preserve">n </w:t>
      </w:r>
      <w:r w:rsidR="00787149">
        <w:t xml:space="preserve">the random forest </w:t>
      </w:r>
      <w:r w:rsidR="009C677A">
        <w:t>model using 4 scenarios: 1 – closing down up to 10 the least used runs; 2 – increase the vertical drop by adding a run with 150 feet lower point, but at the expense of installing a new chair; 3 – same as scenario 1 but adding 2 acres of snow making; 4 – increase the longest run by 0.2 miles, a total of 3.5 mile, but requiring snow making coverage of 4 acres.</w:t>
      </w:r>
    </w:p>
    <w:p w14:paraId="2458AC12" w14:textId="4F1EDDD2" w:rsidR="009C677A" w:rsidRDefault="009C677A" w:rsidP="009C677A">
      <w:r>
        <w:t>The results showed the following:</w:t>
      </w:r>
    </w:p>
    <w:p w14:paraId="78CE0142" w14:textId="572B2CBD" w:rsidR="009C677A" w:rsidRDefault="009C677A" w:rsidP="009C677A">
      <w:r w:rsidRPr="009C677A">
        <w:rPr>
          <w:b/>
          <w:bCs/>
        </w:rPr>
        <w:t>Scenario 1:</w:t>
      </w:r>
      <w:r>
        <w:t xml:space="preserve"> </w:t>
      </w:r>
      <w:r w:rsidR="00393D74">
        <w:t xml:space="preserve">As may be seen from below FIG. 1, </w:t>
      </w:r>
      <w:r>
        <w:t>closing down 2-3 runs reduces support for ticket pricing by $0.5</w:t>
      </w:r>
      <w:r w:rsidR="00393D74">
        <w:t>0.</w:t>
      </w:r>
      <w:r>
        <w:t xml:space="preserve"> </w:t>
      </w:r>
      <w:r w:rsidR="00393D74">
        <w:t>C</w:t>
      </w:r>
      <w:r>
        <w:t>losing of another 1-2 runs, i.e., total of 4-5 runs, does not result in further reduction in the price support; however, closing down 6 or more runs leads to significant drops in price support.</w:t>
      </w:r>
    </w:p>
    <w:p w14:paraId="63043A76" w14:textId="6104E4E3" w:rsidR="00787149" w:rsidRDefault="00787149" w:rsidP="00787149">
      <w:pPr>
        <w:keepNext/>
      </w:pPr>
      <w:r>
        <w:rPr>
          <w:noProof/>
        </w:rPr>
        <w:lastRenderedPageBreak/>
        <w:drawing>
          <wp:inline distT="0" distB="0" distL="0" distR="0" wp14:anchorId="74A87EE1" wp14:editId="746B39D8">
            <wp:extent cx="5183109" cy="2767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34" cy="27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4E75" w14:textId="314CBFEB" w:rsidR="00787149" w:rsidRPr="00393D74" w:rsidRDefault="00787149" w:rsidP="00393D74">
      <w:pPr>
        <w:rPr>
          <w:b/>
          <w:bCs/>
          <w:color w:val="4472C4" w:themeColor="accent1"/>
        </w:rPr>
      </w:pPr>
      <w:r w:rsidRPr="00393D74">
        <w:rPr>
          <w:b/>
          <w:bCs/>
          <w:color w:val="4472C4" w:themeColor="accent1"/>
        </w:rPr>
        <w:t xml:space="preserve">FIG. </w:t>
      </w:r>
      <w:r w:rsidRPr="00393D74">
        <w:rPr>
          <w:b/>
          <w:bCs/>
          <w:color w:val="4472C4" w:themeColor="accent1"/>
        </w:rPr>
        <w:fldChar w:fldCharType="begin"/>
      </w:r>
      <w:r w:rsidRPr="00393D74">
        <w:rPr>
          <w:b/>
          <w:bCs/>
          <w:color w:val="4472C4" w:themeColor="accent1"/>
        </w:rPr>
        <w:instrText xml:space="preserve"> SEQ FIG. \* ARABIC </w:instrText>
      </w:r>
      <w:r w:rsidRPr="00393D74">
        <w:rPr>
          <w:b/>
          <w:bCs/>
          <w:color w:val="4472C4" w:themeColor="accent1"/>
        </w:rPr>
        <w:fldChar w:fldCharType="separate"/>
      </w:r>
      <w:r w:rsidR="00185E2C">
        <w:rPr>
          <w:b/>
          <w:bCs/>
          <w:noProof/>
          <w:color w:val="4472C4" w:themeColor="accent1"/>
        </w:rPr>
        <w:t>3</w:t>
      </w:r>
      <w:r w:rsidRPr="00393D74">
        <w:rPr>
          <w:b/>
          <w:bCs/>
          <w:color w:val="4472C4" w:themeColor="accent1"/>
        </w:rPr>
        <w:fldChar w:fldCharType="end"/>
      </w:r>
    </w:p>
    <w:p w14:paraId="12132F33" w14:textId="583F0766" w:rsidR="009C677A" w:rsidRDefault="009C677A" w:rsidP="009C677A">
      <w:r w:rsidRPr="009C677A">
        <w:rPr>
          <w:b/>
          <w:bCs/>
        </w:rPr>
        <w:t>Scenario 2:</w:t>
      </w:r>
      <w:r>
        <w:t xml:space="preserve"> adding 150 feet drop increases the price support by $8.61 and leads to $15,065,471 in additional revenue projection; however, the additional Opex of $1,540,000 will need to be factored in in to determine the assumed profit margin.</w:t>
      </w:r>
    </w:p>
    <w:p w14:paraId="05067280" w14:textId="5232120D" w:rsidR="009C677A" w:rsidRDefault="009C677A" w:rsidP="009C677A">
      <w:r w:rsidRPr="009C677A">
        <w:rPr>
          <w:b/>
          <w:bCs/>
        </w:rPr>
        <w:t>Scenario 3:</w:t>
      </w:r>
      <w:r>
        <w:t xml:space="preserve"> adding 150 feet drop AND adding the snow making area increases support for ticket price by $9.90 and leads to $17,322,717 in additional revenue projection; however, on top of adding $1,540,000 for the new chair, we will need also factor in the additional operating costs due to increased snow making capacity, to determine the assumed profit margin.</w:t>
      </w:r>
    </w:p>
    <w:p w14:paraId="63634A1A" w14:textId="77777777" w:rsidR="009C677A" w:rsidRDefault="009C677A" w:rsidP="009C677A">
      <w:r w:rsidRPr="009C677A">
        <w:rPr>
          <w:b/>
          <w:bCs/>
        </w:rPr>
        <w:t>Scenario 4:</w:t>
      </w:r>
      <w:r>
        <w:t xml:space="preserve"> increasing the longest run by 0.2 miles and adding 4 acres of snow making capability does not move the needle at all – it is obvious the random forest regression model ranked this feature as not important. Plus, the increased operating cost related to adding more snow making capacity will erode the profit margins.</w:t>
      </w:r>
    </w:p>
    <w:p w14:paraId="731EAAB9" w14:textId="77777777" w:rsidR="009C677A" w:rsidRDefault="009C677A" w:rsidP="009C677A">
      <w:r>
        <w:t>We would recommend that BMR management considers Scenario 2 as the optimal strategy, because for the additional revenue increase of $15,065,471 or $8.60/ticket, BMR would net $13,525,471 in gross profit margins, or $7.72/ticket – after factoring in the increased Opex of $1,540,000 or $0.88/ticket.</w:t>
      </w:r>
    </w:p>
    <w:p w14:paraId="7A886EE5" w14:textId="77777777" w:rsidR="009C677A" w:rsidRDefault="009C677A" w:rsidP="009C677A">
      <w:r>
        <w:t>Scenario 3, although suggesting even a bigger revenue increase in projected revenue of $17,322,717 or $9.89/ticket than in Scenario 2, is only a $1.29 increase in the ticket price, which after applying the increased Opex for the new chair, results in a $0.41/ticket gross margin increase. However, after applying the increased Opex for snow making capacity to cover 4 acres, this potential gain is likely get diminished further and even result in a negative delta.</w:t>
      </w:r>
    </w:p>
    <w:p w14:paraId="4C674223" w14:textId="75557C37" w:rsidR="00680440" w:rsidRDefault="009C677A" w:rsidP="00680440">
      <w:r>
        <w:t>Finally, we would also recommend BMR to close down up to 5 the least used runs – which may result in lowering the ticket prices by $0.50/ticket, but would also greatly reduce the operating expenses, so the overall gross profit margins would go up even further. We would recommend that BMR starts with closing down the first 3 runs to test the theoretical assumptions and then proceed with closing down the 4th and 5th runs accordingly.</w:t>
      </w:r>
    </w:p>
    <w:sectPr w:rsidR="00680440" w:rsidSect="0074284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82FBF"/>
    <w:multiLevelType w:val="hybridMultilevel"/>
    <w:tmpl w:val="954AC8E2"/>
    <w:lvl w:ilvl="0" w:tplc="804689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04B94"/>
    <w:multiLevelType w:val="hybridMultilevel"/>
    <w:tmpl w:val="D2E4EFAE"/>
    <w:lvl w:ilvl="0" w:tplc="6F72EC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CC"/>
    <w:rsid w:val="00005AEC"/>
    <w:rsid w:val="00010B13"/>
    <w:rsid w:val="000113BC"/>
    <w:rsid w:val="00024F21"/>
    <w:rsid w:val="00054BD6"/>
    <w:rsid w:val="0008681F"/>
    <w:rsid w:val="000A55B4"/>
    <w:rsid w:val="000E2104"/>
    <w:rsid w:val="000E504F"/>
    <w:rsid w:val="000F0A34"/>
    <w:rsid w:val="00100B9B"/>
    <w:rsid w:val="001033CA"/>
    <w:rsid w:val="0010623D"/>
    <w:rsid w:val="00117B97"/>
    <w:rsid w:val="00185E2C"/>
    <w:rsid w:val="001F7091"/>
    <w:rsid w:val="001F7488"/>
    <w:rsid w:val="00253CEC"/>
    <w:rsid w:val="002542CC"/>
    <w:rsid w:val="0025496C"/>
    <w:rsid w:val="00286469"/>
    <w:rsid w:val="002874D8"/>
    <w:rsid w:val="002E2B4D"/>
    <w:rsid w:val="002E75B3"/>
    <w:rsid w:val="002F6BE2"/>
    <w:rsid w:val="002F7892"/>
    <w:rsid w:val="00305909"/>
    <w:rsid w:val="00307099"/>
    <w:rsid w:val="00316ABF"/>
    <w:rsid w:val="00333E3C"/>
    <w:rsid w:val="00347A00"/>
    <w:rsid w:val="003838AE"/>
    <w:rsid w:val="00393D74"/>
    <w:rsid w:val="003B7667"/>
    <w:rsid w:val="003C037E"/>
    <w:rsid w:val="003D0ED6"/>
    <w:rsid w:val="00403DD4"/>
    <w:rsid w:val="004176CD"/>
    <w:rsid w:val="00471819"/>
    <w:rsid w:val="00495188"/>
    <w:rsid w:val="004B09A7"/>
    <w:rsid w:val="004C624C"/>
    <w:rsid w:val="004D3D82"/>
    <w:rsid w:val="004F2E0B"/>
    <w:rsid w:val="00504D31"/>
    <w:rsid w:val="00511B00"/>
    <w:rsid w:val="0055355B"/>
    <w:rsid w:val="00564CE2"/>
    <w:rsid w:val="005903EE"/>
    <w:rsid w:val="005D34F2"/>
    <w:rsid w:val="005D3D57"/>
    <w:rsid w:val="005E74B0"/>
    <w:rsid w:val="0060223E"/>
    <w:rsid w:val="00680440"/>
    <w:rsid w:val="006933FE"/>
    <w:rsid w:val="006C32DB"/>
    <w:rsid w:val="006D137D"/>
    <w:rsid w:val="007238F9"/>
    <w:rsid w:val="00742843"/>
    <w:rsid w:val="007462D3"/>
    <w:rsid w:val="00761995"/>
    <w:rsid w:val="007764B1"/>
    <w:rsid w:val="00787149"/>
    <w:rsid w:val="007B1E21"/>
    <w:rsid w:val="007C27F8"/>
    <w:rsid w:val="00803E03"/>
    <w:rsid w:val="008170B9"/>
    <w:rsid w:val="00830973"/>
    <w:rsid w:val="00870E36"/>
    <w:rsid w:val="008B55F3"/>
    <w:rsid w:val="00911299"/>
    <w:rsid w:val="00916691"/>
    <w:rsid w:val="009457F3"/>
    <w:rsid w:val="00982B85"/>
    <w:rsid w:val="009C677A"/>
    <w:rsid w:val="009C68FB"/>
    <w:rsid w:val="009E313C"/>
    <w:rsid w:val="009E41F6"/>
    <w:rsid w:val="00A36288"/>
    <w:rsid w:val="00A40973"/>
    <w:rsid w:val="00A54E12"/>
    <w:rsid w:val="00A77D45"/>
    <w:rsid w:val="00AA21A6"/>
    <w:rsid w:val="00AA3CC9"/>
    <w:rsid w:val="00AB0ADB"/>
    <w:rsid w:val="00AB4E33"/>
    <w:rsid w:val="00AE2F98"/>
    <w:rsid w:val="00B121C4"/>
    <w:rsid w:val="00B21190"/>
    <w:rsid w:val="00B24D4E"/>
    <w:rsid w:val="00B34A07"/>
    <w:rsid w:val="00B55192"/>
    <w:rsid w:val="00B55F65"/>
    <w:rsid w:val="00BF3E0C"/>
    <w:rsid w:val="00BF619B"/>
    <w:rsid w:val="00BF715B"/>
    <w:rsid w:val="00C352DD"/>
    <w:rsid w:val="00C36429"/>
    <w:rsid w:val="00C428A3"/>
    <w:rsid w:val="00C43CD9"/>
    <w:rsid w:val="00C856B7"/>
    <w:rsid w:val="00CD405B"/>
    <w:rsid w:val="00CD68CD"/>
    <w:rsid w:val="00CE3837"/>
    <w:rsid w:val="00CE6A2F"/>
    <w:rsid w:val="00CE72B2"/>
    <w:rsid w:val="00D246CC"/>
    <w:rsid w:val="00D36FB2"/>
    <w:rsid w:val="00D45CBE"/>
    <w:rsid w:val="00D60DAF"/>
    <w:rsid w:val="00D64556"/>
    <w:rsid w:val="00D8079A"/>
    <w:rsid w:val="00D813F7"/>
    <w:rsid w:val="00D918B2"/>
    <w:rsid w:val="00E00BE2"/>
    <w:rsid w:val="00E07FBD"/>
    <w:rsid w:val="00E3237B"/>
    <w:rsid w:val="00E9322E"/>
    <w:rsid w:val="00EB3ACC"/>
    <w:rsid w:val="00EE540C"/>
    <w:rsid w:val="00EF2453"/>
    <w:rsid w:val="00F0604C"/>
    <w:rsid w:val="00F20752"/>
    <w:rsid w:val="00F31A97"/>
    <w:rsid w:val="00F40FA5"/>
    <w:rsid w:val="00F61B2B"/>
    <w:rsid w:val="00FA3C12"/>
    <w:rsid w:val="00FA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7CAD"/>
  <w15:chartTrackingRefBased/>
  <w15:docId w15:val="{BC671D7D-B545-4F26-B943-D5CE6039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7E"/>
    <w:pPr>
      <w:ind w:left="720"/>
      <w:contextualSpacing/>
    </w:pPr>
  </w:style>
  <w:style w:type="table" w:styleId="TableGrid">
    <w:name w:val="Table Grid"/>
    <w:basedOn w:val="TableNormal"/>
    <w:uiPriority w:val="39"/>
    <w:rsid w:val="0000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837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1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8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74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420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052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0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0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02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2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F2E6D-496F-411D-A0CE-C144C87F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 Uraimov</dc:creator>
  <cp:keywords/>
  <dc:description/>
  <cp:lastModifiedBy>Aibek Uraimov</cp:lastModifiedBy>
  <cp:revision>104</cp:revision>
  <dcterms:created xsi:type="dcterms:W3CDTF">2021-01-21T18:43:00Z</dcterms:created>
  <dcterms:modified xsi:type="dcterms:W3CDTF">2021-02-01T09:15:00Z</dcterms:modified>
</cp:coreProperties>
</file>