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Noto Sans CJK JP"/>
          <w:b/>
          <w:color w:val="0068B6"/>
          <w:sz w:val="48"/>
        </w:rPr>
        <w:t>i-Power Engine</w:t>
        <w:br/>
        <w:t>HEMS SVA設計書</w:t>
      </w:r>
    </w:p>
    <w:p>
      <w:pPr>
        <w:pStyle w:val="Subtitle"/>
        <w:spacing w:before="0" w:after="160" w:line="276" w:lineRule="auto"/>
      </w:pPr>
      <w:r>
        <w:rPr>
          <w:i/>
        </w:rPr>
        <w:t>JSON / Markdown から生成した提出用 DOCX テンプレート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対象: 太陽光・蓄電池特化型 HEMS</w:t>
              <w:br/>
              <w:t>目的: メーカー非依存な見える化・選択・制御の設計基盤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2381"/>
            <w:shd w:fill="D9EA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b/>
              </w:rPr>
              <w:t>プロジェクト名</w:t>
            </w:r>
          </w:p>
        </w:tc>
        <w:tc>
          <w:tcPr>
            <w:tcW w:type="dxa" w:w="606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t>i-Power Engine</w:t>
            </w:r>
          </w:p>
        </w:tc>
      </w:tr>
      <w:tr>
        <w:trPr/>
        <w:tc>
          <w:tcPr>
            <w:tcW w:type="dxa" w:w="2381"/>
            <w:shd w:fill="D9EA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b/>
              </w:rPr>
              <w:t>バージョン</w:t>
            </w:r>
          </w:p>
        </w:tc>
        <w:tc>
          <w:tcPr>
            <w:tcW w:type="dxa" w:w="606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t>0.1.0</w:t>
            </w:r>
          </w:p>
        </w:tc>
      </w:tr>
      <w:tr>
        <w:trPr/>
        <w:tc>
          <w:tcPr>
            <w:tcW w:type="dxa" w:w="2381"/>
            <w:shd w:fill="D9EA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b/>
              </w:rPr>
              <w:t>ステータス</w:t>
            </w:r>
          </w:p>
        </w:tc>
        <w:tc>
          <w:tcPr>
            <w:tcW w:type="dxa" w:w="606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t>draft</w:t>
            </w:r>
          </w:p>
        </w:tc>
      </w:tr>
      <w:tr>
        <w:trPr/>
        <w:tc>
          <w:tcPr>
            <w:tcW w:type="dxa" w:w="2381"/>
            <w:shd w:fill="D9EA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b/>
              </w:rPr>
              <w:t>言語</w:t>
            </w:r>
          </w:p>
        </w:tc>
        <w:tc>
          <w:tcPr>
            <w:tcW w:type="dxa" w:w="606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t>ja</w:t>
            </w:r>
          </w:p>
        </w:tc>
      </w:tr>
      <w:tr>
        <w:trPr/>
        <w:tc>
          <w:tcPr>
            <w:tcW w:type="dxa" w:w="2381"/>
            <w:shd w:fill="D9EAF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b/>
              </w:rPr>
              <w:t>最終更新日</w:t>
            </w:r>
          </w:p>
        </w:tc>
        <w:tc>
          <w:tcPr>
            <w:tcW w:type="dxa" w:w="606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t>2026-03-17</w:t>
            </w:r>
          </w:p>
        </w:tc>
      </w:tr>
    </w:tbl>
    <w:p/>
    <w:p>
      <w:pPr>
        <w:spacing w:before="0" w:after="120" w:line="283" w:lineRule="auto"/>
      </w:pPr>
      <w:r>
        <w:rPr>
          <w:rFonts w:ascii="Aptos" w:hAnsi="Aptos" w:eastAsia="Noto Sans CJK JP"/>
          <w:b/>
          <w:color w:val="0068B6"/>
          <w:sz w:val="21"/>
        </w:rPr>
        <w:t xml:space="preserve">注意  </w:t>
      </w:r>
      <w:r>
        <w:t>現在の instance JSON はスターター版のため、一部セクションは「定義なし」または最小記述です。案件具体化に応じて JSON を更新し、本書を再生成する想定です。</w:t>
      </w:r>
    </w:p>
    <w:p>
      <w:r>
        <w:br w:type="page"/>
      </w:r>
    </w:p>
    <w:p>
      <w:pPr>
        <w:pStyle w:val="Heading1"/>
        <w:spacing w:before="60" w:after="80" w:line="276" w:lineRule="auto"/>
      </w:pPr>
      <w:r>
        <w:t>1. プロダクト概要</w:t>
      </w:r>
    </w:p>
    <w:p>
      <w:pPr>
        <w:spacing w:before="0" w:after="80" w:line="288" w:lineRule="auto"/>
      </w:pPr>
      <w:r>
        <w:t>メーカー非依存で太陽光発電および蓄電池の見える化・選択・制御を可能にする次世代HEMSを実現する。</w:t>
      </w:r>
    </w:p>
    <w:p>
      <w:pPr>
        <w:pStyle w:val="Heading2"/>
        <w:spacing w:before="40" w:after="40" w:line="276" w:lineRule="auto"/>
      </w:pPr>
      <w:r>
        <w:t>目的</w:t>
      </w:r>
    </w:p>
    <w:p>
      <w:pPr>
        <w:pStyle w:val="ListBullet"/>
        <w:spacing w:before="0" w:after="0" w:line="276" w:lineRule="auto"/>
      </w:pPr>
      <w:r>
        <w:t>太陽光・蓄電池・買電/売電データを安定取得する</w:t>
      </w:r>
    </w:p>
    <w:p>
      <w:pPr>
        <w:pStyle w:val="ListBullet"/>
        <w:spacing w:before="0" w:after="0" w:line="276" w:lineRule="auto"/>
      </w:pPr>
      <w:r>
        <w:t>ユーザーが自らの意思でエネルギー運用方針を選択できるようにする</w:t>
      </w:r>
    </w:p>
    <w:p>
      <w:pPr>
        <w:pStyle w:val="Heading2"/>
        <w:spacing w:before="40" w:after="40" w:line="276" w:lineRule="auto"/>
      </w:pPr>
      <w:r>
        <w:t>スコープ</w:t>
      </w:r>
    </w:p>
    <w:p>
      <w:pPr>
        <w:pStyle w:val="ListBullet"/>
        <w:spacing w:before="0" w:after="0" w:line="276" w:lineRule="auto"/>
      </w:pPr>
      <w:r>
        <w:t>HEMSコントローラ</w:t>
      </w:r>
    </w:p>
    <w:p>
      <w:pPr>
        <w:pStyle w:val="ListBullet"/>
        <w:spacing w:before="0" w:after="0" w:line="276" w:lineRule="auto"/>
      </w:pPr>
      <w:r>
        <w:t>クラウドバックエンド</w:t>
      </w:r>
    </w:p>
    <w:p>
      <w:pPr>
        <w:pStyle w:val="ListBullet"/>
        <w:spacing w:before="0" w:after="0" w:line="276" w:lineRule="auto"/>
      </w:pPr>
      <w:r>
        <w:t>家庭内ユーザーアプリ</w:t>
      </w:r>
    </w:p>
    <w:p>
      <w:pPr>
        <w:pStyle w:val="ListBullet"/>
        <w:spacing w:before="0" w:after="0" w:line="276" w:lineRule="auto"/>
      </w:pPr>
      <w:r>
        <w:t>管理者アプリ</w:t>
      </w:r>
    </w:p>
    <w:p>
      <w:pPr>
        <w:pStyle w:val="Heading2"/>
        <w:spacing w:before="40" w:after="40" w:line="276" w:lineRule="auto"/>
      </w:pPr>
      <w:r>
        <w:t>スコープ外</w:t>
      </w:r>
    </w:p>
    <w:p>
      <w:pPr>
        <w:pStyle w:val="ListBullet"/>
        <w:spacing w:before="0" w:after="0" w:line="276" w:lineRule="auto"/>
      </w:pPr>
      <w:r>
        <w:t>初期フェーズにおける全メーカー完全対応</w:t>
      </w:r>
    </w:p>
    <w:p>
      <w:pPr>
        <w:pStyle w:val="Heading2"/>
        <w:spacing w:before="40" w:after="40" w:line="276" w:lineRule="auto"/>
      </w:pPr>
      <w:r>
        <w:t>ユーザーモード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84"/>
            <w:shd w:fill="D9EAF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b/>
                <w:sz w:val="19"/>
              </w:rPr>
              <w:t>モード</w:t>
            </w:r>
          </w:p>
        </w:tc>
        <w:tc>
          <w:tcPr>
            <w:tcW w:type="dxa" w:w="2041"/>
            <w:shd w:fill="D9EAF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b/>
                <w:sz w:val="19"/>
              </w:rPr>
              <w:t>説明</w:t>
            </w:r>
          </w:p>
        </w:tc>
        <w:tc>
          <w:tcPr>
            <w:tcW w:type="dxa" w:w="1928"/>
            <w:shd w:fill="D9EAF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b/>
                <w:sz w:val="19"/>
              </w:rPr>
              <w:t>承認必須</w:t>
            </w:r>
          </w:p>
        </w:tc>
        <w:tc>
          <w:tcPr>
            <w:tcW w:type="dxa" w:w="1984"/>
            <w:shd w:fill="D9EAF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b/>
                <w:sz w:val="19"/>
              </w:rPr>
              <w:t>自動化レベル</w:t>
            </w:r>
          </w:p>
        </w:tc>
      </w:tr>
      <w:tr>
        <w:tc>
          <w:tcPr>
            <w:tcW w:type="dxa" w:w="198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sz w:val="18"/>
              </w:rPr>
              <w:t>見える化モード</w:t>
            </w:r>
          </w:p>
        </w:tc>
        <w:tc>
          <w:tcPr>
            <w:tcW w:type="dxa" w:w="204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sz w:val="18"/>
              </w:rPr>
              <w:t>計測値を可視化する</w:t>
            </w:r>
          </w:p>
        </w:tc>
        <w:tc>
          <w:tcPr>
            <w:tcW w:type="dxa" w:w="192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sz w:val="18"/>
              </w:rPr>
              <w:t>いいえ</w:t>
            </w:r>
          </w:p>
        </w:tc>
        <w:tc>
          <w:tcPr>
            <w:tcW w:type="dxa" w:w="198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ptos" w:hAnsi="Aptos" w:eastAsia="Noto Sans CJK JP"/>
                <w:sz w:val="18"/>
              </w:rPr>
              <w:t>visualization</w:t>
            </w:r>
          </w:p>
        </w:tc>
      </w:tr>
    </w:tbl>
    <w:p>
      <w:pPr>
        <w:pStyle w:val="Heading1"/>
        <w:spacing w:before="60" w:after="80" w:line="276" w:lineRule="auto"/>
      </w:pPr>
      <w:r>
        <w:t>2. SVAレイヤー設計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737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rPr>
                <w:rFonts w:ascii="Aptos" w:hAnsi="Aptos" w:eastAsia="Noto Sans CJK JP"/>
                <w:b/>
                <w:sz w:val="18"/>
              </w:rPr>
              <w:t>層</w:t>
            </w:r>
          </w:p>
        </w:tc>
        <w:tc>
          <w:tcPr>
            <w:tcW w:type="dxa" w:w="2041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rPr>
                <w:rFonts w:ascii="Aptos" w:hAnsi="Aptos" w:eastAsia="Noto Sans CJK JP"/>
                <w:b/>
                <w:sz w:val="18"/>
              </w:rPr>
              <w:t>タイトル</w:t>
            </w:r>
          </w:p>
        </w:tc>
        <w:tc>
          <w:tcPr>
            <w:tcW w:type="dxa" w:w="1814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rPr>
                <w:rFonts w:ascii="Aptos" w:hAnsi="Aptos" w:eastAsia="Noto Sans CJK JP"/>
                <w:b/>
                <w:sz w:val="18"/>
              </w:rPr>
              <w:t>意図</w:t>
            </w:r>
          </w:p>
        </w:tc>
        <w:tc>
          <w:tcPr>
            <w:tcW w:type="dxa" w:w="3402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rPr>
                <w:rFonts w:ascii="Aptos" w:hAnsi="Aptos" w:eastAsia="Noto Sans CJK JP"/>
                <w:b/>
                <w:sz w:val="18"/>
              </w:rPr>
              <w:t>主要要素 / 制約</w:t>
            </w:r>
          </w:p>
        </w:tc>
      </w:tr>
      <w:tr>
        <w:tc>
          <w:tcPr>
            <w:tcW w:type="dxa" w:w="73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L0</w:t>
            </w:r>
          </w:p>
        </w:tc>
        <w:tc>
          <w:tcPr>
            <w:tcW w:type="dxa" w:w="204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Purpose / Policy</w:t>
            </w:r>
          </w:p>
        </w:tc>
        <w:tc>
          <w:tcPr>
            <w:tcW w:type="dxa" w:w="1814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家庭エネルギー主権の実装</w:t>
            </w:r>
          </w:p>
        </w:tc>
        <w:tc>
          <w:tcPr>
            <w:tcW w:type="dxa" w:w="340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主要要素: ユーザー選択可能性</w:t>
              <w:br/>
              <w:t>制約: なし</w:t>
            </w:r>
          </w:p>
        </w:tc>
      </w:tr>
      <w:tr>
        <w:tc>
          <w:tcPr>
            <w:tcW w:type="dxa" w:w="73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L1</w:t>
            </w:r>
          </w:p>
        </w:tc>
        <w:tc>
          <w:tcPr>
            <w:tcW w:type="dxa" w:w="204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Requirement / Schema</w:t>
            </w:r>
          </w:p>
        </w:tc>
        <w:tc>
          <w:tcPr>
            <w:tcW w:type="dxa" w:w="1814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共通意味モデルの定義</w:t>
            </w:r>
          </w:p>
        </w:tc>
        <w:tc>
          <w:tcPr>
            <w:tcW w:type="dxa" w:w="340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主要要素: 計測値、イベント</w:t>
              <w:br/>
              <w:t>制約: なし</w:t>
            </w:r>
          </w:p>
        </w:tc>
      </w:tr>
      <w:tr>
        <w:tc>
          <w:tcPr>
            <w:tcW w:type="dxa" w:w="73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L2</w:t>
            </w:r>
          </w:p>
        </w:tc>
        <w:tc>
          <w:tcPr>
            <w:tcW w:type="dxa" w:w="204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Logic / AI</w:t>
            </w:r>
          </w:p>
        </w:tc>
        <w:tc>
          <w:tcPr>
            <w:tcW w:type="dxa" w:w="1814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提案ロジック</w:t>
            </w:r>
          </w:p>
        </w:tc>
        <w:tc>
          <w:tcPr>
            <w:tcW w:type="dxa" w:w="340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主要要素: 節約提案</w:t>
              <w:br/>
              <w:t>制約: なし</w:t>
            </w:r>
          </w:p>
        </w:tc>
      </w:tr>
      <w:tr>
        <w:tc>
          <w:tcPr>
            <w:tcW w:type="dxa" w:w="73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L3</w:t>
            </w:r>
          </w:p>
        </w:tc>
        <w:tc>
          <w:tcPr>
            <w:tcW w:type="dxa" w:w="204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Orchestration</w:t>
            </w:r>
          </w:p>
        </w:tc>
        <w:tc>
          <w:tcPr>
            <w:tcW w:type="dxa" w:w="1814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責任分割</w:t>
            </w:r>
          </w:p>
        </w:tc>
        <w:tc>
          <w:tcPr>
            <w:tcW w:type="dxa" w:w="340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主要要素: 同期、通知</w:t>
              <w:br/>
              <w:t>制約: なし</w:t>
            </w:r>
          </w:p>
        </w:tc>
      </w:tr>
      <w:tr>
        <w:tc>
          <w:tcPr>
            <w:tcW w:type="dxa" w:w="73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L4</w:t>
            </w:r>
          </w:p>
        </w:tc>
        <w:tc>
          <w:tcPr>
            <w:tcW w:type="dxa" w:w="204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Interface / Adapter</w:t>
            </w:r>
          </w:p>
        </w:tc>
        <w:tc>
          <w:tcPr>
            <w:tcW w:type="dxa" w:w="1814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差異吸収</w:t>
            </w:r>
          </w:p>
        </w:tc>
        <w:tc>
          <w:tcPr>
            <w:tcW w:type="dxa" w:w="340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主要要素: ECHONET、Wi-SUN</w:t>
              <w:br/>
              <w:t>制約: なし</w:t>
            </w:r>
          </w:p>
        </w:tc>
      </w:tr>
      <w:tr>
        <w:tc>
          <w:tcPr>
            <w:tcW w:type="dxa" w:w="73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L5</w:t>
            </w:r>
          </w:p>
        </w:tc>
        <w:tc>
          <w:tcPr>
            <w:tcW w:type="dxa" w:w="204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Execution / Physical</w:t>
            </w:r>
          </w:p>
        </w:tc>
        <w:tc>
          <w:tcPr>
            <w:tcW w:type="dxa" w:w="1814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実機接続</w:t>
            </w:r>
          </w:p>
        </w:tc>
        <w:tc>
          <w:tcPr>
            <w:tcW w:type="dxa" w:w="340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ptos" w:hAnsi="Aptos" w:eastAsia="Noto Sans CJK JP"/>
                <w:sz w:val="17"/>
              </w:rPr>
              <w:t>主要要素: HEMS端末、PV、Battery</w:t>
              <w:br/>
              <w:t>制約: なし</w:t>
            </w:r>
          </w:p>
        </w:tc>
      </w:tr>
    </w:tbl>
    <w:p>
      <w:pPr>
        <w:pStyle w:val="Heading1"/>
        <w:spacing w:before="60" w:after="80" w:line="276" w:lineRule="auto"/>
      </w:pPr>
      <w:r>
        <w:t>3. 縦串設計</w:t>
      </w:r>
    </w:p>
    <w:p>
      <w:pPr>
        <w:spacing w:before="0" w:after="40" w:line="276" w:lineRule="auto"/>
      </w:pPr>
      <w:r>
        <w:rPr>
          <w:i/>
        </w:rPr>
        <w:t>現時点では未定義です。</w:t>
      </w:r>
    </w:p>
    <w:p>
      <w:pPr>
        <w:pStyle w:val="ListBullet"/>
        <w:spacing w:before="0" w:after="0" w:line="276" w:lineRule="auto"/>
      </w:pPr>
      <w:r>
        <w:t>次の候補から具体化すると設計が進めやすくなります: 見える化縦串 / 節約提案縦串 / 備え優先縦串 / 通信断保護縦串</w:t>
      </w:r>
    </w:p>
    <w:p>
      <w:pPr>
        <w:pStyle w:val="Heading1"/>
        <w:spacing w:before="60" w:after="80" w:line="276" w:lineRule="auto"/>
      </w:pPr>
      <w:r>
        <w:t>4. 責任分割</w:t>
      </w:r>
    </w:p>
    <w:p>
      <w:pPr>
        <w:pStyle w:val="Heading2"/>
        <w:spacing w:before="40" w:after="40" w:line="276" w:lineRule="auto"/>
      </w:pPr>
      <w:r>
        <w:t>HEMSコントローラ</w:t>
      </w:r>
    </w:p>
    <w:p>
      <w:pPr>
        <w:pStyle w:val="Heading2"/>
        <w:spacing w:before="40" w:after="40" w:line="276" w:lineRule="auto"/>
      </w:pPr>
      <w:r>
        <w:t>主責務</w:t>
      </w:r>
    </w:p>
    <w:p>
      <w:pPr>
        <w:pStyle w:val="ListBullet"/>
        <w:spacing w:before="0" w:after="0" w:line="276" w:lineRule="auto"/>
      </w:pPr>
      <w:r>
        <w:t>機器接続維持</w:t>
      </w:r>
    </w:p>
    <w:p>
      <w:pPr>
        <w:pStyle w:val="Heading2"/>
        <w:spacing w:before="40" w:after="40" w:line="276" w:lineRule="auto"/>
      </w:pPr>
      <w:r>
        <w:t>やってはいけないこと</w:t>
      </w:r>
    </w:p>
    <w:p>
      <w:pPr>
        <w:pStyle w:val="ListBullet"/>
        <w:spacing w:before="0" w:after="0" w:line="276" w:lineRule="auto"/>
      </w:pPr>
      <w:r>
        <w:t>重い最適化を常時担当しない</w:t>
      </w:r>
    </w:p>
    <w:p>
      <w:pPr>
        <w:pStyle w:val="Heading2"/>
        <w:spacing w:before="40" w:after="40" w:line="276" w:lineRule="auto"/>
      </w:pPr>
      <w:r>
        <w:t>障害時挙動</w:t>
      </w:r>
    </w:p>
    <w:p>
      <w:pPr>
        <w:pStyle w:val="ListBullet"/>
        <w:spacing w:before="0" w:after="0" w:line="276" w:lineRule="auto"/>
      </w:pPr>
      <w:r>
        <w:t>通信断時は保守運転</w:t>
      </w:r>
    </w:p>
    <w:p>
      <w:pPr>
        <w:pStyle w:val="Heading2"/>
        <w:spacing w:before="40" w:after="40" w:line="276" w:lineRule="auto"/>
      </w:pPr>
      <w:r>
        <w:t>クラウド</w:t>
      </w:r>
    </w:p>
    <w:p>
      <w:pPr>
        <w:pStyle w:val="Heading2"/>
        <w:spacing w:before="40" w:after="40" w:line="276" w:lineRule="auto"/>
      </w:pPr>
      <w:r>
        <w:t>主責務</w:t>
      </w:r>
    </w:p>
    <w:p>
      <w:pPr>
        <w:pStyle w:val="ListBullet"/>
        <w:spacing w:before="0" w:after="0" w:line="276" w:lineRule="auto"/>
      </w:pPr>
      <w:r>
        <w:t>データ蓄積</w:t>
      </w:r>
    </w:p>
    <w:p>
      <w:pPr>
        <w:pStyle w:val="Heading2"/>
        <w:spacing w:before="40" w:after="40" w:line="276" w:lineRule="auto"/>
      </w:pPr>
      <w:r>
        <w:t>やってはいけないこと</w:t>
      </w:r>
    </w:p>
    <w:p>
      <w:pPr>
        <w:pStyle w:val="ListBullet"/>
        <w:spacing w:before="0" w:after="0" w:line="276" w:lineRule="auto"/>
      </w:pPr>
      <w:r>
        <w:t>安全制御依存</w:t>
      </w:r>
    </w:p>
    <w:p>
      <w:pPr>
        <w:pStyle w:val="Heading2"/>
        <w:spacing w:before="40" w:after="40" w:line="276" w:lineRule="auto"/>
      </w:pPr>
      <w:r>
        <w:t>障害時挙動</w:t>
      </w:r>
    </w:p>
    <w:p>
      <w:pPr>
        <w:pStyle w:val="ListBullet"/>
        <w:spacing w:before="0" w:after="0" w:line="276" w:lineRule="auto"/>
      </w:pPr>
      <w:r>
        <w:t>復旧後同期</w:t>
      </w:r>
    </w:p>
    <w:p>
      <w:pPr>
        <w:pStyle w:val="Heading2"/>
        <w:spacing w:before="40" w:after="40" w:line="276" w:lineRule="auto"/>
      </w:pPr>
      <w:r>
        <w:t>家庭内アプリ</w:t>
      </w:r>
    </w:p>
    <w:p>
      <w:pPr>
        <w:pStyle w:val="Heading2"/>
        <w:spacing w:before="40" w:after="40" w:line="276" w:lineRule="auto"/>
      </w:pPr>
      <w:r>
        <w:t>主責務</w:t>
      </w:r>
    </w:p>
    <w:p>
      <w:pPr>
        <w:pStyle w:val="ListBullet"/>
        <w:spacing w:before="0" w:after="0" w:line="276" w:lineRule="auto"/>
      </w:pPr>
      <w:r>
        <w:t>状態把握</w:t>
      </w:r>
    </w:p>
    <w:p>
      <w:pPr>
        <w:pStyle w:val="Heading2"/>
        <w:spacing w:before="40" w:after="40" w:line="276" w:lineRule="auto"/>
      </w:pPr>
      <w:r>
        <w:t>やってはいけないこと</w:t>
      </w:r>
    </w:p>
    <w:p>
      <w:pPr>
        <w:pStyle w:val="ListBullet"/>
        <w:spacing w:before="0" w:after="0" w:line="276" w:lineRule="auto"/>
      </w:pPr>
      <w:r>
        <w:t>実機プロトコルを直接扱わない</w:t>
      </w:r>
    </w:p>
    <w:p>
      <w:pPr>
        <w:pStyle w:val="Heading2"/>
        <w:spacing w:before="40" w:after="40" w:line="276" w:lineRule="auto"/>
      </w:pPr>
      <w:r>
        <w:t>障害時挙動</w:t>
      </w:r>
    </w:p>
    <w:p>
      <w:pPr>
        <w:pStyle w:val="ListBullet"/>
        <w:spacing w:before="0" w:after="0" w:line="276" w:lineRule="auto"/>
      </w:pPr>
      <w:r>
        <w:t>最新同期時刻を表示</w:t>
      </w:r>
    </w:p>
    <w:p>
      <w:pPr>
        <w:pStyle w:val="Heading2"/>
        <w:spacing w:before="40" w:after="40" w:line="276" w:lineRule="auto"/>
      </w:pPr>
      <w:r>
        <w:t>管理者アプリ</w:t>
      </w:r>
    </w:p>
    <w:p>
      <w:pPr>
        <w:pStyle w:val="Heading2"/>
        <w:spacing w:before="40" w:after="40" w:line="276" w:lineRule="auto"/>
      </w:pPr>
      <w:r>
        <w:t>主責務</w:t>
      </w:r>
    </w:p>
    <w:p>
      <w:pPr>
        <w:pStyle w:val="ListBullet"/>
        <w:spacing w:before="0" w:after="0" w:line="276" w:lineRule="auto"/>
      </w:pPr>
      <w:r>
        <w:t>運用監視</w:t>
      </w:r>
    </w:p>
    <w:p>
      <w:pPr>
        <w:pStyle w:val="Heading2"/>
        <w:spacing w:before="40" w:after="40" w:line="276" w:lineRule="auto"/>
      </w:pPr>
      <w:r>
        <w:t>やってはいけないこと</w:t>
      </w:r>
    </w:p>
    <w:p>
      <w:pPr>
        <w:pStyle w:val="ListBullet"/>
        <w:spacing w:before="0" w:after="0" w:line="276" w:lineRule="auto"/>
      </w:pPr>
      <w:r>
        <w:t>直接制御しない</w:t>
      </w:r>
    </w:p>
    <w:p>
      <w:pPr>
        <w:pStyle w:val="Heading2"/>
        <w:spacing w:before="40" w:after="40" w:line="276" w:lineRule="auto"/>
      </w:pPr>
      <w:r>
        <w:t>障害時挙動</w:t>
      </w:r>
    </w:p>
    <w:p>
      <w:pPr>
        <w:pStyle w:val="ListBullet"/>
        <w:spacing w:before="0" w:after="0" w:line="276" w:lineRule="auto"/>
      </w:pPr>
      <w:r>
        <w:t>障害分類表示</w:t>
      </w:r>
    </w:p>
    <w:p>
      <w:pPr>
        <w:pStyle w:val="Heading1"/>
        <w:spacing w:before="60" w:after="80" w:line="276" w:lineRule="auto"/>
      </w:pPr>
      <w:r>
        <w:t>5. 共通データモデル</w:t>
      </w:r>
    </w:p>
    <w:p>
      <w:pPr>
        <w:pStyle w:val="Heading2"/>
        <w:spacing w:before="40" w:after="40" w:line="276" w:lineRule="auto"/>
      </w:pPr>
      <w:r>
        <w:t>チャネル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2"/>
        <w:spacing w:before="40" w:after="40" w:line="276" w:lineRule="auto"/>
      </w:pPr>
      <w:r>
        <w:t>計測値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2"/>
        <w:spacing w:before="40" w:after="40" w:line="276" w:lineRule="auto"/>
      </w:pPr>
      <w:r>
        <w:t>イベント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2"/>
        <w:spacing w:before="40" w:after="40" w:line="276" w:lineRule="auto"/>
      </w:pPr>
      <w:r>
        <w:t>推定値ルール</w:t>
      </w:r>
    </w:p>
    <w:p>
      <w:pPr>
        <w:pStyle w:val="ListBullet"/>
        <w:spacing w:before="0" w:after="0" w:line="276" w:lineRule="auto"/>
      </w:pPr>
      <w:r>
        <w:t>推定値フラグ必須: はい</w:t>
      </w:r>
    </w:p>
    <w:p>
      <w:pPr>
        <w:pStyle w:val="ListBullet"/>
        <w:spacing w:before="0" w:after="0" w:line="276" w:lineRule="auto"/>
      </w:pPr>
      <w:r>
        <w:t>UI区別必須: はい</w:t>
      </w:r>
    </w:p>
    <w:p>
      <w:pPr>
        <w:pStyle w:val="ListBullet"/>
        <w:spacing w:before="0" w:after="0" w:line="276" w:lineRule="auto"/>
      </w:pPr>
      <w:r>
        <w:t>備考: 推定値はUI上で明示区別する</w:t>
      </w:r>
    </w:p>
    <w:p>
      <w:pPr>
        <w:pStyle w:val="Heading1"/>
        <w:spacing w:before="60" w:after="80" w:line="276" w:lineRule="auto"/>
      </w:pPr>
      <w:r>
        <w:t>6. ユースケース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1"/>
        <w:spacing w:before="60" w:after="80" w:line="276" w:lineRule="auto"/>
      </w:pPr>
      <w:r>
        <w:t>7. 非機能要件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1"/>
        <w:spacing w:before="60" w:after="80" w:line="276" w:lineRule="auto"/>
      </w:pPr>
      <w:r>
        <w:t>8. リスク登録簿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1"/>
        <w:spacing w:before="60" w:after="80" w:line="276" w:lineRule="auto"/>
      </w:pPr>
      <w:r>
        <w:t>9. 未決事項</w:t>
      </w:r>
    </w:p>
    <w:p>
      <w:pPr>
        <w:spacing w:before="0" w:after="40" w:line="276" w:lineRule="auto"/>
      </w:pPr>
      <w:r>
        <w:rPr>
          <w:i/>
        </w:rPr>
        <w:t>定義なし</w:t>
      </w:r>
    </w:p>
    <w:p>
      <w:pPr>
        <w:pStyle w:val="Heading1"/>
        <w:spacing w:before="60" w:after="80" w:line="276" w:lineRule="auto"/>
      </w:pPr>
      <w:r>
        <w:t>10. 運用フロー</w:t>
      </w:r>
    </w:p>
    <w:p>
      <w:pPr>
        <w:pStyle w:val="ListNumber"/>
        <w:spacing w:before="0" w:after="0" w:line="276" w:lineRule="auto"/>
      </w:pPr>
      <w:r>
        <w:t>instance JSON を案件ごとに更新する</w:t>
      </w:r>
    </w:p>
    <w:p>
      <w:pPr>
        <w:pStyle w:val="ListNumber"/>
        <w:spacing w:before="0" w:after="0" w:line="276" w:lineRule="auto"/>
      </w:pPr>
      <w:r>
        <w:t>Markdown を再生成してレビューする</w:t>
      </w:r>
    </w:p>
    <w:p>
      <w:pPr>
        <w:pStyle w:val="ListNumber"/>
        <w:spacing w:before="0" w:after="0" w:line="276" w:lineRule="auto"/>
      </w:pPr>
      <w:r>
        <w:t>DOCX を再生成し、体裁確認後に提出する</w:t>
      </w:r>
    </w:p>
    <w:sectPr w:rsidR="00FC693F" w:rsidRPr="0006063C" w:rsidSect="00034616">
      <w:head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  <w:jc w:val="right"/>
    </w:pPr>
    <w:r>
      <w:t>i-Power Engine | HEMS SVA 設計ドラフト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JP"/>
      <w:b/>
      <w:bCs/>
      <w:color w:val="0068B6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JP"/>
      <w:b/>
      <w:bCs/>
      <w:color w:val="0068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JP"/>
      <w:b/>
      <w:bCs/>
      <w:color w:val="0068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JP"/>
      <w:b/>
      <w:color w:val="0068B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JP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