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11906"/>
        </w:tabs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Flex页面方法完整调用过程"/>
      <w:r>
        <w:rPr>
          <w:rFonts w:hint="eastAsia"/>
          <w:b/>
          <w:bCs/>
          <w:sz w:val="32"/>
          <w:szCs w:val="32"/>
          <w:lang w:val="en-US" w:eastAsia="zh-CN"/>
        </w:rPr>
        <w:t>目录：</w:t>
      </w:r>
    </w:p>
    <w:p>
      <w:pPr>
        <w:pStyle w:val="3"/>
        <w:tabs>
          <w:tab w:val="right" w:leader="dot" w:pos="119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一、Flex页面方法完整调用过程</w:t>
      </w:r>
      <w:r>
        <w:tab/>
      </w:r>
      <w:r>
        <w:fldChar w:fldCharType="begin"/>
      </w:r>
      <w:r>
        <w:instrText xml:space="preserve"> PAGEREF _Toc29243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119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二、添加二级窗口</w:t>
      </w:r>
      <w:r>
        <w:tab/>
      </w:r>
      <w:r>
        <w:fldChar w:fldCharType="begin"/>
      </w:r>
      <w:r>
        <w:instrText xml:space="preserve"> PAGEREF _Toc2289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119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三、给输入框添加验证</w:t>
      </w:r>
      <w:r>
        <w:tab/>
      </w:r>
      <w:r>
        <w:fldChar w:fldCharType="begin"/>
      </w:r>
      <w:r>
        <w:instrText xml:space="preserve"> PAGEREF _Toc2450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11906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0" w:name="_GoBack"/>
      <w:bookmarkEnd w:id="10"/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_Toc1544"/>
      <w:bookmarkStart w:id="2" w:name="_Toc15923"/>
      <w:bookmarkStart w:id="3" w:name="_Toc3227"/>
      <w:bookmarkStart w:id="4" w:name="_Toc29243"/>
      <w:r>
        <w:rPr>
          <w:rFonts w:hint="eastAsia"/>
          <w:lang w:val="en-US" w:eastAsia="zh-CN"/>
        </w:rPr>
        <w:t>一、Flex页面方法完整调用过程</w:t>
      </w:r>
      <w:bookmarkEnd w:id="1"/>
      <w:bookmarkEnd w:id="2"/>
      <w:bookmarkEnd w:id="3"/>
      <w:bookmarkEnd w:id="4"/>
    </w:p>
    <w:bookmarkEnd w:id="0"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xxxModule.mxml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xxxPM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xxxDelegate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xxxMsg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xxxModuleConfig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A)在mxml页面中配置config如下</w:t>
      </w:r>
    </w:p>
    <w:p>
      <w:pPr>
        <w:rPr>
          <w:rFonts w:hint="eastAsia"/>
        </w:rPr>
      </w:pPr>
      <w:r>
        <w:rPr>
          <w:rFonts w:hint="eastAsia"/>
        </w:rPr>
        <w:t>&lt;fx:Declarations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&lt;parsley:ContextBuilder&gt;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&lt;parsley:ViewSettings autoremoveViewRoots="false"/&gt;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&lt;parsley:Scope name="module"/&gt;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&lt;parsley:MessageSettings defaultReceiverScope="module"/&gt;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&lt;parsley:FlexConfig type="{StationInfoModuleConfig}"/&gt;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&lt;parsley:FlexConfig type="{StationInfoFormConfig}"/&gt;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&lt;/parsley:ContextBuilder&gt;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&lt;parsley:Configure/&gt;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&lt;/fx:Declarations&gt;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B)在mxml页面中注入pm如下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37815" cy="6762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C)在mxml中调用方法如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function loadPage():void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pm.loadPage();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D)在pm中创建消息传递对象，设置type,对应delegate中的[</w:t>
      </w:r>
      <w:r>
        <w:rPr>
          <w:rFonts w:hint="eastAsia"/>
          <w:color w:val="FF0000"/>
          <w:lang w:val="en-US" w:eastAsia="zh-CN"/>
        </w:rPr>
        <w:t>Command</w:t>
      </w:r>
      <w:r>
        <w:rPr>
          <w:rFonts w:hint="eastAsia"/>
          <w:lang w:val="en-US" w:eastAsia="zh-CN"/>
        </w:rPr>
        <w:t>(selector="loadPage")]，发送消息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loadPage():void{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msg:StationInfoMsg= new StationInfoMsg();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condi.language=langMgr.currentLanguage;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msg.type = "loadPage";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msg.args["page"] = page;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msg.args["parms"] = condi;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sendMessage(msg);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E)在delegate中，定义与delegate中相对应的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，传入对应的msg对象,然后调用call,其中call的第一个参数是service中的方法名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[Command(selector="loadPage")]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getTxnDayStatPageByOrg(p_msg:StationInfoMsg):AsyncToken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call("loadPage", p_msg.args["page"], p_msg.args["parms"]);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在delegate中需要与后台交互则需要注入service，设置RemoteObject对象，如下</w:t>
      </w:r>
    </w:p>
    <w:p>
      <w:r>
        <w:drawing>
          <wp:inline distT="0" distB="0" distL="114300" distR="114300">
            <wp:extent cx="6762115" cy="26187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211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F)创建service对象并创建loadPage方法,service调用dao，dao返回给service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38290" cy="8763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G)service返回给delegate，定义对应的[</w:t>
      </w:r>
      <w:r>
        <w:rPr>
          <w:rFonts w:hint="eastAsia"/>
          <w:color w:val="FF0000"/>
          <w:lang w:val="en-US" w:eastAsia="zh-CN"/>
        </w:rPr>
        <w:t>CommandResult</w:t>
      </w:r>
      <w:r>
        <w:rPr>
          <w:rFonts w:hint="eastAsia"/>
          <w:lang w:val="en-US" w:eastAsia="zh-CN"/>
        </w:rPr>
        <w:t>(selector="loadPage")]接收service的结果，会话入ResultEvent对象和Msg对象，然后发送给pm（或mxml页面）,发送的时候定义对应的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,在pm或mxml中是通过type接收的（</w:t>
      </w:r>
      <w:r>
        <w:rPr>
          <w:rFonts w:hint="eastAsia"/>
        </w:rPr>
        <w:t>loadPageResult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[CommandResult(selector="loadPage")]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getPageByOrgResultHandler(p_result:ResultEvent, trigger:StationInfoMsg):void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msg:StationInfoMsg = new StationInfoMsg();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msg.type = "loadPageResult";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msg.result = p_result.result;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sendMessage(msg);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H)如下是在mxml页面中定义MessageHandler接收delegate中的返回结果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[MessageHandler(selector="loadPageResult")]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getPageHandler(p_msg:StationInfoMsg):void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list:Page =(p_msg.result) as Page;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pm.page=list;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if(list !=null &amp;&amp; list.result !=null){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tem:ArrayCollection =list.result as ArrayCollection;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this.db=tem;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以上是从</w:t>
      </w:r>
      <w:r>
        <w:rPr>
          <w:rFonts w:hint="eastAsia"/>
          <w:color w:val="9DC3E6" w:themeColor="accent1" w:themeTint="99"/>
          <w:shd w:val="clear" w:color="auto" w:fill="000000" w:themeFill="text1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mxml</w:t>
      </w:r>
      <w:r>
        <w:rPr>
          <w:rFonts w:hint="eastAsia"/>
          <w:shd w:val="clear" w:color="auto" w:fill="000000" w:themeFill="text1"/>
          <w:lang w:val="en-US" w:eastAsia="zh-CN"/>
        </w:rPr>
        <w:t>--&gt;pm--&gt;</w:t>
      </w:r>
      <w:r>
        <w:rPr>
          <w:rFonts w:hint="eastAsia"/>
          <w:color w:val="C55A11" w:themeColor="accent2" w:themeShade="BF"/>
          <w:shd w:val="clear" w:color="auto" w:fill="000000" w:themeFill="text1"/>
          <w:lang w:val="en-US" w:eastAsia="zh-CN"/>
        </w:rPr>
        <w:t>delegate</w:t>
      </w:r>
      <w:r>
        <w:rPr>
          <w:rFonts w:hint="eastAsia"/>
          <w:shd w:val="clear" w:color="auto" w:fill="000000" w:themeFill="text1"/>
          <w:lang w:val="en-US" w:eastAsia="zh-CN"/>
        </w:rPr>
        <w:t>--&gt;</w:t>
      </w:r>
      <w:r>
        <w:rPr>
          <w:rFonts w:hint="eastAsia"/>
          <w:color w:val="FFE699" w:themeColor="accent4" w:themeTint="66"/>
          <w:shd w:val="clear" w:color="auto" w:fill="000000" w:themeFill="text1"/>
          <w:lang w:val="en-US" w:eastAsia="zh-CN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  <w:t>service</w:t>
      </w:r>
      <w:r>
        <w:rPr>
          <w:rFonts w:hint="eastAsia"/>
          <w:shd w:val="clear" w:color="auto" w:fill="000000" w:themeFill="text1"/>
          <w:lang w:val="en-US" w:eastAsia="zh-CN"/>
        </w:rPr>
        <w:t>--&gt;dao--&gt;</w:t>
      </w:r>
      <w:r>
        <w:rPr>
          <w:rFonts w:hint="eastAsia"/>
          <w:color w:val="FFE699" w:themeColor="accent4" w:themeTint="66"/>
          <w:shd w:val="clear" w:color="auto" w:fill="000000" w:themeFill="text1"/>
          <w:lang w:val="en-US" w:eastAsia="zh-CN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  <w:t>service</w:t>
      </w:r>
      <w:r>
        <w:rPr>
          <w:rFonts w:hint="eastAsia"/>
          <w:shd w:val="clear" w:color="auto" w:fill="000000" w:themeFill="text1"/>
          <w:lang w:val="en-US" w:eastAsia="zh-CN"/>
        </w:rPr>
        <w:t>--&gt;</w:t>
      </w:r>
      <w:r>
        <w:rPr>
          <w:rFonts w:hint="eastAsia"/>
          <w:color w:val="C55A11" w:themeColor="accent2" w:themeShade="BF"/>
          <w:shd w:val="clear" w:color="auto" w:fill="000000" w:themeFill="text1"/>
          <w:lang w:val="en-US" w:eastAsia="zh-CN"/>
        </w:rPr>
        <w:t>delegate</w:t>
      </w:r>
      <w:r>
        <w:rPr>
          <w:rFonts w:hint="eastAsia"/>
          <w:shd w:val="clear" w:color="auto" w:fill="000000" w:themeFill="text1"/>
          <w:lang w:val="en-US" w:eastAsia="zh-CN"/>
        </w:rPr>
        <w:t>&gt;</w:t>
      </w:r>
      <w:r>
        <w:rPr>
          <w:rFonts w:hint="eastAsia"/>
          <w:color w:val="9DC3E6" w:themeColor="accent1" w:themeTint="99"/>
          <w:shd w:val="clear" w:color="auto" w:fill="000000" w:themeFill="text1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mxml</w:t>
      </w:r>
      <w:r>
        <w:rPr>
          <w:rFonts w:hint="eastAsia"/>
          <w:lang w:val="en-US" w:eastAsia="zh-CN"/>
        </w:rPr>
        <w:t>的完整调用过程</w:t>
      </w:r>
    </w:p>
    <w:p>
      <w:pPr>
        <w:pStyle w:val="2"/>
        <w:rPr>
          <w:rFonts w:hint="eastAsia"/>
          <w:lang w:val="en-US" w:eastAsia="zh-CN"/>
        </w:rPr>
      </w:pPr>
      <w:bookmarkStart w:id="5" w:name="_Toc12743"/>
      <w:bookmarkStart w:id="6" w:name="_Toc8465"/>
      <w:bookmarkStart w:id="7" w:name="_Toc1456"/>
      <w:bookmarkStart w:id="8" w:name="_Toc2289"/>
      <w:r>
        <w:rPr>
          <w:rFonts w:hint="eastAsia"/>
          <w:lang w:val="en-US" w:eastAsia="zh-CN"/>
        </w:rPr>
        <w:t>二、添加二级窗口</w:t>
      </w:r>
      <w:bookmarkEnd w:id="5"/>
      <w:bookmarkEnd w:id="6"/>
      <w:bookmarkEnd w:id="7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1.定义一级窗口所需的组件xxxModule.mxml、xxxModulePM、xxxModuleDelegate、xxxModuleMsg、xxxModuleConfig、xxxModuleService、xxxModuleDao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2.定义二级窗口所需组件xxxForm.mxml、xxxFormPM、xxxFormDelegate、xxxFormMsg、xxxFormConfig、xxxFormService、xxxFormDao、xxxFormVo、xxxFormConstants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3.在一级mxml中配置两个config,在二级mxml中注入二级pm,其实注入同一级注入，参考（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"_Flex页面方法完整调用过程"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Flex页面方法完整调用过程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注：在配置config的时候需要在两个页面中都添加</w:t>
      </w:r>
      <w:r>
        <w:rPr>
          <w:rFonts w:hint="eastAsia"/>
        </w:rPr>
        <w:t>&lt;parsley:Configure/&gt;</w:t>
      </w:r>
      <w:r>
        <w:rPr>
          <w:rFonts w:hint="eastAsia"/>
          <w:lang w:eastAsia="zh-CN"/>
        </w:rPr>
        <w:t>（原因不明）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在一级中调用openWin方法，内容如下，其中需要额外定义VO和Constants，PopUpManager为common中的对象，formType为Vo中额外的属性，其它像titleKey和_context为父类中的属性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add():void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vo:StationVo = new StationVo();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vo.formType=StationInfoConstants.ADD_STATIONINFO_FORM;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openWin(StationInfoConstants.ADD_STATIONINFO_FORM, vo);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openWin(p_winName:String, p_vo:StationVo):void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//dispatch event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win:StationInfoForm = new StationInfoForm();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win.titleKey = p_winName;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//加入到parsley上下文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_context.viewManager.addViewRoot(win);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PopUpManager.showForm4Parsley(IFlexDisplayObject(win), this);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win.pm.vo = p_vo;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win.pm.menuId = this.menu.id;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注：其它方法同一级窗口调用过程，其中一级mxml继承的是TabModule，二级窗口继承的是TitleWindow，config配置只能配置在一级mxml中，需要用到PM的时候各自注入即可。</w:t>
      </w:r>
    </w:p>
    <w:p>
      <w:pPr>
        <w:pStyle w:val="2"/>
        <w:rPr>
          <w:rFonts w:hint="eastAsia"/>
          <w:lang w:val="en-US" w:eastAsia="zh-CN"/>
        </w:rPr>
      </w:pPr>
      <w:bookmarkStart w:id="9" w:name="_Toc2450"/>
      <w:r>
        <w:rPr>
          <w:rFonts w:hint="eastAsia"/>
          <w:lang w:val="en-US" w:eastAsia="zh-CN"/>
        </w:rPr>
        <w:t>三、给输入框添加验证</w:t>
      </w:r>
      <w:bookmarkEnd w:id="9"/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添加红色星号,在&lt;grg:FormItem&gt;中添加required=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&lt;grg:FormItem id = "lineIdItem"  locale = "lineId" required="true"&gt;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&lt;grg:TextInput id = "lineId" name="lineId" width = "150" maxChars="32" vtype="maxchars" required="true"/&gt;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&lt;/grg:FormItem&gt;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添加内容非空校验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在&lt;grg:TextInput&gt;中添加required=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在相应的方法中添加如下内容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(VControl.validateAll(form, validators).length &gt; 0){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c)&lt;grg:TextInput&gt;的其它属性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width：指定组件在父坐标中的宽度的数字,默认值为0，可以使用百分比，如果不能则使用percentWidth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locale：国际化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maxChars：用户可以输入的字符数，如果为0则可以无限输入，超过长度则无法输入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maxnum：用户可以输入的字符数，超过长度可以输入，但无法通过校验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required：是否为必需，如果为true，那么输入框为空是不能通过校验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restrict：匹配正则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text：输入框默认内容，例：text="@{pm.termOperatorVo.contactMobilePrefix}"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enabled：是否可以让光标定位到该输入框，如为false则不能输入，不能选中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visible：是否可见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includeInLayout：指定此组件是否包含在父容器的布局中，false则有受父容器布局约束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vtype：输入框校验规则，如ip,maxchars,email等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minnum：未知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name：未知</w:t>
      </w:r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17529"/>
    <w:multiLevelType w:val="singleLevel"/>
    <w:tmpl w:val="57D1752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D17D7D"/>
    <w:multiLevelType w:val="multilevel"/>
    <w:tmpl w:val="57D17D7D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D4F404"/>
    <w:multiLevelType w:val="multilevel"/>
    <w:tmpl w:val="57D4F404"/>
    <w:lvl w:ilvl="0" w:tentative="0">
      <w:start w:val="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7D4F51A"/>
    <w:multiLevelType w:val="singleLevel"/>
    <w:tmpl w:val="57D4F51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B6A19"/>
    <w:rsid w:val="05EC1E36"/>
    <w:rsid w:val="07EF4E39"/>
    <w:rsid w:val="12CF752A"/>
    <w:rsid w:val="143E0B9A"/>
    <w:rsid w:val="152D60E5"/>
    <w:rsid w:val="17D74A3D"/>
    <w:rsid w:val="196E6C03"/>
    <w:rsid w:val="1A696F40"/>
    <w:rsid w:val="1E5278D1"/>
    <w:rsid w:val="23D44E74"/>
    <w:rsid w:val="2B7468D1"/>
    <w:rsid w:val="2F6E63E0"/>
    <w:rsid w:val="300F1318"/>
    <w:rsid w:val="30F52D66"/>
    <w:rsid w:val="312D38FE"/>
    <w:rsid w:val="33DA3EC3"/>
    <w:rsid w:val="3A1A0F37"/>
    <w:rsid w:val="3C817594"/>
    <w:rsid w:val="42581587"/>
    <w:rsid w:val="49F46E3E"/>
    <w:rsid w:val="4DE97DFE"/>
    <w:rsid w:val="542E4FF4"/>
    <w:rsid w:val="54961A6E"/>
    <w:rsid w:val="5A1B3F52"/>
    <w:rsid w:val="619715B3"/>
    <w:rsid w:val="63AB46C0"/>
    <w:rsid w:val="64DE363C"/>
    <w:rsid w:val="6A4B78EA"/>
    <w:rsid w:val="70283F2D"/>
    <w:rsid w:val="747E15BF"/>
    <w:rsid w:val="7F464F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grg</dc:creator>
  <cp:lastModifiedBy>grg</cp:lastModifiedBy>
  <dcterms:modified xsi:type="dcterms:W3CDTF">2016-09-11T09:39:04Z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