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b/>
          <w:bCs/>
          <w:color w:val="1F3864"/>
          <w:sz w:val="52"/>
          <w:szCs w:val="52"/>
        </w:rPr>
        <w:t xml:space="preserve">CAHIER DES CHARGES</w:t>
      </w:r>
    </w:p>
    <w:p>
      <w:pPr>
        <w:spacing w:after="400"/>
        <w:jc w:val="center"/>
      </w:pPr>
      <w:r>
        <w:rPr>
          <w:b/>
          <w:bCs/>
          <w:color w:val="2E74B5"/>
          <w:sz w:val="36"/>
          <w:szCs w:val="36"/>
        </w:rPr>
        <w:t xml:space="preserve">FONCTIONNEL ET TECHNIQUE</w:t>
      </w:r>
    </w:p>
    <w:p>
      <w:pPr>
        <w:spacing w:after="100" w:before="200"/>
        <w:jc w:val="center"/>
      </w:pPr>
      <w:r>
        <w:rPr>
          <w:b/>
          <w:bCs/>
          <w:color w:val="1F3864"/>
          <w:sz w:val="44"/>
          <w:szCs w:val="44"/>
        </w:rPr>
        <w:t xml:space="preserve">Kènèya Sô</w:t>
      </w:r>
    </w:p>
    <w:p>
      <w:pPr>
        <w:spacing w:after="600"/>
        <w:jc w:val="center"/>
      </w:pPr>
      <w:r>
        <w:rPr>
          <w:i/>
          <w:iCs/>
          <w:color w:val="595959"/>
          <w:sz w:val="26"/>
          <w:szCs w:val="26"/>
        </w:rPr>
        <w:t xml:space="preserve">Application de gestion hospitalière intelligente</w:t>
      </w:r>
    </w:p>
    <w:p>
      <w:pPr>
        <w:spacing w:after="80"/>
        <w:jc w:val="center"/>
      </w:pPr>
      <w:r>
        <w:rPr>
          <w:b/>
          <w:bCs/>
          <w:color w:val="C00000"/>
          <w:sz w:val="22"/>
          <w:szCs w:val="22"/>
        </w:rPr>
        <w:t xml:space="preserve">Version enrichie — Édition 2.0</w:t>
      </w:r>
    </w:p>
    <w:p>
      <w:pPr>
        <w:spacing w:after="60" w:before="800"/>
        <w:jc w:val="center"/>
      </w:pPr>
      <w:r>
        <w:rPr>
          <w:sz w:val="22"/>
          <w:szCs w:val="22"/>
        </w:rPr>
        <w:t xml:space="preserve">Destiné à : Mémoire de fin de cycle en Ingénierie Biomédicale</w:t>
      </w:r>
    </w:p>
    <w:p>
      <w:pPr>
        <w:spacing w:after="60"/>
        <w:jc w:val="center"/>
      </w:pPr>
      <w:r>
        <w:rPr>
          <w:sz w:val="22"/>
          <w:szCs w:val="22"/>
        </w:rPr>
        <w:t xml:space="preserve">Proposé par : Alpha Boubacar TOURÉ</w:t>
      </w:r>
    </w:p>
    <w:p>
      <w:pPr>
        <w:spacing w:after="60"/>
        <w:jc w:val="center"/>
      </w:pPr>
      <w:r>
        <w:rPr>
          <w:sz w:val="22"/>
          <w:szCs w:val="22"/>
        </w:rPr>
        <w:t xml:space="preserve">Contexte : Mali</w:t>
      </w:r>
    </w:p>
    <w:p>
      <w:pPr>
        <w:spacing w:before="700"/>
        <w:jc w:val="center"/>
      </w:pPr>
      <w:r>
        <w:rPr>
          <w:color w:val="595959"/>
          <w:sz w:val="20"/>
          <w:szCs w:val="20"/>
        </w:rPr>
        <w:t xml:space="preserve">Septembre 2026</w:t>
      </w:r>
    </w:p>
    <w:p>
      <w:r>
        <w:br w:type="page"/>
      </w:r>
    </w:p>
    <w:p>
      <w:pPr>
        <w:pStyle w:val="Heading1"/>
        <w:pBdr>
          <w:bottom w:val="single" w:color="1F3864" w:sz="6" w:space="4"/>
        </w:pBdr>
        <w:spacing w:after="200" w:before="400"/>
      </w:pPr>
      <w:r>
        <w:rPr>
          <w:b/>
          <w:bCs/>
          <w:color w:val="1F3864"/>
          <w:sz w:val="30"/>
          <w:szCs w:val="30"/>
        </w:rPr>
        <w:t xml:space="preserve">Sommaire</w:t>
      </w:r>
    </w:p>
    <w:p>
      <w:pPr>
        <w:spacing w:after="200"/>
      </w:pPr>
      <w:r>
        <w:rPr>
          <w:i/>
          <w:iCs/>
          <w:color w:val="595959"/>
          <w:sz w:val="18"/>
          <w:szCs w:val="18"/>
        </w:rPr>
        <w:t xml:space="preserve">(Sommaire généré automatiquement. Si les numéros de page ne s'affichent pas à l'ouverture, faites un clic droit dessus puis « Mettre à jour les champs ».)</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6" w:space="4"/>
        </w:pBdr>
        <w:spacing w:after="200" w:before="400"/>
      </w:pPr>
      <w:r>
        <w:rPr>
          <w:b/>
          <w:bCs/>
          <w:color w:val="1F3864"/>
          <w:sz w:val="30"/>
          <w:szCs w:val="30"/>
        </w:rPr>
        <w:t xml:space="preserve">1. Contexte et justification</w:t>
      </w:r>
    </w:p>
    <w:p>
      <w:pPr>
        <w:spacing w:after="140" w:line="300"/>
        <w:jc w:val="both"/>
      </w:pPr>
      <w:r>
        <w:rPr>
          <w:sz w:val="21"/>
          <w:szCs w:val="21"/>
        </w:rPr>
        <w:t xml:space="preserve">Au Mali, la gestion des structures hospitalières repose encore largement sur des processus papier ou des outils numériques partiels et non interconnectés (tableurs isolés, registres manuels, logiciels de facturation déconnectés du dossier médical). Cette situation engendre des lenteurs dans la prise en charge du patient, des pertes ou doublons de données, une traçabilité insuffisante des actes médicaux et une coordination difficile entre les services (accueil, consultation, pharmacie, laboratoire, imagerie, bloc opératoire, facturation).</w:t>
      </w:r>
    </w:p>
    <w:p>
      <w:pPr>
        <w:spacing w:after="140" w:line="300"/>
        <w:jc w:val="both"/>
      </w:pPr>
      <w:r>
        <w:rPr>
          <w:sz w:val="21"/>
          <w:szCs w:val="21"/>
        </w:rPr>
        <w:t xml:space="preserve">Le projet Kènèya Sô (« maison de la santé » en bambara) vise à offrir une plateforme numérique centralisée permettant de couvrir l'ensemble du parcours de soins : de l'accueil du patient jusqu'à la facturation, en passant par la consultation, l'hospitalisation, les actes de bloc opératoire, les examens complémentaires et la dispensation pharmaceutique. Le projet intègre nativement les langues locales (bambara, peulh, soninké) aux côtés du français, de l'anglais et de l'arabe, pour une accessibilité inclusive adaptée au contexte malien.</w:t>
      </w:r>
    </w:p>
    <w:p>
      <w:pPr>
        <w:pBdr>
          <w:left w:val="single" w:color="2E74B5" w:sz="18" w:space="8"/>
        </w:pBdr>
        <w:shd w:fill="F2F2F2" w:val="clear"/>
        <w:spacing w:after="160" w:before="100"/>
        <w:ind w:left="200"/>
      </w:pPr>
      <w:r>
        <w:rPr>
          <w:b/>
          <w:bCs/>
          <w:i/>
          <w:iCs/>
          <w:color w:val="2E74B5"/>
          <w:sz w:val="20"/>
          <w:szCs w:val="20"/>
        </w:rPr>
        <w:t xml:space="preserve">Enrichissement — </w:t>
      </w:r>
      <w:r>
        <w:rPr>
          <w:i/>
          <w:iCs/>
          <w:color w:val="444444"/>
          <w:sz w:val="20"/>
          <w:szCs w:val="20"/>
        </w:rPr>
        <w:t xml:space="preserve">Le contexte gagnerait à être appuyé par des données chiffrées (nombre d'établissements ciblés en phase pilote, volume de patients/jour, taux d'équipement informatique et de connectivité des structures visées) afin de crédibiliser le diagnostic auprès d'un jury et de dimensionner correctement l'architecture. À intégrer si ces données sont disponibles auprès de l'établissement partenaire.</w:t>
      </w:r>
    </w:p>
    <w:p>
      <w:pPr>
        <w:pStyle w:val="Heading2"/>
        <w:spacing w:after="140" w:before="280"/>
      </w:pPr>
      <w:r>
        <w:rPr>
          <w:b/>
          <w:bCs/>
          <w:color w:val="2E74B5"/>
          <w:sz w:val="25"/>
          <w:szCs w:val="25"/>
        </w:rPr>
        <w:t xml:space="preserve">1.1 Problématique</w:t>
      </w:r>
    </w:p>
    <w:p>
      <w:pPr>
        <w:spacing w:after="140" w:line="300"/>
        <w:jc w:val="both"/>
      </w:pPr>
      <w:r>
        <w:rPr>
          <w:sz w:val="21"/>
          <w:szCs w:val="21"/>
        </w:rPr>
        <w:t xml:space="preserve">Comment concevoir une plateforme numérique unique, multilingue et évolutive, capable de centraliser les données médicales et administratives d'un établissement de santé malien, tout en restant utilisable dans des conditions de connectivité et d'équipement variables ?</w:t>
      </w:r>
    </w:p>
    <w:p>
      <w:pPr>
        <w:pStyle w:val="Heading2"/>
        <w:spacing w:after="140" w:before="280"/>
      </w:pPr>
      <w:r>
        <w:rPr>
          <w:b/>
          <w:bCs/>
          <w:color w:val="2E74B5"/>
          <w:sz w:val="25"/>
          <w:szCs w:val="25"/>
        </w:rPr>
        <w:t xml:space="preserve">1.2 Enjeux</w:t>
      </w:r>
    </w:p>
    <w:p>
      <w:pPr>
        <w:pStyle w:val="ListParagraph"/>
        <w:numPr>
          <w:ilvl w:val="0"/>
          <w:numId w:val="2"/>
        </w:numPr>
        <w:spacing w:after="60" w:line="280"/>
      </w:pPr>
      <w:r>
        <w:rPr>
          <w:b w:val="false"/>
          <w:bCs w:val="false"/>
          <w:sz w:val="21"/>
          <w:szCs w:val="21"/>
        </w:rPr>
        <w:t xml:space="preserve">Enjeu sanitaire : réduire les erreurs médicales liées à la perte d'information et améliorer la continuité des soins.</w:t>
      </w:r>
    </w:p>
    <w:p>
      <w:pPr>
        <w:pStyle w:val="ListParagraph"/>
        <w:numPr>
          <w:ilvl w:val="0"/>
          <w:numId w:val="2"/>
        </w:numPr>
        <w:spacing w:after="60" w:line="280"/>
      </w:pPr>
      <w:r>
        <w:rPr>
          <w:b w:val="false"/>
          <w:bCs w:val="false"/>
          <w:sz w:val="21"/>
          <w:szCs w:val="21"/>
        </w:rPr>
        <w:t xml:space="preserve">Enjeu organisationnel : fluidifier la coordination entre services et réduire les temps d'attente.</w:t>
      </w:r>
    </w:p>
    <w:p>
      <w:pPr>
        <w:pStyle w:val="ListParagraph"/>
        <w:numPr>
          <w:ilvl w:val="0"/>
          <w:numId w:val="2"/>
        </w:numPr>
        <w:spacing w:after="60" w:line="280"/>
      </w:pPr>
      <w:r>
        <w:rPr>
          <w:b w:val="false"/>
          <w:bCs w:val="false"/>
          <w:sz w:val="21"/>
          <w:szCs w:val="21"/>
        </w:rPr>
        <w:t xml:space="preserve">Enjeu économique : sécuriser la facturation et le recouvrement (patients et assurances) et réduire les pertes financières liées aux erreurs de saisie.</w:t>
      </w:r>
    </w:p>
    <w:p>
      <w:pPr>
        <w:pStyle w:val="ListParagraph"/>
        <w:numPr>
          <w:ilvl w:val="0"/>
          <w:numId w:val="2"/>
        </w:numPr>
        <w:spacing w:after="60" w:line="280"/>
      </w:pPr>
      <w:r>
        <w:rPr>
          <w:b w:val="false"/>
          <w:bCs w:val="false"/>
          <w:sz w:val="21"/>
          <w:szCs w:val="21"/>
        </w:rPr>
        <w:t xml:space="preserve">Enjeu social : garantir l'accessibilité du système à un personnel non nécessairement anglophone ou francophone grâce au multilinguisme.</w:t>
      </w:r>
    </w:p>
    <w:p>
      <w:pPr>
        <w:pStyle w:val="ListParagraph"/>
        <w:numPr>
          <w:ilvl w:val="0"/>
          <w:numId w:val="2"/>
        </w:numPr>
        <w:spacing w:after="60" w:line="280"/>
      </w:pPr>
      <w:r>
        <w:rPr>
          <w:b w:val="false"/>
          <w:bCs w:val="false"/>
          <w:sz w:val="21"/>
          <w:szCs w:val="21"/>
        </w:rPr>
        <w:t xml:space="preserve">Enjeu stratégique : poser les bases d'une solution réplicable à d'autres établissements (logique SaaS multi-hôpitaux à terme).</w:t>
      </w:r>
    </w:p>
    <w:p>
      <w:pPr>
        <w:pStyle w:val="Heading1"/>
        <w:pBdr>
          <w:bottom w:val="single" w:color="1F3864" w:sz="6" w:space="4"/>
        </w:pBdr>
        <w:spacing w:after="200" w:before="400"/>
      </w:pPr>
      <w:r>
        <w:rPr>
          <w:b/>
          <w:bCs/>
          <w:color w:val="1F3864"/>
          <w:sz w:val="30"/>
          <w:szCs w:val="30"/>
        </w:rPr>
        <w:t xml:space="preserve">2. Objectifs</w:t>
      </w:r>
    </w:p>
    <w:p>
      <w:pPr>
        <w:pStyle w:val="Heading2"/>
        <w:spacing w:after="140" w:before="280"/>
      </w:pPr>
      <w:r>
        <w:rPr>
          <w:b/>
          <w:bCs/>
          <w:color w:val="2E74B5"/>
          <w:sz w:val="25"/>
          <w:szCs w:val="25"/>
        </w:rPr>
        <w:t xml:space="preserve">2.1 Objectif général</w:t>
      </w:r>
    </w:p>
    <w:p>
      <w:pPr>
        <w:spacing w:after="140" w:line="300"/>
        <w:jc w:val="both"/>
      </w:pPr>
      <w:r>
        <w:rPr>
          <w:sz w:val="21"/>
          <w:szCs w:val="21"/>
        </w:rPr>
        <w:t xml:space="preserve">Digitaliser l'ensemble du parcours médical du patient au sein d'un établissement de santé, de l'accueil à la facturation, en assurant la traçabilité, la sécurité et l'accessibilité multilingue des informations.</w:t>
      </w:r>
    </w:p>
    <w:p>
      <w:pPr>
        <w:pStyle w:val="Heading2"/>
        <w:spacing w:after="140" w:before="280"/>
      </w:pPr>
      <w:r>
        <w:rPr>
          <w:b/>
          <w:bCs/>
          <w:color w:val="2E74B5"/>
          <w:sz w:val="25"/>
          <w:szCs w:val="25"/>
        </w:rPr>
        <w:t xml:space="preserve">2.2 Objectifs spécifiques</w:t>
      </w:r>
    </w:p>
    <w:p>
      <w:pPr>
        <w:pStyle w:val="ListParagraph"/>
        <w:numPr>
          <w:ilvl w:val="0"/>
          <w:numId w:val="3"/>
        </w:numPr>
        <w:spacing w:after="80" w:line="280"/>
      </w:pPr>
      <w:r>
        <w:rPr>
          <w:sz w:val="21"/>
          <w:szCs w:val="21"/>
        </w:rPr>
        <w:t xml:space="preserve">Proposer un tableau de bord adapté à chaque profil utilisateur (médecin, infirmier, pharmacien, laborantin, radiologue, agent d'accueil, comptable, administrateur, personnel de bloc opératoire).</w:t>
      </w:r>
    </w:p>
    <w:p>
      <w:pPr>
        <w:pStyle w:val="ListParagraph"/>
        <w:numPr>
          <w:ilvl w:val="0"/>
          <w:numId w:val="3"/>
        </w:numPr>
        <w:spacing w:after="80" w:line="280"/>
      </w:pPr>
      <w:r>
        <w:rPr>
          <w:sz w:val="21"/>
          <w:szCs w:val="21"/>
        </w:rPr>
        <w:t xml:space="preserve">Assurer la traçabilité complète des actions médicales et administratives (qui a fait quoi, quand, sur quel dossier).</w:t>
      </w:r>
    </w:p>
    <w:p>
      <w:pPr>
        <w:pStyle w:val="ListParagraph"/>
        <w:numPr>
          <w:ilvl w:val="0"/>
          <w:numId w:val="3"/>
        </w:numPr>
        <w:spacing w:after="80" w:line="280"/>
      </w:pPr>
      <w:r>
        <w:rPr>
          <w:sz w:val="21"/>
          <w:szCs w:val="21"/>
        </w:rPr>
        <w:t xml:space="preserve">Intégrer des modules métiers avancés : pharmacie, laboratoire, imagerie, hospitalisation, assurances, bloc opératoire.</w:t>
      </w:r>
    </w:p>
    <w:p>
      <w:pPr>
        <w:pStyle w:val="ListParagraph"/>
        <w:numPr>
          <w:ilvl w:val="0"/>
          <w:numId w:val="3"/>
        </w:numPr>
        <w:spacing w:after="80" w:line="280"/>
      </w:pPr>
      <w:r>
        <w:rPr>
          <w:sz w:val="21"/>
          <w:szCs w:val="21"/>
        </w:rPr>
        <w:t xml:space="preserve">Rendre l'application multilingue (français, anglais, arabe, bambara, peulh, soninké) avec bascule de langue instantanée.</w:t>
      </w:r>
    </w:p>
    <w:p>
      <w:pPr>
        <w:pStyle w:val="ListParagraph"/>
        <w:numPr>
          <w:ilvl w:val="0"/>
          <w:numId w:val="3"/>
        </w:numPr>
        <w:spacing w:after="80" w:line="280"/>
      </w:pPr>
      <w:r>
        <w:rPr>
          <w:sz w:val="21"/>
          <w:szCs w:val="21"/>
        </w:rPr>
        <w:t xml:space="preserve">Fournir des statistiques et rapports exportables (PDF/Excel) pour le pilotage hospitalier.</w:t>
      </w:r>
    </w:p>
    <w:p>
      <w:pPr>
        <w:pStyle w:val="ListParagraph"/>
        <w:numPr>
          <w:ilvl w:val="0"/>
          <w:numId w:val="3"/>
        </w:numPr>
        <w:spacing w:after="80" w:line="280"/>
      </w:pPr>
      <w:r>
        <w:rPr>
          <w:sz w:val="21"/>
          <w:szCs w:val="21"/>
        </w:rPr>
        <w:t xml:space="preserve">Sécuriser l'accès aux données médicales par un système de rôles et de permissions strict.</w:t>
      </w:r>
    </w:p>
    <w:p>
      <w:pPr>
        <w:pBdr>
          <w:left w:val="single" w:color="2E74B5" w:sz="18" w:space="8"/>
        </w:pBdr>
        <w:shd w:fill="F2F2F2" w:val="clear"/>
        <w:spacing w:after="160" w:before="100"/>
        <w:ind w:left="200"/>
      </w:pPr>
      <w:r>
        <w:rPr>
          <w:b/>
          <w:bCs/>
          <w:i/>
          <w:iCs/>
          <w:color w:val="2E74B5"/>
          <w:sz w:val="20"/>
          <w:szCs w:val="20"/>
        </w:rPr>
        <w:t xml:space="preserve">Enrichissement — </w:t>
      </w:r>
      <w:r>
        <w:rPr>
          <w:i/>
          <w:iCs/>
          <w:color w:val="444444"/>
          <w:sz w:val="20"/>
          <w:szCs w:val="20"/>
        </w:rPr>
        <w:t xml:space="preserve">Objectifs spécifiques 3 (bloc opératoire) et 6 (sécurité) sont désormais détaillés respectivement en section 5 et en section 7 (exigences non fonctionnelles) de ce document enrichi.</w:t>
      </w:r>
    </w:p>
    <w:p>
      <w:pPr>
        <w:pStyle w:val="Heading1"/>
        <w:pBdr>
          <w:bottom w:val="single" w:color="1F3864" w:sz="6" w:space="4"/>
        </w:pBdr>
        <w:spacing w:after="200" w:before="400"/>
      </w:pPr>
      <w:r>
        <w:rPr>
          <w:b/>
          <w:bCs/>
          <w:color w:val="1F3864"/>
          <w:sz w:val="30"/>
          <w:szCs w:val="30"/>
        </w:rPr>
        <w:t xml:space="preserve">3. Périmètre du projet</w:t>
      </w:r>
    </w:p>
    <w:p>
      <w:pPr>
        <w:pBdr>
          <w:left w:val="single" w:color="2E74B5" w:sz="18" w:space="8"/>
        </w:pBdr>
        <w:shd w:fill="F2F2F2" w:val="clear"/>
        <w:spacing w:after="160" w:before="100"/>
        <w:ind w:left="200"/>
      </w:pPr>
      <w:r>
        <w:rPr>
          <w:b/>
          <w:bCs/>
          <w:i/>
          <w:iCs/>
          <w:color w:val="2E74B5"/>
          <w:sz w:val="20"/>
          <w:szCs w:val="20"/>
        </w:rPr>
        <w:t xml:space="preserve">Enrichissement — </w:t>
      </w:r>
      <w:r>
        <w:rPr>
          <w:i/>
          <w:iCs/>
          <w:color w:val="444444"/>
          <w:sz w:val="20"/>
          <w:szCs w:val="20"/>
        </w:rPr>
        <w:t xml:space="preserve">Section ajoutée : un cahier des charges destiné à un mémoire de fin de cycle gagne à délimiter explicitement ce qui est couvert et ce qui ne l'est pas, afin de cadrer l'évaluation par le jury et le développement effectif dans le temps imparti.</w:t>
      </w:r>
    </w:p>
    <w:p>
      <w:pPr>
        <w:pStyle w:val="Heading2"/>
        <w:spacing w:after="140" w:before="280"/>
      </w:pPr>
      <w:r>
        <w:rPr>
          <w:b/>
          <w:bCs/>
          <w:color w:val="2E74B5"/>
          <w:sz w:val="25"/>
          <w:szCs w:val="25"/>
        </w:rPr>
        <w:t xml:space="preserve">3.1 Inclus dans le périmètre (V1)</w:t>
      </w:r>
    </w:p>
    <w:p>
      <w:pPr>
        <w:pStyle w:val="ListParagraph"/>
        <w:numPr>
          <w:ilvl w:val="0"/>
          <w:numId w:val="2"/>
        </w:numPr>
        <w:spacing w:after="60" w:line="280"/>
      </w:pPr>
      <w:r>
        <w:rPr>
          <w:b w:val="false"/>
          <w:bCs w:val="false"/>
          <w:sz w:val="21"/>
          <w:szCs w:val="21"/>
        </w:rPr>
        <w:t xml:space="preserve">Gestion des patients, consultations et dossiers médicaux.</w:t>
      </w:r>
    </w:p>
    <w:p>
      <w:pPr>
        <w:pStyle w:val="ListParagraph"/>
        <w:numPr>
          <w:ilvl w:val="0"/>
          <w:numId w:val="2"/>
        </w:numPr>
        <w:spacing w:after="60" w:line="280"/>
      </w:pPr>
      <w:r>
        <w:rPr>
          <w:b w:val="false"/>
          <w:bCs w:val="false"/>
          <w:sz w:val="21"/>
          <w:szCs w:val="21"/>
        </w:rPr>
        <w:t xml:space="preserve">Prescription d'ordonnances et suivi de dispensation en pharmacie.</w:t>
      </w:r>
    </w:p>
    <w:p>
      <w:pPr>
        <w:pStyle w:val="ListParagraph"/>
        <w:numPr>
          <w:ilvl w:val="0"/>
          <w:numId w:val="2"/>
        </w:numPr>
        <w:spacing w:after="60" w:line="280"/>
      </w:pPr>
      <w:r>
        <w:rPr>
          <w:b w:val="false"/>
          <w:bCs w:val="false"/>
          <w:sz w:val="21"/>
          <w:szCs w:val="21"/>
        </w:rPr>
        <w:t xml:space="preserve">Gestion de l'hospitalisation (admission, lits, sortie).</w:t>
      </w:r>
    </w:p>
    <w:p>
      <w:pPr>
        <w:pStyle w:val="ListParagraph"/>
        <w:numPr>
          <w:ilvl w:val="0"/>
          <w:numId w:val="2"/>
        </w:numPr>
        <w:spacing w:after="60" w:line="280"/>
      </w:pPr>
      <w:r>
        <w:rPr>
          <w:b w:val="false"/>
          <w:bCs w:val="false"/>
          <w:sz w:val="21"/>
          <w:szCs w:val="21"/>
        </w:rPr>
        <w:t xml:space="preserve">Gestion du bloc opératoire (planification, salles, équipes, compte-rendu — voir section 5).</w:t>
      </w:r>
    </w:p>
    <w:p>
      <w:pPr>
        <w:pStyle w:val="ListParagraph"/>
        <w:numPr>
          <w:ilvl w:val="0"/>
          <w:numId w:val="2"/>
        </w:numPr>
        <w:spacing w:after="60" w:line="280"/>
      </w:pPr>
      <w:r>
        <w:rPr>
          <w:b w:val="false"/>
          <w:bCs w:val="false"/>
          <w:sz w:val="21"/>
          <w:szCs w:val="21"/>
        </w:rPr>
        <w:t xml:space="preserve">Demandes et résultats d'analyses biologiques et d'imagerie (saisie de résultats, sans interfaçage direct avec les automates de laboratoire).</w:t>
      </w:r>
    </w:p>
    <w:p>
      <w:pPr>
        <w:pStyle w:val="ListParagraph"/>
        <w:numPr>
          <w:ilvl w:val="0"/>
          <w:numId w:val="2"/>
        </w:numPr>
        <w:spacing w:after="60" w:line="280"/>
      </w:pPr>
      <w:r>
        <w:rPr>
          <w:b w:val="false"/>
          <w:bCs w:val="false"/>
          <w:sz w:val="21"/>
          <w:szCs w:val="21"/>
        </w:rPr>
        <w:t xml:space="preserve">Facturation patient et assurance, paiements et remboursements.</w:t>
      </w:r>
    </w:p>
    <w:p>
      <w:pPr>
        <w:pStyle w:val="ListParagraph"/>
        <w:numPr>
          <w:ilvl w:val="0"/>
          <w:numId w:val="2"/>
        </w:numPr>
        <w:spacing w:after="60" w:line="280"/>
      </w:pPr>
      <w:r>
        <w:rPr>
          <w:b w:val="false"/>
          <w:bCs w:val="false"/>
          <w:sz w:val="21"/>
          <w:szCs w:val="21"/>
        </w:rPr>
        <w:t xml:space="preserve">Administration : utilisateurs, rôles, permissions, paramètres, historique des actions.</w:t>
      </w:r>
    </w:p>
    <w:p>
      <w:pPr>
        <w:pStyle w:val="ListParagraph"/>
        <w:numPr>
          <w:ilvl w:val="0"/>
          <w:numId w:val="2"/>
        </w:numPr>
        <w:spacing w:after="60" w:line="280"/>
      </w:pPr>
      <w:r>
        <w:rPr>
          <w:b w:val="false"/>
          <w:bCs w:val="false"/>
          <w:sz w:val="21"/>
          <w:szCs w:val="21"/>
        </w:rPr>
        <w:t xml:space="preserve">Multilinguisme (6 langues) et export de rapports PDF/Excel.</w:t>
      </w:r>
    </w:p>
    <w:p>
      <w:pPr>
        <w:pStyle w:val="Heading2"/>
        <w:spacing w:after="140" w:before="280"/>
      </w:pPr>
      <w:r>
        <w:rPr>
          <w:b/>
          <w:bCs/>
          <w:color w:val="2E74B5"/>
          <w:sz w:val="25"/>
          <w:szCs w:val="25"/>
        </w:rPr>
        <w:t xml:space="preserve">3.2 Hors périmètre (V1) — pistes d'évolution</w:t>
      </w:r>
    </w:p>
    <w:p>
      <w:pPr>
        <w:pStyle w:val="ListParagraph"/>
        <w:numPr>
          <w:ilvl w:val="0"/>
          <w:numId w:val="2"/>
        </w:numPr>
        <w:spacing w:after="60" w:line="280"/>
      </w:pPr>
      <w:r>
        <w:rPr>
          <w:b w:val="false"/>
          <w:bCs w:val="false"/>
          <w:sz w:val="21"/>
          <w:szCs w:val="21"/>
        </w:rPr>
        <w:t xml:space="preserve">Application mobile patient dédiée (prévue en perspective d'évolution, section 10).</w:t>
      </w:r>
    </w:p>
    <w:p>
      <w:pPr>
        <w:pStyle w:val="ListParagraph"/>
        <w:numPr>
          <w:ilvl w:val="0"/>
          <w:numId w:val="2"/>
        </w:numPr>
        <w:spacing w:after="60" w:line="280"/>
      </w:pPr>
      <w:r>
        <w:rPr>
          <w:b w:val="false"/>
          <w:bCs w:val="false"/>
          <w:sz w:val="21"/>
          <w:szCs w:val="21"/>
        </w:rPr>
        <w:t xml:space="preserve">Interfaçage direct avec des dispositifs médicaux connectés (automates de laboratoire, PACS d'imagerie).</w:t>
      </w:r>
    </w:p>
    <w:p>
      <w:pPr>
        <w:pStyle w:val="ListParagraph"/>
        <w:numPr>
          <w:ilvl w:val="0"/>
          <w:numId w:val="2"/>
        </w:numPr>
        <w:spacing w:after="60" w:line="280"/>
      </w:pPr>
      <w:r>
        <w:rPr>
          <w:b w:val="false"/>
          <w:bCs w:val="false"/>
          <w:sz w:val="21"/>
          <w:szCs w:val="21"/>
        </w:rPr>
        <w:t xml:space="preserve">Télémédecine / téléconsultation.</w:t>
      </w:r>
    </w:p>
    <w:p>
      <w:pPr>
        <w:pStyle w:val="ListParagraph"/>
        <w:numPr>
          <w:ilvl w:val="0"/>
          <w:numId w:val="2"/>
        </w:numPr>
        <w:spacing w:after="60" w:line="280"/>
      </w:pPr>
      <w:r>
        <w:rPr>
          <w:b w:val="false"/>
          <w:bCs w:val="false"/>
          <w:sz w:val="21"/>
          <w:szCs w:val="21"/>
        </w:rPr>
        <w:t xml:space="preserve">Prise de rendez-vous par SMS/WhatsApp (perspective d'évolution).</w:t>
      </w:r>
    </w:p>
    <w:p>
      <w:pPr>
        <w:pStyle w:val="ListParagraph"/>
        <w:numPr>
          <w:ilvl w:val="0"/>
          <w:numId w:val="2"/>
        </w:numPr>
        <w:spacing w:after="60" w:line="280"/>
      </w:pPr>
      <w:r>
        <w:rPr>
          <w:b w:val="false"/>
          <w:bCs w:val="false"/>
          <w:sz w:val="21"/>
          <w:szCs w:val="21"/>
        </w:rPr>
        <w:t xml:space="preserve">Module d'intelligence artificielle d'aide au diagnostic (perspective d'évolution).</w:t>
      </w:r>
    </w:p>
    <w:p>
      <w:pPr>
        <w:pStyle w:val="ListParagraph"/>
        <w:numPr>
          <w:ilvl w:val="0"/>
          <w:numId w:val="2"/>
        </w:numPr>
        <w:spacing w:after="60" w:line="280"/>
      </w:pPr>
      <w:r>
        <w:rPr>
          <w:b w:val="false"/>
          <w:bCs w:val="false"/>
          <w:sz w:val="21"/>
          <w:szCs w:val="21"/>
        </w:rPr>
        <w:t xml:space="preserve">Gestion multi-établissements en mode SaaS (l'architecture V1 vise un établissement unique ; le multi-tenant est une évolution architecturale majeure, voir section 8).</w:t>
      </w:r>
    </w:p>
    <w:p>
      <w:pPr>
        <w:pStyle w:val="Heading1"/>
        <w:pBdr>
          <w:bottom w:val="single" w:color="1F3864" w:sz="6" w:space="4"/>
        </w:pBdr>
        <w:spacing w:after="200" w:before="400"/>
      </w:pPr>
      <w:r>
        <w:rPr>
          <w:b/>
          <w:bCs/>
          <w:color w:val="1F3864"/>
          <w:sz w:val="30"/>
          <w:szCs w:val="30"/>
        </w:rPr>
        <w:t xml:space="preserve">4. Fonctionnalités principales</w:t>
      </w:r>
    </w:p>
    <w:p>
      <w:pPr>
        <w:spacing w:after="140" w:line="300"/>
        <w:jc w:val="both"/>
      </w:pPr>
      <w:r>
        <w:rPr>
          <w:sz w:val="21"/>
          <w:szCs w:val="21"/>
        </w:rPr>
        <w:t xml:space="preserve">Les fonctionnalités sont organisées par module métier. Chaque module précise les acteurs concernés, les fonctionnalités attendues et les règles de gestion essentielles.</w:t>
      </w:r>
    </w:p>
    <w:p>
      <w:pPr>
        <w:pStyle w:val="Heading2"/>
        <w:spacing w:after="140" w:before="280"/>
      </w:pPr>
      <w:r>
        <w:rPr>
          <w:b/>
          <w:bCs/>
          <w:color w:val="2E74B5"/>
          <w:sz w:val="25"/>
          <w:szCs w:val="25"/>
        </w:rPr>
        <w:t xml:space="preserve">4.1 Gestion des patients</w:t>
      </w:r>
    </w:p>
    <w:p>
      <w:pPr>
        <w:pStyle w:val="ListParagraph"/>
        <w:numPr>
          <w:ilvl w:val="0"/>
          <w:numId w:val="2"/>
        </w:numPr>
        <w:spacing w:after="60" w:line="280"/>
      </w:pPr>
      <w:r>
        <w:rPr>
          <w:b w:val="false"/>
          <w:bCs w:val="false"/>
          <w:sz w:val="21"/>
          <w:szCs w:val="21"/>
        </w:rPr>
        <w:t xml:space="preserve">Création, modification et recherche de dossiers patients (identité, coordonnées, antécédents, groupe sanguin, allergies).</w:t>
      </w:r>
    </w:p>
    <w:p>
      <w:pPr>
        <w:pStyle w:val="ListParagraph"/>
        <w:numPr>
          <w:ilvl w:val="0"/>
          <w:numId w:val="2"/>
        </w:numPr>
        <w:spacing w:after="60" w:line="280"/>
      </w:pPr>
      <w:r>
        <w:rPr>
          <w:b w:val="false"/>
          <w:bCs w:val="false"/>
          <w:sz w:val="21"/>
          <w:szCs w:val="21"/>
        </w:rPr>
        <w:t xml:space="preserve">Attribution d'un identifiant patient unique (numéro de dossier) pour éviter les doublons.</w:t>
      </w:r>
    </w:p>
    <w:p>
      <w:pPr>
        <w:pStyle w:val="ListParagraph"/>
        <w:numPr>
          <w:ilvl w:val="0"/>
          <w:numId w:val="2"/>
        </w:numPr>
        <w:spacing w:after="60" w:line="280"/>
      </w:pPr>
      <w:r>
        <w:rPr>
          <w:b w:val="false"/>
          <w:bCs w:val="false"/>
          <w:sz w:val="21"/>
          <w:szCs w:val="21"/>
        </w:rPr>
        <w:t xml:space="preserve">Historique complet des visites, consultations, hospitalisations et actes réalisés.</w:t>
      </w:r>
    </w:p>
    <w:p>
      <w:pPr>
        <w:pStyle w:val="ListParagraph"/>
        <w:numPr>
          <w:ilvl w:val="0"/>
          <w:numId w:val="2"/>
        </w:numPr>
        <w:spacing w:after="60" w:line="280"/>
      </w:pPr>
      <w:r>
        <w:rPr>
          <w:b w:val="false"/>
          <w:bCs w:val="false"/>
          <w:sz w:val="21"/>
          <w:szCs w:val="21"/>
        </w:rPr>
        <w:t xml:space="preserve">Recherche multicritère (nom, numéro de dossier, téléphone, date de naissance).</w:t>
      </w:r>
    </w:p>
    <w:p>
      <w:pPr>
        <w:pStyle w:val="Heading2"/>
        <w:spacing w:after="140" w:before="280"/>
      </w:pPr>
      <w:r>
        <w:rPr>
          <w:b/>
          <w:bCs/>
          <w:color w:val="2E74B5"/>
          <w:sz w:val="25"/>
          <w:szCs w:val="25"/>
        </w:rPr>
        <w:t xml:space="preserve">4.2 Consultation et dossier médical</w:t>
      </w:r>
    </w:p>
    <w:p>
      <w:pPr>
        <w:pStyle w:val="ListParagraph"/>
        <w:numPr>
          <w:ilvl w:val="0"/>
          <w:numId w:val="2"/>
        </w:numPr>
        <w:spacing w:after="60" w:line="280"/>
      </w:pPr>
      <w:r>
        <w:rPr>
          <w:b w:val="false"/>
          <w:bCs w:val="false"/>
          <w:sz w:val="21"/>
          <w:szCs w:val="21"/>
        </w:rPr>
        <w:t xml:space="preserve">Enregistrement des constantes (poids, taille, tension, température, etc.).</w:t>
      </w:r>
    </w:p>
    <w:p>
      <w:pPr>
        <w:pStyle w:val="ListParagraph"/>
        <w:numPr>
          <w:ilvl w:val="0"/>
          <w:numId w:val="2"/>
        </w:numPr>
        <w:spacing w:after="60" w:line="280"/>
      </w:pPr>
      <w:r>
        <w:rPr>
          <w:b w:val="false"/>
          <w:bCs w:val="false"/>
          <w:sz w:val="21"/>
          <w:szCs w:val="21"/>
        </w:rPr>
        <w:t xml:space="preserve">Saisie des motifs de consultation, symptômes, diagnostic et traitement.</w:t>
      </w:r>
    </w:p>
    <w:p>
      <w:pPr>
        <w:pStyle w:val="ListParagraph"/>
        <w:numPr>
          <w:ilvl w:val="0"/>
          <w:numId w:val="2"/>
        </w:numPr>
        <w:spacing w:after="60" w:line="280"/>
      </w:pPr>
      <w:r>
        <w:rPr>
          <w:b w:val="false"/>
          <w:bCs w:val="false"/>
          <w:sz w:val="21"/>
          <w:szCs w:val="21"/>
        </w:rPr>
        <w:t xml:space="preserve">Consultation de l'historique médical complet du patient par le praticien habilité.</w:t>
      </w:r>
    </w:p>
    <w:p>
      <w:pPr>
        <w:pStyle w:val="ListParagraph"/>
        <w:numPr>
          <w:ilvl w:val="0"/>
          <w:numId w:val="2"/>
        </w:numPr>
        <w:spacing w:after="60" w:line="280"/>
      </w:pPr>
      <w:r>
        <w:rPr>
          <w:b w:val="false"/>
          <w:bCs w:val="false"/>
          <w:sz w:val="21"/>
          <w:szCs w:val="21"/>
        </w:rPr>
        <w:t xml:space="preserve">Rattachement de la consultation à une ordonnance, une demande d'analyse ou une hospitalisation.</w:t>
      </w:r>
    </w:p>
    <w:p>
      <w:pPr>
        <w:pStyle w:val="Heading2"/>
        <w:spacing w:after="140" w:before="280"/>
      </w:pPr>
      <w:r>
        <w:rPr>
          <w:b/>
          <w:bCs/>
          <w:color w:val="2E74B5"/>
          <w:sz w:val="25"/>
          <w:szCs w:val="25"/>
        </w:rPr>
        <w:t xml:space="preserve">4.3 Prescription d'ordonnances</w:t>
      </w:r>
    </w:p>
    <w:p>
      <w:pPr>
        <w:pStyle w:val="ListParagraph"/>
        <w:numPr>
          <w:ilvl w:val="0"/>
          <w:numId w:val="2"/>
        </w:numPr>
        <w:spacing w:after="60" w:line="280"/>
      </w:pPr>
      <w:r>
        <w:rPr>
          <w:b w:val="false"/>
          <w:bCs w:val="false"/>
          <w:sz w:val="21"/>
          <w:szCs w:val="21"/>
        </w:rPr>
        <w:t xml:space="preserve">Rédaction d'ordonnances avec liste de médicaments, posologie et durée du traitement.</w:t>
      </w:r>
    </w:p>
    <w:p>
      <w:pPr>
        <w:pStyle w:val="ListParagraph"/>
        <w:numPr>
          <w:ilvl w:val="0"/>
          <w:numId w:val="2"/>
        </w:numPr>
        <w:spacing w:after="60" w:line="280"/>
      </w:pPr>
      <w:r>
        <w:rPr>
          <w:b w:val="false"/>
          <w:bCs w:val="false"/>
          <w:sz w:val="21"/>
          <w:szCs w:val="21"/>
        </w:rPr>
        <w:t xml:space="preserve">Vérification des interactions médicamenteuses connues et des allergies déclarées du patient (alerte non bloquante).</w:t>
      </w:r>
    </w:p>
    <w:p>
      <w:pPr>
        <w:pStyle w:val="ListParagraph"/>
        <w:numPr>
          <w:ilvl w:val="0"/>
          <w:numId w:val="2"/>
        </w:numPr>
        <w:spacing w:after="60" w:line="280"/>
      </w:pPr>
      <w:r>
        <w:rPr>
          <w:b w:val="false"/>
          <w:bCs w:val="false"/>
          <w:sz w:val="21"/>
          <w:szCs w:val="21"/>
        </w:rPr>
        <w:t xml:space="preserve">Transmission électronique de l'ordonnance vers la pharmacie pour dispensation.</w:t>
      </w:r>
    </w:p>
    <w:p>
      <w:pPr>
        <w:pStyle w:val="Heading2"/>
        <w:spacing w:after="140" w:before="280"/>
      </w:pPr>
      <w:r>
        <w:rPr>
          <w:b/>
          <w:bCs/>
          <w:color w:val="2E74B5"/>
          <w:sz w:val="25"/>
          <w:szCs w:val="25"/>
        </w:rPr>
        <w:t xml:space="preserve">4.4 Gestion de l'hospitalisation</w:t>
      </w:r>
    </w:p>
    <w:p>
      <w:pPr>
        <w:pStyle w:val="ListParagraph"/>
        <w:numPr>
          <w:ilvl w:val="0"/>
          <w:numId w:val="2"/>
        </w:numPr>
        <w:spacing w:after="60" w:line="280"/>
      </w:pPr>
      <w:r>
        <w:rPr>
          <w:b w:val="false"/>
          <w:bCs w:val="false"/>
          <w:sz w:val="21"/>
          <w:szCs w:val="21"/>
        </w:rPr>
        <w:t xml:space="preserve">Admission du patient, attribution d'un lit/chambre et d'un service.</w:t>
      </w:r>
    </w:p>
    <w:p>
      <w:pPr>
        <w:pStyle w:val="ListParagraph"/>
        <w:numPr>
          <w:ilvl w:val="0"/>
          <w:numId w:val="2"/>
        </w:numPr>
        <w:spacing w:after="60" w:line="280"/>
      </w:pPr>
      <w:r>
        <w:rPr>
          <w:b w:val="false"/>
          <w:bCs w:val="false"/>
          <w:sz w:val="21"/>
          <w:szCs w:val="21"/>
        </w:rPr>
        <w:t xml:space="preserve">Suivi quotidien (soins infirmiers, évolution de l'état du patient).</w:t>
      </w:r>
    </w:p>
    <w:p>
      <w:pPr>
        <w:pStyle w:val="ListParagraph"/>
        <w:numPr>
          <w:ilvl w:val="0"/>
          <w:numId w:val="2"/>
        </w:numPr>
        <w:spacing w:after="60" w:line="280"/>
      </w:pPr>
      <w:r>
        <w:rPr>
          <w:b w:val="false"/>
          <w:bCs w:val="false"/>
          <w:sz w:val="21"/>
          <w:szCs w:val="21"/>
        </w:rPr>
        <w:t xml:space="preserve">Gestion de la sortie (bon de sortie, compte-rendu d'hospitalisation).</w:t>
      </w:r>
    </w:p>
    <w:p>
      <w:pPr>
        <w:pStyle w:val="ListParagraph"/>
        <w:numPr>
          <w:ilvl w:val="0"/>
          <w:numId w:val="2"/>
        </w:numPr>
        <w:spacing w:after="60" w:line="280"/>
      </w:pPr>
      <w:r>
        <w:rPr>
          <w:b w:val="false"/>
          <w:bCs w:val="false"/>
          <w:sz w:val="21"/>
          <w:szCs w:val="21"/>
        </w:rPr>
        <w:t xml:space="preserve">Vue d'occupation des lits en temps réel par service.</w:t>
      </w:r>
    </w:p>
    <w:p>
      <w:pPr>
        <w:pStyle w:val="Heading2"/>
        <w:spacing w:after="140" w:before="280"/>
      </w:pPr>
      <w:r>
        <w:rPr>
          <w:b/>
          <w:bCs/>
          <w:color w:val="2E74B5"/>
          <w:sz w:val="25"/>
          <w:szCs w:val="25"/>
        </w:rPr>
        <w:t xml:space="preserve">4.5 Pharmacie</w:t>
      </w:r>
    </w:p>
    <w:p>
      <w:pPr>
        <w:pStyle w:val="ListParagraph"/>
        <w:numPr>
          <w:ilvl w:val="0"/>
          <w:numId w:val="2"/>
        </w:numPr>
        <w:spacing w:after="60" w:line="280"/>
      </w:pPr>
      <w:r>
        <w:rPr>
          <w:b w:val="false"/>
          <w:bCs w:val="false"/>
          <w:sz w:val="21"/>
          <w:szCs w:val="21"/>
        </w:rPr>
        <w:t xml:space="preserve">Réception et dispensation des ordonnances transmises par les médecins.</w:t>
      </w:r>
    </w:p>
    <w:p>
      <w:pPr>
        <w:pStyle w:val="ListParagraph"/>
        <w:numPr>
          <w:ilvl w:val="0"/>
          <w:numId w:val="2"/>
        </w:numPr>
        <w:spacing w:after="60" w:line="280"/>
      </w:pPr>
      <w:r>
        <w:rPr>
          <w:b w:val="false"/>
          <w:bCs w:val="false"/>
          <w:sz w:val="21"/>
          <w:szCs w:val="21"/>
        </w:rPr>
        <w:t xml:space="preserve">Gestion des stocks de médicaments (entrées, sorties, seuils d'alerte, péremption).</w:t>
      </w:r>
    </w:p>
    <w:p>
      <w:pPr>
        <w:pStyle w:val="ListParagraph"/>
        <w:numPr>
          <w:ilvl w:val="0"/>
          <w:numId w:val="2"/>
        </w:numPr>
        <w:spacing w:after="60" w:line="280"/>
      </w:pPr>
      <w:r>
        <w:rPr>
          <w:b w:val="false"/>
          <w:bCs w:val="false"/>
          <w:sz w:val="21"/>
          <w:szCs w:val="21"/>
        </w:rPr>
        <w:t xml:space="preserve">Historique des dispensations par patient et par médicament.</w:t>
      </w:r>
    </w:p>
    <w:p>
      <w:pPr>
        <w:pStyle w:val="Heading2"/>
        <w:spacing w:after="140" w:before="280"/>
      </w:pPr>
      <w:r>
        <w:rPr>
          <w:b/>
          <w:bCs/>
          <w:color w:val="2E74B5"/>
          <w:sz w:val="25"/>
          <w:szCs w:val="25"/>
        </w:rPr>
        <w:t xml:space="preserve">4.6 Analyses biologiques et imagerie</w:t>
      </w:r>
    </w:p>
    <w:p>
      <w:pPr>
        <w:pStyle w:val="ListParagraph"/>
        <w:numPr>
          <w:ilvl w:val="0"/>
          <w:numId w:val="2"/>
        </w:numPr>
        <w:spacing w:after="60" w:line="280"/>
      </w:pPr>
      <w:r>
        <w:rPr>
          <w:b w:val="false"/>
          <w:bCs w:val="false"/>
          <w:sz w:val="21"/>
          <w:szCs w:val="21"/>
        </w:rPr>
        <w:t xml:space="preserve">Création de demandes d'analyse ou d'examen d'imagerie depuis la consultation.</w:t>
      </w:r>
    </w:p>
    <w:p>
      <w:pPr>
        <w:pStyle w:val="ListParagraph"/>
        <w:numPr>
          <w:ilvl w:val="0"/>
          <w:numId w:val="2"/>
        </w:numPr>
        <w:spacing w:after="60" w:line="280"/>
      </w:pPr>
      <w:r>
        <w:rPr>
          <w:b w:val="false"/>
          <w:bCs w:val="false"/>
          <w:sz w:val="21"/>
          <w:szCs w:val="21"/>
        </w:rPr>
        <w:t xml:space="preserve">Saisie et validation des résultats par le laborantin ou le radiologue.</w:t>
      </w:r>
    </w:p>
    <w:p>
      <w:pPr>
        <w:pStyle w:val="ListParagraph"/>
        <w:numPr>
          <w:ilvl w:val="0"/>
          <w:numId w:val="2"/>
        </w:numPr>
        <w:spacing w:after="60" w:line="280"/>
      </w:pPr>
      <w:r>
        <w:rPr>
          <w:b w:val="false"/>
          <w:bCs w:val="false"/>
          <w:sz w:val="21"/>
          <w:szCs w:val="21"/>
        </w:rPr>
        <w:t xml:space="preserve">Notification au médecin prescripteur dès la disponibilité des résultats.</w:t>
      </w:r>
    </w:p>
    <w:p>
      <w:pPr>
        <w:pStyle w:val="ListParagraph"/>
        <w:numPr>
          <w:ilvl w:val="0"/>
          <w:numId w:val="2"/>
        </w:numPr>
        <w:spacing w:after="60" w:line="280"/>
      </w:pPr>
      <w:r>
        <w:rPr>
          <w:b w:val="false"/>
          <w:bCs w:val="false"/>
          <w:sz w:val="21"/>
          <w:szCs w:val="21"/>
        </w:rPr>
        <w:t xml:space="preserve">Archivage des comptes-rendus (texte ; upload de fichiers image/PDF pour l'imagerie).</w:t>
      </w:r>
    </w:p>
    <w:p>
      <w:pPr>
        <w:pStyle w:val="Heading2"/>
        <w:spacing w:after="140" w:before="280"/>
      </w:pPr>
      <w:r>
        <w:rPr>
          <w:b/>
          <w:bCs/>
          <w:color w:val="2E74B5"/>
          <w:sz w:val="25"/>
          <w:szCs w:val="25"/>
        </w:rPr>
        <w:t xml:space="preserve">4.7 Gestion du bloc opératoire — voir section 5 (module détaillé)</w:t>
      </w:r>
    </w:p>
    <w:p>
      <w:pPr>
        <w:pBdr>
          <w:left w:val="single" w:color="2E74B5" w:sz="18" w:space="8"/>
        </w:pBdr>
        <w:shd w:fill="F2F2F2" w:val="clear"/>
        <w:spacing w:after="160" w:before="100"/>
        <w:ind w:left="200"/>
      </w:pPr>
      <w:r>
        <w:rPr>
          <w:b/>
          <w:bCs/>
          <w:i/>
          <w:iCs/>
          <w:color w:val="2E74B5"/>
          <w:sz w:val="20"/>
          <w:szCs w:val="20"/>
        </w:rPr>
        <w:t xml:space="preserve">Enrichissement — </w:t>
      </w:r>
      <w:r>
        <w:rPr>
          <w:i/>
          <w:iCs/>
          <w:color w:val="444444"/>
          <w:sz w:val="20"/>
          <w:szCs w:val="20"/>
        </w:rPr>
        <w:t xml:space="preserve">Ce module, mentionné brièvement dans le document d'origine, fait désormais l'objet d'une section dédiée complète (section 5) répondant à la demande d'enrichissement portant spécifiquement sur la gestion des blocs opératoires.</w:t>
      </w:r>
    </w:p>
    <w:p>
      <w:pPr>
        <w:pStyle w:val="Heading2"/>
        <w:spacing w:after="140" w:before="280"/>
      </w:pPr>
      <w:r>
        <w:rPr>
          <w:b/>
          <w:bCs/>
          <w:color w:val="2E74B5"/>
          <w:sz w:val="25"/>
          <w:szCs w:val="25"/>
        </w:rPr>
        <w:t xml:space="preserve">4.8 Facturation et paiements</w:t>
      </w:r>
    </w:p>
    <w:p>
      <w:pPr>
        <w:pStyle w:val="ListParagraph"/>
        <w:numPr>
          <w:ilvl w:val="0"/>
          <w:numId w:val="2"/>
        </w:numPr>
        <w:spacing w:after="60" w:line="280"/>
      </w:pPr>
      <w:r>
        <w:rPr>
          <w:b w:val="false"/>
          <w:bCs w:val="false"/>
          <w:sz w:val="21"/>
          <w:szCs w:val="21"/>
        </w:rPr>
        <w:t xml:space="preserve">Génération automatique de factures à partir des actes réalisés (consultation, hospitalisation, bloc opératoire, pharmacie, analyses).</w:t>
      </w:r>
    </w:p>
    <w:p>
      <w:pPr>
        <w:pStyle w:val="ListParagraph"/>
        <w:numPr>
          <w:ilvl w:val="0"/>
          <w:numId w:val="2"/>
        </w:numPr>
        <w:spacing w:after="60" w:line="280"/>
      </w:pPr>
      <w:r>
        <w:rPr>
          <w:b w:val="false"/>
          <w:bCs w:val="false"/>
          <w:sz w:val="21"/>
          <w:szCs w:val="21"/>
        </w:rPr>
        <w:t xml:space="preserve">Répartition automatique entre part patient et part assurance selon le taux de couverture.</w:t>
      </w:r>
    </w:p>
    <w:p>
      <w:pPr>
        <w:pStyle w:val="ListParagraph"/>
        <w:numPr>
          <w:ilvl w:val="0"/>
          <w:numId w:val="2"/>
        </w:numPr>
        <w:spacing w:after="60" w:line="280"/>
      </w:pPr>
      <w:r>
        <w:rPr>
          <w:b w:val="false"/>
          <w:bCs w:val="false"/>
          <w:sz w:val="21"/>
          <w:szCs w:val="21"/>
        </w:rPr>
        <w:t xml:space="preserve">Enregistrement des paiements et remboursements (espèces, mobile money, virement).</w:t>
      </w:r>
    </w:p>
    <w:p>
      <w:pPr>
        <w:pStyle w:val="ListParagraph"/>
        <w:numPr>
          <w:ilvl w:val="0"/>
          <w:numId w:val="2"/>
        </w:numPr>
        <w:spacing w:after="60" w:line="280"/>
      </w:pPr>
      <w:r>
        <w:rPr>
          <w:b w:val="false"/>
          <w:bCs w:val="false"/>
          <w:sz w:val="21"/>
          <w:szCs w:val="21"/>
        </w:rPr>
        <w:t xml:space="preserve">Suivi des impayés et relances.</w:t>
      </w:r>
    </w:p>
    <w:p>
      <w:pPr>
        <w:pStyle w:val="Heading2"/>
        <w:spacing w:after="140" w:before="280"/>
      </w:pPr>
      <w:r>
        <w:rPr>
          <w:b/>
          <w:bCs/>
          <w:color w:val="2E74B5"/>
          <w:sz w:val="25"/>
          <w:szCs w:val="25"/>
        </w:rPr>
        <w:t xml:space="preserve">4.9 Gestion des assurances</w:t>
      </w:r>
    </w:p>
    <w:p>
      <w:pPr>
        <w:pStyle w:val="ListParagraph"/>
        <w:numPr>
          <w:ilvl w:val="0"/>
          <w:numId w:val="2"/>
        </w:numPr>
        <w:spacing w:after="60" w:line="280"/>
      </w:pPr>
      <w:r>
        <w:rPr>
          <w:b w:val="false"/>
          <w:bCs w:val="false"/>
          <w:sz w:val="21"/>
          <w:szCs w:val="21"/>
        </w:rPr>
        <w:t xml:space="preserve">Référencement des compagnies et organismes d'assurance partenaires.</w:t>
      </w:r>
    </w:p>
    <w:p>
      <w:pPr>
        <w:pStyle w:val="ListParagraph"/>
        <w:numPr>
          <w:ilvl w:val="0"/>
          <w:numId w:val="2"/>
        </w:numPr>
        <w:spacing w:after="60" w:line="280"/>
      </w:pPr>
      <w:r>
        <w:rPr>
          <w:b w:val="false"/>
          <w:bCs w:val="false"/>
          <w:sz w:val="21"/>
          <w:szCs w:val="21"/>
        </w:rPr>
        <w:t xml:space="preserve">Rattachement d'un patient assuré à un ou plusieurs contrats (taux de prise en charge, plafond).</w:t>
      </w:r>
    </w:p>
    <w:p>
      <w:pPr>
        <w:pStyle w:val="ListParagraph"/>
        <w:numPr>
          <w:ilvl w:val="0"/>
          <w:numId w:val="2"/>
        </w:numPr>
        <w:spacing w:after="60" w:line="280"/>
      </w:pPr>
      <w:r>
        <w:rPr>
          <w:b w:val="false"/>
          <w:bCs w:val="false"/>
          <w:sz w:val="21"/>
          <w:szCs w:val="21"/>
        </w:rPr>
        <w:t xml:space="preserve">Génération de bordereaux de facturation destinés aux assureurs.</w:t>
      </w:r>
    </w:p>
    <w:p>
      <w:pPr>
        <w:pStyle w:val="Heading2"/>
        <w:spacing w:after="140" w:before="280"/>
      </w:pPr>
      <w:r>
        <w:rPr>
          <w:b/>
          <w:bCs/>
          <w:color w:val="2E74B5"/>
          <w:sz w:val="25"/>
          <w:szCs w:val="25"/>
        </w:rPr>
        <w:t xml:space="preserve">4.10 Administration</w:t>
      </w:r>
    </w:p>
    <w:p>
      <w:pPr>
        <w:pStyle w:val="ListParagraph"/>
        <w:numPr>
          <w:ilvl w:val="0"/>
          <w:numId w:val="2"/>
        </w:numPr>
        <w:spacing w:after="60" w:line="280"/>
      </w:pPr>
      <w:r>
        <w:rPr>
          <w:b w:val="false"/>
          <w:bCs w:val="false"/>
          <w:sz w:val="21"/>
          <w:szCs w:val="21"/>
        </w:rPr>
        <w:t xml:space="preserve">Gestion des utilisateurs, rôles et permissions (contrôle d'accès basé sur les rôles — RBAC).</w:t>
      </w:r>
    </w:p>
    <w:p>
      <w:pPr>
        <w:pStyle w:val="ListParagraph"/>
        <w:numPr>
          <w:ilvl w:val="0"/>
          <w:numId w:val="2"/>
        </w:numPr>
        <w:spacing w:after="60" w:line="280"/>
      </w:pPr>
      <w:r>
        <w:rPr>
          <w:b w:val="false"/>
          <w:bCs w:val="false"/>
          <w:sz w:val="21"/>
          <w:szCs w:val="21"/>
        </w:rPr>
        <w:t xml:space="preserve">Paramétrage général (nom de l'établissement, logo, fuseau horaire, langues actives).</w:t>
      </w:r>
    </w:p>
    <w:p>
      <w:pPr>
        <w:pStyle w:val="ListParagraph"/>
        <w:numPr>
          <w:ilvl w:val="0"/>
          <w:numId w:val="2"/>
        </w:numPr>
        <w:spacing w:after="60" w:line="280"/>
      </w:pPr>
      <w:r>
        <w:rPr>
          <w:b w:val="false"/>
          <w:bCs w:val="false"/>
          <w:sz w:val="21"/>
          <w:szCs w:val="21"/>
        </w:rPr>
        <w:t xml:space="preserve">Historique détaillé des actions (journal d'audit).</w:t>
      </w:r>
    </w:p>
    <w:p>
      <w:pPr>
        <w:pStyle w:val="ListParagraph"/>
        <w:numPr>
          <w:ilvl w:val="0"/>
          <w:numId w:val="2"/>
        </w:numPr>
        <w:spacing w:after="60" w:line="280"/>
      </w:pPr>
      <w:r>
        <w:rPr>
          <w:b w:val="false"/>
          <w:bCs w:val="false"/>
          <w:sz w:val="21"/>
          <w:szCs w:val="21"/>
        </w:rPr>
        <w:t xml:space="preserve">Statistiques générales (activité, fréquentation, chiffre d'affaires).</w:t>
      </w:r>
    </w:p>
    <w:p>
      <w:pPr>
        <w:pStyle w:val="Heading2"/>
        <w:spacing w:after="140" w:before="280"/>
      </w:pPr>
      <w:r>
        <w:rPr>
          <w:b/>
          <w:bCs/>
          <w:color w:val="2E74B5"/>
          <w:sz w:val="25"/>
          <w:szCs w:val="25"/>
        </w:rPr>
        <w:t xml:space="preserve">4.11 Multilinguisme</w:t>
      </w:r>
    </w:p>
    <w:p>
      <w:pPr>
        <w:pStyle w:val="ListParagraph"/>
        <w:numPr>
          <w:ilvl w:val="0"/>
          <w:numId w:val="2"/>
        </w:numPr>
        <w:spacing w:after="60" w:line="280"/>
      </w:pPr>
      <w:r>
        <w:rPr>
          <w:b w:val="false"/>
          <w:bCs w:val="false"/>
          <w:sz w:val="21"/>
          <w:szCs w:val="21"/>
        </w:rPr>
        <w:t xml:space="preserve">Interface traduite dynamiquement en 6 langues : français, anglais, arabe, bambara, peulh, soninké.</w:t>
      </w:r>
    </w:p>
    <w:p>
      <w:pPr>
        <w:pStyle w:val="ListParagraph"/>
        <w:numPr>
          <w:ilvl w:val="0"/>
          <w:numId w:val="2"/>
        </w:numPr>
        <w:spacing w:after="60" w:line="280"/>
      </w:pPr>
      <w:r>
        <w:rPr>
          <w:b w:val="false"/>
          <w:bCs w:val="false"/>
          <w:sz w:val="21"/>
          <w:szCs w:val="21"/>
        </w:rPr>
        <w:t xml:space="preserve">Changement de langue en un clic, sans rechargement complet de session.</w:t>
      </w:r>
    </w:p>
    <w:p>
      <w:pPr>
        <w:pStyle w:val="ListParagraph"/>
        <w:numPr>
          <w:ilvl w:val="0"/>
          <w:numId w:val="2"/>
        </w:numPr>
        <w:spacing w:after="60" w:line="280"/>
      </w:pPr>
      <w:r>
        <w:rPr>
          <w:b w:val="false"/>
          <w:bCs w:val="false"/>
          <w:sz w:val="21"/>
          <w:szCs w:val="21"/>
        </w:rPr>
        <w:t xml:space="preserve">Prise en charge de l'affectation de droite à gauche (RTL) pour l'arabe.</w:t>
      </w:r>
    </w:p>
    <w:p>
      <w:pPr>
        <w:pBdr>
          <w:left w:val="single" w:color="2E74B5" w:sz="18" w:space="8"/>
        </w:pBdr>
        <w:shd w:fill="F2F2F2" w:val="clear"/>
        <w:spacing w:after="160" w:before="100"/>
        <w:ind w:left="200"/>
      </w:pPr>
      <w:r>
        <w:rPr>
          <w:b/>
          <w:bCs/>
          <w:i/>
          <w:iCs/>
          <w:color w:val="2E74B5"/>
          <w:sz w:val="20"/>
          <w:szCs w:val="20"/>
        </w:rPr>
        <w:t xml:space="preserve">Enrichissement — </w:t>
      </w:r>
      <w:r>
        <w:rPr>
          <w:i/>
          <w:iCs/>
          <w:color w:val="444444"/>
          <w:sz w:val="20"/>
          <w:szCs w:val="20"/>
        </w:rPr>
        <w:t xml:space="preserve">Point de vigilance technique ajouté : Django i18n gère nativement le RTL et les langues à ressources standard (fr, en, ar). Le bambara, le peulh (fulfulde) et le soninké ne disposent pas de fichiers de traduction préexistants ni de correcteurs orthographiques : les fichiers .po devront être traduits manuellement avec un locuteur natif, ce qui est une charge de traduction à part entière, distincte du développement logiciel (voir section 9, faisabilité).</w:t>
      </w:r>
    </w:p>
    <w:p>
      <w:r>
        <w:br w:type="page"/>
      </w:r>
    </w:p>
    <w:p>
      <w:pPr>
        <w:pStyle w:val="Heading1"/>
        <w:pBdr>
          <w:bottom w:val="single" w:color="1F3864" w:sz="6" w:space="4"/>
        </w:pBdr>
        <w:spacing w:after="200" w:before="400"/>
      </w:pPr>
      <w:r>
        <w:rPr>
          <w:b/>
          <w:bCs/>
          <w:color w:val="1F3864"/>
          <w:sz w:val="30"/>
          <w:szCs w:val="30"/>
        </w:rPr>
        <w:t xml:space="preserve">5. Gestion du bloc opératoire (module détaillé)</w:t>
      </w:r>
    </w:p>
    <w:p>
      <w:pPr>
        <w:pBdr>
          <w:left w:val="single" w:color="C00000" w:sz="18" w:space="8"/>
        </w:pBdr>
        <w:shd w:fill="F2F2F2" w:val="clear"/>
        <w:spacing w:after="160" w:before="100"/>
        <w:ind w:left="200"/>
      </w:pPr>
      <w:r>
        <w:rPr>
          <w:b/>
          <w:bCs/>
          <w:i/>
          <w:iCs/>
          <w:color w:val="C00000"/>
          <w:sz w:val="20"/>
          <w:szCs w:val="20"/>
        </w:rPr>
        <w:t xml:space="preserve">Ajout demandé — </w:t>
      </w:r>
      <w:r>
        <w:rPr>
          <w:i/>
          <w:iCs/>
          <w:color w:val="444444"/>
          <w:sz w:val="20"/>
          <w:szCs w:val="20"/>
        </w:rPr>
        <w:t xml:space="preserve">Module entièrement développé à la demande — le document d'origine se limitait à la mention « Gestion du bloc opératoire » dans la liste des fonctionnalités. Cette section en fait un module à part entière, au même niveau de détail que les autres modules métiers critiques.</w:t>
      </w:r>
    </w:p>
    <w:p>
      <w:pPr>
        <w:pStyle w:val="Heading2"/>
        <w:spacing w:after="140" w:before="280"/>
      </w:pPr>
      <w:r>
        <w:rPr>
          <w:b/>
          <w:bCs/>
          <w:color w:val="2E74B5"/>
          <w:sz w:val="25"/>
          <w:szCs w:val="25"/>
        </w:rPr>
        <w:t xml:space="preserve">5.1 Objectifs du module</w:t>
      </w:r>
    </w:p>
    <w:p>
      <w:pPr>
        <w:spacing w:after="140" w:line="300"/>
        <w:jc w:val="both"/>
      </w:pPr>
      <w:r>
        <w:rPr>
          <w:sz w:val="21"/>
          <w:szCs w:val="21"/>
        </w:rPr>
        <w:t xml:space="preserve">Le module de gestion du bloc opératoire vise à planifier, coordonner et tracer l'ensemble des interventions chirurgicales réalisées dans l'établissement, en optimisant l'occupation des salles et la disponibilité des ressources humaines et matérielles, tout en garantissant la sécurité du patient et la conformité aux protocoles (checklist chirurgicale).</w:t>
      </w:r>
    </w:p>
    <w:p>
      <w:pPr>
        <w:pStyle w:val="Heading2"/>
        <w:spacing w:after="140" w:before="280"/>
      </w:pPr>
      <w:r>
        <w:rPr>
          <w:b/>
          <w:bCs/>
          <w:color w:val="2E74B5"/>
          <w:sz w:val="25"/>
          <w:szCs w:val="25"/>
        </w:rPr>
        <w:t xml:space="preserve">5.2 Acteurs du module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Acteur</w:t>
            </w:r>
          </w:p>
        </w:tc>
        <w:tc>
          <w:tcPr>
            <w:tcW w:type="dxa" w:w="6300"/>
            <w:shd w:fill="1F3864" w:val="clear"/>
            <w:tcMar>
              <w:top w:type="dxa" w:w="80"/>
              <w:left w:type="dxa" w:w="100"/>
              <w:bottom w:type="dxa" w:w="80"/>
              <w:right w:type="dxa" w:w="100"/>
            </w:tcMar>
            <w:vAlign w:val="center"/>
          </w:tcPr>
          <w:p>
            <w:r>
              <w:rPr>
                <w:b/>
                <w:bCs/>
                <w:color w:val="FFFFFF"/>
                <w:sz w:val="20"/>
                <w:szCs w:val="20"/>
              </w:rPr>
              <w:t xml:space="preserve">Rôle dans le module bloc opératoire</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Chirurgien</w:t>
            </w:r>
          </w:p>
        </w:tc>
        <w:tc>
          <w:tcPr>
            <w:tcW w:type="dxa" w:w="6300"/>
            <w:tcMar>
              <w:top w:type="dxa" w:w="80"/>
              <w:left w:type="dxa" w:w="100"/>
              <w:bottom w:type="dxa" w:w="80"/>
              <w:right w:type="dxa" w:w="100"/>
            </w:tcMar>
            <w:vAlign w:val="center"/>
          </w:tcPr>
          <w:p>
            <w:r>
              <w:rPr>
                <w:b w:val="false"/>
                <w:bCs w:val="false"/>
                <w:color w:val="000000"/>
                <w:sz w:val="20"/>
                <w:szCs w:val="20"/>
              </w:rPr>
              <w:t xml:space="preserve">Planifie/demande une intervention, consulte le programme opératoire, rédige le compte-rendu opératoire.</w:t>
            </w:r>
          </w:p>
        </w:tc>
      </w:tr>
      <w:tr>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Médecin anesthésiste-réanimateur</w:t>
            </w:r>
          </w:p>
        </w:tc>
        <w:tc>
          <w:tcPr>
            <w:tcW w:type="dxa" w:w="6300"/>
            <w:shd w:fill="F2F2F2" w:val="clear"/>
            <w:tcMar>
              <w:top w:type="dxa" w:w="80"/>
              <w:left w:type="dxa" w:w="100"/>
              <w:bottom w:type="dxa" w:w="80"/>
              <w:right w:type="dxa" w:w="100"/>
            </w:tcMar>
            <w:vAlign w:val="center"/>
          </w:tcPr>
          <w:p>
            <w:r>
              <w:rPr>
                <w:b w:val="false"/>
                <w:bCs w:val="false"/>
                <w:color w:val="000000"/>
                <w:sz w:val="20"/>
                <w:szCs w:val="20"/>
              </w:rPr>
              <w:t xml:space="preserve">Valide la faisabilité anesthésique, consigne le protocole d'anesthésie et la surveillance peropératoire.</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Infirmier(ère) de bloc opératoire (IBODE)</w:t>
            </w:r>
          </w:p>
        </w:tc>
        <w:tc>
          <w:tcPr>
            <w:tcW w:type="dxa" w:w="6300"/>
            <w:tcMar>
              <w:top w:type="dxa" w:w="80"/>
              <w:left w:type="dxa" w:w="100"/>
              <w:bottom w:type="dxa" w:w="80"/>
              <w:right w:type="dxa" w:w="100"/>
            </w:tcMar>
            <w:vAlign w:val="center"/>
          </w:tcPr>
          <w:p>
            <w:r>
              <w:rPr>
                <w:b w:val="false"/>
                <w:bCs w:val="false"/>
                <w:color w:val="000000"/>
                <w:sz w:val="20"/>
                <w:szCs w:val="20"/>
              </w:rPr>
              <w:t xml:space="preserve">Prépare la salle, gère l'instrumentation stérile, assiste l'intervention, renseigne la checklist.</w:t>
            </w:r>
          </w:p>
        </w:tc>
      </w:tr>
      <w:tr>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Agent de programmation / cadre de bloc</w:t>
            </w:r>
          </w:p>
        </w:tc>
        <w:tc>
          <w:tcPr>
            <w:tcW w:type="dxa" w:w="6300"/>
            <w:shd w:fill="F2F2F2" w:val="clear"/>
            <w:tcMar>
              <w:top w:type="dxa" w:w="80"/>
              <w:left w:type="dxa" w:w="100"/>
              <w:bottom w:type="dxa" w:w="80"/>
              <w:right w:type="dxa" w:w="100"/>
            </w:tcMar>
            <w:vAlign w:val="center"/>
          </w:tcPr>
          <w:p>
            <w:r>
              <w:rPr>
                <w:b w:val="false"/>
                <w:bCs w:val="false"/>
                <w:color w:val="000000"/>
                <w:sz w:val="20"/>
                <w:szCs w:val="20"/>
              </w:rPr>
              <w:t xml:space="preserve">Élabore et arbitre le planning des salles, gère les priorités et les urgences.</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Agent de stérilisation</w:t>
            </w:r>
          </w:p>
        </w:tc>
        <w:tc>
          <w:tcPr>
            <w:tcW w:type="dxa" w:w="6300"/>
            <w:tcMar>
              <w:top w:type="dxa" w:w="80"/>
              <w:left w:type="dxa" w:w="100"/>
              <w:bottom w:type="dxa" w:w="80"/>
              <w:right w:type="dxa" w:w="100"/>
            </w:tcMar>
            <w:vAlign w:val="center"/>
          </w:tcPr>
          <w:p>
            <w:r>
              <w:rPr>
                <w:b w:val="false"/>
                <w:bCs w:val="false"/>
                <w:color w:val="000000"/>
                <w:sz w:val="20"/>
                <w:szCs w:val="20"/>
              </w:rPr>
              <w:t xml:space="preserve">Suit la disponibilité et la traçabilité des kits d'instruments stérilisés.</w:t>
            </w:r>
          </w:p>
        </w:tc>
      </w:tr>
      <w:tr>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Administrateur</w:t>
            </w:r>
          </w:p>
        </w:tc>
        <w:tc>
          <w:tcPr>
            <w:tcW w:type="dxa" w:w="6300"/>
            <w:shd w:fill="F2F2F2" w:val="clear"/>
            <w:tcMar>
              <w:top w:type="dxa" w:w="80"/>
              <w:left w:type="dxa" w:w="100"/>
              <w:bottom w:type="dxa" w:w="80"/>
              <w:right w:type="dxa" w:w="100"/>
            </w:tcMar>
            <w:vAlign w:val="center"/>
          </w:tcPr>
          <w:p>
            <w:r>
              <w:rPr>
                <w:b w:val="false"/>
                <w:bCs w:val="false"/>
                <w:color w:val="000000"/>
                <w:sz w:val="20"/>
                <w:szCs w:val="20"/>
              </w:rPr>
              <w:t xml:space="preserve">Paramètre les salles, les types d'intervention et consulte les indicateurs du bloc.</w:t>
            </w:r>
          </w:p>
        </w:tc>
      </w:tr>
    </w:tbl>
    <w:p>
      <w:pPr>
        <w:spacing w:after="200"/>
      </w:pPr>
    </w:p>
    <w:p>
      <w:pPr>
        <w:pStyle w:val="Heading2"/>
        <w:spacing w:after="140" w:before="280"/>
      </w:pPr>
      <w:r>
        <w:rPr>
          <w:b/>
          <w:bCs/>
          <w:color w:val="2E74B5"/>
          <w:sz w:val="25"/>
          <w:szCs w:val="25"/>
        </w:rPr>
        <w:t xml:space="preserve">5.3 Fonctionnalités détaillées</w:t>
      </w:r>
    </w:p>
    <w:p>
      <w:pPr>
        <w:pStyle w:val="Heading3"/>
        <w:spacing w:after="100" w:before="200"/>
      </w:pPr>
      <w:r>
        <w:rPr>
          <w:b/>
          <w:bCs/>
          <w:i/>
          <w:iCs/>
          <w:color w:val="333333"/>
          <w:sz w:val="22"/>
          <w:szCs w:val="22"/>
        </w:rPr>
        <w:t xml:space="preserve">5.3.1 Planification des interventions</w:t>
      </w:r>
    </w:p>
    <w:p>
      <w:pPr>
        <w:pStyle w:val="ListParagraph"/>
        <w:numPr>
          <w:ilvl w:val="0"/>
          <w:numId w:val="2"/>
        </w:numPr>
        <w:spacing w:after="60" w:line="280"/>
      </w:pPr>
      <w:r>
        <w:rPr>
          <w:b w:val="false"/>
          <w:bCs w:val="false"/>
          <w:sz w:val="21"/>
          <w:szCs w:val="21"/>
        </w:rPr>
        <w:t xml:space="preserve">Création d'une demande d'intervention depuis le dossier patient (chirurgien), avec type d'acte, durée estimée, matériel requis.</w:t>
      </w:r>
    </w:p>
    <w:p>
      <w:pPr>
        <w:pStyle w:val="ListParagraph"/>
        <w:numPr>
          <w:ilvl w:val="0"/>
          <w:numId w:val="2"/>
        </w:numPr>
        <w:spacing w:after="60" w:line="280"/>
      </w:pPr>
      <w:r>
        <w:rPr>
          <w:b w:val="false"/>
          <w:bCs w:val="false"/>
          <w:sz w:val="21"/>
          <w:szCs w:val="21"/>
        </w:rPr>
        <w:t xml:space="preserve">Programmation sur un planning visuel par salle et par créneau (vue jour / semaine).</w:t>
      </w:r>
    </w:p>
    <w:p>
      <w:pPr>
        <w:pStyle w:val="ListParagraph"/>
        <w:numPr>
          <w:ilvl w:val="0"/>
          <w:numId w:val="2"/>
        </w:numPr>
        <w:spacing w:after="60" w:line="280"/>
      </w:pPr>
      <w:r>
        <w:rPr>
          <w:b w:val="false"/>
          <w:bCs w:val="false"/>
          <w:sz w:val="21"/>
          <w:szCs w:val="21"/>
        </w:rPr>
        <w:t xml:space="preserve">Classification des interventions par degré d'urgence : programmée, urgente, extrême urgence (déclenche une alerte de replanification).</w:t>
      </w:r>
    </w:p>
    <w:p>
      <w:pPr>
        <w:pStyle w:val="ListParagraph"/>
        <w:numPr>
          <w:ilvl w:val="0"/>
          <w:numId w:val="2"/>
        </w:numPr>
        <w:spacing w:after="60" w:line="280"/>
      </w:pPr>
      <w:r>
        <w:rPr>
          <w:b w:val="false"/>
          <w:bCs w:val="false"/>
          <w:sz w:val="21"/>
          <w:szCs w:val="21"/>
        </w:rPr>
        <w:t xml:space="preserve">Gestion automatique d'un temps tampon de nettoyage/désinfection entre deux interventions dans une même salle.</w:t>
      </w:r>
    </w:p>
    <w:p>
      <w:pPr>
        <w:pStyle w:val="ListParagraph"/>
        <w:numPr>
          <w:ilvl w:val="0"/>
          <w:numId w:val="2"/>
        </w:numPr>
        <w:spacing w:after="60" w:line="280"/>
      </w:pPr>
      <w:r>
        <w:rPr>
          <w:b w:val="false"/>
          <w:bCs w:val="false"/>
          <w:sz w:val="21"/>
          <w:szCs w:val="21"/>
        </w:rPr>
        <w:t xml:space="preserve">Détection et blocage des conflits de réservation (double affectation d'une salle ou d'un praticien sur un même créneau).</w:t>
      </w:r>
    </w:p>
    <w:p>
      <w:pPr>
        <w:pStyle w:val="Heading3"/>
        <w:spacing w:after="100" w:before="200"/>
      </w:pPr>
      <w:r>
        <w:rPr>
          <w:b/>
          <w:bCs/>
          <w:i/>
          <w:iCs/>
          <w:color w:val="333333"/>
          <w:sz w:val="22"/>
          <w:szCs w:val="22"/>
        </w:rPr>
        <w:t xml:space="preserve">5.3.2 Gestion des salles de bloc</w:t>
      </w:r>
    </w:p>
    <w:p>
      <w:pPr>
        <w:pStyle w:val="ListParagraph"/>
        <w:numPr>
          <w:ilvl w:val="0"/>
          <w:numId w:val="2"/>
        </w:numPr>
        <w:spacing w:after="60" w:line="280"/>
      </w:pPr>
      <w:r>
        <w:rPr>
          <w:b w:val="false"/>
          <w:bCs w:val="false"/>
          <w:sz w:val="21"/>
          <w:szCs w:val="21"/>
        </w:rPr>
        <w:t xml:space="preserve">Fiche par salle : équipement disponible, capacité, statut en temps réel (libre / occupée / en nettoyage / en maintenance / hors service).</w:t>
      </w:r>
    </w:p>
    <w:p>
      <w:pPr>
        <w:pStyle w:val="ListParagraph"/>
        <w:numPr>
          <w:ilvl w:val="0"/>
          <w:numId w:val="2"/>
        </w:numPr>
        <w:spacing w:after="60" w:line="280"/>
      </w:pPr>
      <w:r>
        <w:rPr>
          <w:b w:val="false"/>
          <w:bCs w:val="false"/>
          <w:sz w:val="21"/>
          <w:szCs w:val="21"/>
        </w:rPr>
        <w:t xml:space="preserve">Vue d'ensemble (tableau de bord) de l'occupation de toutes les salles du bloc.</w:t>
      </w:r>
    </w:p>
    <w:p>
      <w:pPr>
        <w:pStyle w:val="ListParagraph"/>
        <w:numPr>
          <w:ilvl w:val="0"/>
          <w:numId w:val="2"/>
        </w:numPr>
        <w:spacing w:after="60" w:line="280"/>
      </w:pPr>
      <w:r>
        <w:rPr>
          <w:b w:val="false"/>
          <w:bCs w:val="false"/>
          <w:sz w:val="21"/>
          <w:szCs w:val="21"/>
        </w:rPr>
        <w:t xml:space="preserve">Historique de maintenance et d'indisponibilité par salle.</w:t>
      </w:r>
    </w:p>
    <w:p>
      <w:pPr>
        <w:pStyle w:val="Heading3"/>
        <w:spacing w:after="100" w:before="200"/>
      </w:pPr>
      <w:r>
        <w:rPr>
          <w:b/>
          <w:bCs/>
          <w:i/>
          <w:iCs/>
          <w:color w:val="333333"/>
          <w:sz w:val="22"/>
          <w:szCs w:val="22"/>
        </w:rPr>
        <w:t xml:space="preserve">5.3.3 Affectation des équipes chirurgicales</w:t>
      </w:r>
    </w:p>
    <w:p>
      <w:pPr>
        <w:pStyle w:val="ListParagraph"/>
        <w:numPr>
          <w:ilvl w:val="0"/>
          <w:numId w:val="2"/>
        </w:numPr>
        <w:spacing w:after="60" w:line="280"/>
      </w:pPr>
      <w:r>
        <w:rPr>
          <w:b w:val="false"/>
          <w:bCs w:val="false"/>
          <w:sz w:val="21"/>
          <w:szCs w:val="21"/>
        </w:rPr>
        <w:t xml:space="preserve">Constitution de l'équipe pour chaque intervention : chirurgien(s), anesthésiste, IBODE, aide-opératoire.</w:t>
      </w:r>
    </w:p>
    <w:p>
      <w:pPr>
        <w:pStyle w:val="ListParagraph"/>
        <w:numPr>
          <w:ilvl w:val="0"/>
          <w:numId w:val="2"/>
        </w:numPr>
        <w:spacing w:after="60" w:line="280"/>
      </w:pPr>
      <w:r>
        <w:rPr>
          <w:b w:val="false"/>
          <w:bCs w:val="false"/>
          <w:sz w:val="21"/>
          <w:szCs w:val="21"/>
        </w:rPr>
        <w:t xml:space="preserve">Vérification de la disponibilité de chaque membre (absence de conflit avec une autre affectation).</w:t>
      </w:r>
    </w:p>
    <w:p>
      <w:pPr>
        <w:pStyle w:val="ListParagraph"/>
        <w:numPr>
          <w:ilvl w:val="0"/>
          <w:numId w:val="2"/>
        </w:numPr>
        <w:spacing w:after="60" w:line="280"/>
      </w:pPr>
      <w:r>
        <w:rPr>
          <w:b w:val="false"/>
          <w:bCs w:val="false"/>
          <w:sz w:val="21"/>
          <w:szCs w:val="21"/>
        </w:rPr>
        <w:t xml:space="preserve">Notification automatique aux membres de l'équipe lors de leur affectation ou d'un changement de planning.</w:t>
      </w:r>
    </w:p>
    <w:p>
      <w:pPr>
        <w:pStyle w:val="Heading3"/>
        <w:spacing w:after="100" w:before="200"/>
      </w:pPr>
      <w:r>
        <w:rPr>
          <w:b/>
          <w:bCs/>
          <w:i/>
          <w:iCs/>
          <w:color w:val="333333"/>
          <w:sz w:val="22"/>
          <w:szCs w:val="22"/>
        </w:rPr>
        <w:t xml:space="preserve">5.3.4 Gestion du matériel et de l'instrumentation</w:t>
      </w:r>
    </w:p>
    <w:p>
      <w:pPr>
        <w:pStyle w:val="ListParagraph"/>
        <w:numPr>
          <w:ilvl w:val="0"/>
          <w:numId w:val="2"/>
        </w:numPr>
        <w:spacing w:after="60" w:line="280"/>
      </w:pPr>
      <w:r>
        <w:rPr>
          <w:b w:val="false"/>
          <w:bCs w:val="false"/>
          <w:sz w:val="21"/>
          <w:szCs w:val="21"/>
        </w:rPr>
        <w:t xml:space="preserve">Association d'une liste de matériel/instruments requis à chaque type d'intervention.</w:t>
      </w:r>
    </w:p>
    <w:p>
      <w:pPr>
        <w:pStyle w:val="ListParagraph"/>
        <w:numPr>
          <w:ilvl w:val="0"/>
          <w:numId w:val="2"/>
        </w:numPr>
        <w:spacing w:after="60" w:line="280"/>
      </w:pPr>
      <w:r>
        <w:rPr>
          <w:b w:val="false"/>
          <w:bCs w:val="false"/>
          <w:sz w:val="21"/>
          <w:szCs w:val="21"/>
        </w:rPr>
        <w:t xml:space="preserve">Suivi de la disponibilité des kits stérilisés (lien avec le service de stérilisation).</w:t>
      </w:r>
    </w:p>
    <w:p>
      <w:pPr>
        <w:pStyle w:val="ListParagraph"/>
        <w:numPr>
          <w:ilvl w:val="0"/>
          <w:numId w:val="2"/>
        </w:numPr>
        <w:spacing w:after="60" w:line="280"/>
      </w:pPr>
      <w:r>
        <w:rPr>
          <w:b w:val="false"/>
          <w:bCs w:val="false"/>
          <w:sz w:val="21"/>
          <w:szCs w:val="21"/>
        </w:rPr>
        <w:t xml:space="preserve">Alerte en cas de matériel indisponible ou non stérilisé pour une intervention planifiée.</w:t>
      </w:r>
    </w:p>
    <w:p>
      <w:pPr>
        <w:pStyle w:val="Heading3"/>
        <w:spacing w:after="100" w:before="200"/>
      </w:pPr>
      <w:r>
        <w:rPr>
          <w:b/>
          <w:bCs/>
          <w:i/>
          <w:iCs/>
          <w:color w:val="333333"/>
          <w:sz w:val="22"/>
          <w:szCs w:val="22"/>
        </w:rPr>
        <w:t xml:space="preserve">5.3.5 Sécurité et checklist chirurgicale</w:t>
      </w:r>
    </w:p>
    <w:p>
      <w:pPr>
        <w:pStyle w:val="ListParagraph"/>
        <w:numPr>
          <w:ilvl w:val="0"/>
          <w:numId w:val="2"/>
        </w:numPr>
        <w:spacing w:after="60" w:line="280"/>
      </w:pPr>
      <w:r>
        <w:rPr>
          <w:b w:val="false"/>
          <w:bCs w:val="false"/>
          <w:sz w:val="21"/>
          <w:szCs w:val="21"/>
        </w:rPr>
        <w:t xml:space="preserve">Checklist numérique inspirée de la check-list « sécurité du patient au bloc opératoire » (type OMS/HAS), à valider à trois temps : avant l'induction anesthésique, avant l'incision, avant la sortie de salle.</w:t>
      </w:r>
    </w:p>
    <w:p>
      <w:pPr>
        <w:pStyle w:val="ListParagraph"/>
        <w:numPr>
          <w:ilvl w:val="0"/>
          <w:numId w:val="2"/>
        </w:numPr>
        <w:spacing w:after="60" w:line="280"/>
      </w:pPr>
      <w:r>
        <w:rPr>
          <w:b w:val="false"/>
          <w:bCs w:val="false"/>
          <w:sz w:val="21"/>
          <w:szCs w:val="21"/>
        </w:rPr>
        <w:t xml:space="preserve">Blocage ou avertissement si une étape critique de la checklist n'est pas validée avant de passer à l'étape suivante.</w:t>
      </w:r>
    </w:p>
    <w:p>
      <w:pPr>
        <w:pStyle w:val="ListParagraph"/>
        <w:numPr>
          <w:ilvl w:val="0"/>
          <w:numId w:val="2"/>
        </w:numPr>
        <w:spacing w:after="60" w:line="280"/>
      </w:pPr>
      <w:r>
        <w:rPr>
          <w:b w:val="false"/>
          <w:bCs w:val="false"/>
          <w:sz w:val="21"/>
          <w:szCs w:val="21"/>
        </w:rPr>
        <w:t xml:space="preserve">Traçabilité nominative de la personne ayant validé chaque étape et horodatage.</w:t>
      </w:r>
    </w:p>
    <w:p>
      <w:pPr>
        <w:pStyle w:val="Heading3"/>
        <w:spacing w:after="100" w:before="200"/>
      </w:pPr>
      <w:r>
        <w:rPr>
          <w:b/>
          <w:bCs/>
          <w:i/>
          <w:iCs/>
          <w:color w:val="333333"/>
          <w:sz w:val="22"/>
          <w:szCs w:val="22"/>
        </w:rPr>
        <w:t xml:space="preserve">5.3.6 Suivi peropératoire et compte-rendu</w:t>
      </w:r>
    </w:p>
    <w:p>
      <w:pPr>
        <w:pStyle w:val="ListParagraph"/>
        <w:numPr>
          <w:ilvl w:val="0"/>
          <w:numId w:val="2"/>
        </w:numPr>
        <w:spacing w:after="60" w:line="280"/>
      </w:pPr>
      <w:r>
        <w:rPr>
          <w:b w:val="false"/>
          <w:bCs w:val="false"/>
          <w:sz w:val="21"/>
          <w:szCs w:val="21"/>
        </w:rPr>
        <w:t xml:space="preserve">Enregistrement de l'heure d'entrée en salle, début et fin d'intervention, heure de sortie.</w:t>
      </w:r>
    </w:p>
    <w:p>
      <w:pPr>
        <w:pStyle w:val="ListParagraph"/>
        <w:numPr>
          <w:ilvl w:val="0"/>
          <w:numId w:val="2"/>
        </w:numPr>
        <w:spacing w:after="60" w:line="280"/>
      </w:pPr>
      <w:r>
        <w:rPr>
          <w:b w:val="false"/>
          <w:bCs w:val="false"/>
          <w:sz w:val="21"/>
          <w:szCs w:val="21"/>
        </w:rPr>
        <w:t xml:space="preserve">Saisie des incidents ou complications peropératoires éventuels.</w:t>
      </w:r>
    </w:p>
    <w:p>
      <w:pPr>
        <w:pStyle w:val="ListParagraph"/>
        <w:numPr>
          <w:ilvl w:val="0"/>
          <w:numId w:val="2"/>
        </w:numPr>
        <w:spacing w:after="60" w:line="280"/>
      </w:pPr>
      <w:r>
        <w:rPr>
          <w:b w:val="false"/>
          <w:bCs w:val="false"/>
          <w:sz w:val="21"/>
          <w:szCs w:val="21"/>
        </w:rPr>
        <w:t xml:space="preserve">Rédaction du compte-rendu opératoire par le chirurgien (technique utilisée, constatations, suites à prévoir), rattaché au dossier médical du patient.</w:t>
      </w:r>
    </w:p>
    <w:p>
      <w:pPr>
        <w:pStyle w:val="ListParagraph"/>
        <w:numPr>
          <w:ilvl w:val="0"/>
          <w:numId w:val="2"/>
        </w:numPr>
        <w:spacing w:after="60" w:line="280"/>
      </w:pPr>
      <w:r>
        <w:rPr>
          <w:b w:val="false"/>
          <w:bCs w:val="false"/>
          <w:sz w:val="21"/>
          <w:szCs w:val="21"/>
        </w:rPr>
        <w:t xml:space="preserve">Prescription postopératoire directement liée au compte-rendu (antalgiques, surveillance).</w:t>
      </w:r>
    </w:p>
    <w:p>
      <w:pPr>
        <w:pStyle w:val="Heading3"/>
        <w:spacing w:after="100" w:before="200"/>
      </w:pPr>
      <w:r>
        <w:rPr>
          <w:b/>
          <w:bCs/>
          <w:i/>
          <w:iCs/>
          <w:color w:val="333333"/>
          <w:sz w:val="22"/>
          <w:szCs w:val="22"/>
        </w:rPr>
        <w:t xml:space="preserve">5.3.7 Pilotage et indicateurs du bloc opératoire</w:t>
      </w:r>
    </w:p>
    <w:p>
      <w:pPr>
        <w:pStyle w:val="ListParagraph"/>
        <w:numPr>
          <w:ilvl w:val="0"/>
          <w:numId w:val="2"/>
        </w:numPr>
        <w:spacing w:after="60" w:line="280"/>
      </w:pPr>
      <w:r>
        <w:rPr>
          <w:b w:val="false"/>
          <w:bCs w:val="false"/>
          <w:sz w:val="21"/>
          <w:szCs w:val="21"/>
        </w:rPr>
        <w:t xml:space="preserve">Taux d'occupation des salles par période.</w:t>
      </w:r>
    </w:p>
    <w:p>
      <w:pPr>
        <w:pStyle w:val="ListParagraph"/>
        <w:numPr>
          <w:ilvl w:val="0"/>
          <w:numId w:val="2"/>
        </w:numPr>
        <w:spacing w:after="60" w:line="280"/>
      </w:pPr>
      <w:r>
        <w:rPr>
          <w:b w:val="false"/>
          <w:bCs w:val="false"/>
          <w:sz w:val="21"/>
          <w:szCs w:val="21"/>
        </w:rPr>
        <w:t xml:space="preserve">Durée moyenne des interventions par type d'acte et par praticien.</w:t>
      </w:r>
    </w:p>
    <w:p>
      <w:pPr>
        <w:pStyle w:val="ListParagraph"/>
        <w:numPr>
          <w:ilvl w:val="0"/>
          <w:numId w:val="2"/>
        </w:numPr>
        <w:spacing w:after="60" w:line="280"/>
      </w:pPr>
      <w:r>
        <w:rPr>
          <w:b w:val="false"/>
          <w:bCs w:val="false"/>
          <w:sz w:val="21"/>
          <w:szCs w:val="21"/>
        </w:rPr>
        <w:t xml:space="preserve">Taux de déprogrammation / annulation et motifs associés.</w:t>
      </w:r>
    </w:p>
    <w:p>
      <w:pPr>
        <w:pStyle w:val="ListParagraph"/>
        <w:numPr>
          <w:ilvl w:val="0"/>
          <w:numId w:val="2"/>
        </w:numPr>
        <w:spacing w:after="60" w:line="280"/>
      </w:pPr>
      <w:r>
        <w:rPr>
          <w:b w:val="false"/>
          <w:bCs w:val="false"/>
          <w:sz w:val="21"/>
          <w:szCs w:val="21"/>
        </w:rPr>
        <w:t xml:space="preserve">Temps de rotation moyen entre deux interventions (indicateur d'efficience du bloc).</w:t>
      </w:r>
    </w:p>
    <w:p>
      <w:pPr>
        <w:pStyle w:val="ListParagraph"/>
        <w:numPr>
          <w:ilvl w:val="0"/>
          <w:numId w:val="2"/>
        </w:numPr>
        <w:spacing w:after="60" w:line="280"/>
      </w:pPr>
      <w:r>
        <w:rPr>
          <w:b w:val="false"/>
          <w:bCs w:val="false"/>
          <w:sz w:val="21"/>
          <w:szCs w:val="21"/>
        </w:rPr>
        <w:t xml:space="preserve">Export des statistiques du bloc opératoire au format PDF/Excel (cohérent avec l'exigence transverse de reporting, section 4.10).</w:t>
      </w:r>
    </w:p>
    <w:p>
      <w:pPr>
        <w:pStyle w:val="Heading2"/>
        <w:spacing w:after="140" w:before="280"/>
      </w:pPr>
      <w:r>
        <w:rPr>
          <w:b/>
          <w:bCs/>
          <w:color w:val="2E74B5"/>
          <w:sz w:val="25"/>
          <w:szCs w:val="25"/>
        </w:rPr>
        <w:t xml:space="preserve">5.4 Règles de gestion</w:t>
      </w:r>
    </w:p>
    <w:p>
      <w:pPr>
        <w:pStyle w:val="ListParagraph"/>
        <w:numPr>
          <w:ilvl w:val="0"/>
          <w:numId w:val="4"/>
        </w:numPr>
        <w:spacing w:after="80" w:line="280"/>
      </w:pPr>
      <w:r>
        <w:rPr>
          <w:sz w:val="21"/>
          <w:szCs w:val="21"/>
        </w:rPr>
        <w:t xml:space="preserve">Une salle ne peut être affectée qu'à une seule intervention sur un créneau donné ; toute tentative de double réservation est bloquée par le système.</w:t>
      </w:r>
    </w:p>
    <w:p>
      <w:pPr>
        <w:pStyle w:val="ListParagraph"/>
        <w:numPr>
          <w:ilvl w:val="0"/>
          <w:numId w:val="4"/>
        </w:numPr>
        <w:spacing w:after="80" w:line="280"/>
      </w:pPr>
      <w:r>
        <w:rPr>
          <w:sz w:val="21"/>
          <w:szCs w:val="21"/>
        </w:rPr>
        <w:t xml:space="preserve">Un temps de nettoyage minimal (paramétrable, par défaut 30 minutes) est automatiquement inséré entre deux interventions dans la même salle.</w:t>
      </w:r>
    </w:p>
    <w:p>
      <w:pPr>
        <w:pStyle w:val="ListParagraph"/>
        <w:numPr>
          <w:ilvl w:val="0"/>
          <w:numId w:val="4"/>
        </w:numPr>
        <w:spacing w:after="80" w:line="280"/>
      </w:pPr>
      <w:r>
        <w:rPr>
          <w:sz w:val="21"/>
          <w:szCs w:val="21"/>
        </w:rPr>
        <w:t xml:space="preserve">Un membre d'équipe (chirurgien, anesthésiste, IBODE) ne peut pas être affecté simultanément à deux interventions se chevauchant dans le temps.</w:t>
      </w:r>
    </w:p>
    <w:p>
      <w:pPr>
        <w:pStyle w:val="ListParagraph"/>
        <w:numPr>
          <w:ilvl w:val="0"/>
          <w:numId w:val="4"/>
        </w:numPr>
        <w:spacing w:after="80" w:line="280"/>
      </w:pPr>
      <w:r>
        <w:rPr>
          <w:sz w:val="21"/>
          <w:szCs w:val="21"/>
        </w:rPr>
        <w:t xml:space="preserve">Une intervention classée « extrême urgence » peut forcer une replanification des interventions non urgentes du jour, avec traçabilité de la décision et de son auteur.</w:t>
      </w:r>
    </w:p>
    <w:p>
      <w:pPr>
        <w:pStyle w:val="ListParagraph"/>
        <w:numPr>
          <w:ilvl w:val="0"/>
          <w:numId w:val="4"/>
        </w:numPr>
        <w:spacing w:after="80" w:line="280"/>
      </w:pPr>
      <w:r>
        <w:rPr>
          <w:sz w:val="21"/>
          <w:szCs w:val="21"/>
        </w:rPr>
        <w:t xml:space="preserve">Le passage au statut « intervention terminée » n'est possible qu'après validation complète de la checklist de sortie de salle.</w:t>
      </w:r>
    </w:p>
    <w:p>
      <w:pPr>
        <w:pStyle w:val="ListParagraph"/>
        <w:numPr>
          <w:ilvl w:val="0"/>
          <w:numId w:val="4"/>
        </w:numPr>
        <w:spacing w:after="80" w:line="280"/>
      </w:pPr>
      <w:r>
        <w:rPr>
          <w:sz w:val="21"/>
          <w:szCs w:val="21"/>
        </w:rPr>
        <w:t xml:space="preserve">Toute annulation ou déprogrammation d'une intervention doit être motivée (champ obligatoire) et historisée.</w:t>
      </w:r>
    </w:p>
    <w:p>
      <w:pPr>
        <w:pStyle w:val="Heading2"/>
        <w:spacing w:after="140" w:before="280"/>
      </w:pPr>
      <w:r>
        <w:rPr>
          <w:b/>
          <w:bCs/>
          <w:color w:val="2E74B5"/>
          <w:sz w:val="25"/>
          <w:szCs w:val="25"/>
        </w:rPr>
        <w:t xml:space="preserve">5.5 Modèle de données complémentaire (module bloc opératoire)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6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Entité</w:t>
            </w:r>
          </w:p>
        </w:tc>
        <w:tc>
          <w:tcPr>
            <w:tcW w:type="dxa" w:w="4300"/>
            <w:shd w:fill="1F3864" w:val="clear"/>
            <w:tcMar>
              <w:top w:type="dxa" w:w="80"/>
              <w:left w:type="dxa" w:w="100"/>
              <w:bottom w:type="dxa" w:w="80"/>
              <w:right w:type="dxa" w:w="100"/>
            </w:tcMar>
            <w:vAlign w:val="center"/>
          </w:tcPr>
          <w:p>
            <w:r>
              <w:rPr>
                <w:b/>
                <w:bCs/>
                <w:color w:val="FFFFFF"/>
                <w:sz w:val="20"/>
                <w:szCs w:val="20"/>
              </w:rPr>
              <w:t xml:space="preserve">Attributs principaux</w:t>
            </w:r>
          </w:p>
        </w:tc>
        <w:tc>
          <w:tcPr>
            <w:tcW w:type="dxa" w:w="2600"/>
            <w:shd w:fill="1F3864" w:val="clear"/>
            <w:tcMar>
              <w:top w:type="dxa" w:w="80"/>
              <w:left w:type="dxa" w:w="100"/>
              <w:bottom w:type="dxa" w:w="80"/>
              <w:right w:type="dxa" w:w="100"/>
            </w:tcMar>
            <w:vAlign w:val="center"/>
          </w:tcPr>
          <w:p>
            <w:r>
              <w:rPr>
                <w:b/>
                <w:bCs/>
                <w:color w:val="FFFFFF"/>
                <w:sz w:val="20"/>
                <w:szCs w:val="20"/>
              </w:rPr>
              <w:t xml:space="preserve">Relations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SalleOperatoire</w:t>
            </w:r>
          </w:p>
        </w:tc>
        <w:tc>
          <w:tcPr>
            <w:tcW w:type="dxa" w:w="4300"/>
            <w:tcMar>
              <w:top w:type="dxa" w:w="80"/>
              <w:left w:type="dxa" w:w="100"/>
              <w:bottom w:type="dxa" w:w="80"/>
              <w:right w:type="dxa" w:w="100"/>
            </w:tcMar>
            <w:vAlign w:val="center"/>
          </w:tcPr>
          <w:p>
            <w:r>
              <w:rPr>
                <w:b w:val="false"/>
                <w:bCs w:val="false"/>
                <w:color w:val="000000"/>
                <w:sz w:val="20"/>
                <w:szCs w:val="20"/>
              </w:rPr>
              <w:t xml:space="preserve">nom, capacité, équipement, statut</w:t>
            </w:r>
          </w:p>
        </w:tc>
        <w:tc>
          <w:tcPr>
            <w:tcW w:type="dxa" w:w="2600"/>
            <w:tcMar>
              <w:top w:type="dxa" w:w="80"/>
              <w:left w:type="dxa" w:w="100"/>
              <w:bottom w:type="dxa" w:w="80"/>
              <w:right w:type="dxa" w:w="100"/>
            </w:tcMar>
            <w:vAlign w:val="center"/>
          </w:tcPr>
          <w:p>
            <w:r>
              <w:rPr>
                <w:b w:val="false"/>
                <w:bCs w:val="false"/>
                <w:color w:val="000000"/>
                <w:sz w:val="20"/>
                <w:szCs w:val="20"/>
              </w:rPr>
              <w:t xml:space="preserve">1 salle → n Intervention</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Intervention</w:t>
            </w:r>
          </w:p>
        </w:tc>
        <w:tc>
          <w:tcPr>
            <w:tcW w:type="dxa" w:w="4300"/>
            <w:shd w:fill="F2F2F2" w:val="clear"/>
            <w:tcMar>
              <w:top w:type="dxa" w:w="80"/>
              <w:left w:type="dxa" w:w="100"/>
              <w:bottom w:type="dxa" w:w="80"/>
              <w:right w:type="dxa" w:w="100"/>
            </w:tcMar>
            <w:vAlign w:val="center"/>
          </w:tcPr>
          <w:p>
            <w:r>
              <w:rPr>
                <w:b w:val="false"/>
                <w:bCs w:val="false"/>
                <w:color w:val="000000"/>
                <w:sz w:val="20"/>
                <w:szCs w:val="20"/>
              </w:rPr>
              <w:t xml:space="preserve">type_acte, date_heure_debut_prevue, duree_estimee, niveau_urgence, statut</w:t>
            </w:r>
          </w:p>
        </w:tc>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n → 1 Patient, n → 1 SalleOperatoire, 1 → 1 CompteRenduOperatoire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EquipeChirurgicale</w:t>
            </w:r>
          </w:p>
        </w:tc>
        <w:tc>
          <w:tcPr>
            <w:tcW w:type="dxa" w:w="4300"/>
            <w:tcMar>
              <w:top w:type="dxa" w:w="80"/>
              <w:left w:type="dxa" w:w="100"/>
              <w:bottom w:type="dxa" w:w="80"/>
              <w:right w:type="dxa" w:w="100"/>
            </w:tcMar>
            <w:vAlign w:val="center"/>
          </w:tcPr>
          <w:p>
            <w:r>
              <w:rPr>
                <w:b w:val="false"/>
                <w:bCs w:val="false"/>
                <w:color w:val="000000"/>
                <w:sz w:val="20"/>
                <w:szCs w:val="20"/>
              </w:rPr>
              <w:t xml:space="preserve">role (chirurgien, anesthésiste, IBODE, aide)</w:t>
            </w:r>
          </w:p>
        </w:tc>
        <w:tc>
          <w:tcPr>
            <w:tcW w:type="dxa" w:w="2600"/>
            <w:tcMar>
              <w:top w:type="dxa" w:w="80"/>
              <w:left w:type="dxa" w:w="100"/>
              <w:bottom w:type="dxa" w:w="80"/>
              <w:right w:type="dxa" w:w="100"/>
            </w:tcMar>
            <w:vAlign w:val="center"/>
          </w:tcPr>
          <w:p>
            <w:r>
              <w:rPr>
                <w:b w:val="false"/>
                <w:bCs w:val="false"/>
                <w:color w:val="000000"/>
                <w:sz w:val="20"/>
                <w:szCs w:val="20"/>
              </w:rPr>
              <w:t xml:space="preserve">n → 1 Intervention, n → 1 Utilisateur</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ChecklistSecuriteBloc</w:t>
            </w:r>
          </w:p>
        </w:tc>
        <w:tc>
          <w:tcPr>
            <w:tcW w:type="dxa" w:w="4300"/>
            <w:shd w:fill="F2F2F2" w:val="clear"/>
            <w:tcMar>
              <w:top w:type="dxa" w:w="80"/>
              <w:left w:type="dxa" w:w="100"/>
              <w:bottom w:type="dxa" w:w="80"/>
              <w:right w:type="dxa" w:w="100"/>
            </w:tcMar>
            <w:vAlign w:val="center"/>
          </w:tcPr>
          <w:p>
            <w:r>
              <w:rPr>
                <w:b w:val="false"/>
                <w:bCs w:val="false"/>
                <w:color w:val="000000"/>
                <w:sz w:val="20"/>
                <w:szCs w:val="20"/>
              </w:rPr>
              <w:t xml:space="preserve">etape (induction, incision, sortie), valide_par, horodatage</w:t>
            </w:r>
          </w:p>
        </w:tc>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n → 1 Intervention</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MaterielBloc</w:t>
            </w:r>
          </w:p>
        </w:tc>
        <w:tc>
          <w:tcPr>
            <w:tcW w:type="dxa" w:w="4300"/>
            <w:tcMar>
              <w:top w:type="dxa" w:w="80"/>
              <w:left w:type="dxa" w:w="100"/>
              <w:bottom w:type="dxa" w:w="80"/>
              <w:right w:type="dxa" w:w="100"/>
            </w:tcMar>
            <w:vAlign w:val="center"/>
          </w:tcPr>
          <w:p>
            <w:r>
              <w:rPr>
                <w:b w:val="false"/>
                <w:bCs w:val="false"/>
                <w:color w:val="000000"/>
                <w:sz w:val="20"/>
                <w:szCs w:val="20"/>
              </w:rPr>
              <w:t xml:space="preserve">designation, quantite_disponible, statut_sterilisation</w:t>
            </w:r>
          </w:p>
        </w:tc>
        <w:tc>
          <w:tcPr>
            <w:tcW w:type="dxa" w:w="2600"/>
            <w:tcMar>
              <w:top w:type="dxa" w:w="80"/>
              <w:left w:type="dxa" w:w="100"/>
              <w:bottom w:type="dxa" w:w="80"/>
              <w:right w:type="dxa" w:w="100"/>
            </w:tcMar>
            <w:vAlign w:val="center"/>
          </w:tcPr>
          <w:p>
            <w:r>
              <w:rPr>
                <w:b w:val="false"/>
                <w:bCs w:val="false"/>
                <w:color w:val="000000"/>
                <w:sz w:val="20"/>
                <w:szCs w:val="20"/>
              </w:rPr>
              <w:t xml:space="preserve">n ↔ n Intervention (table d'association)</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CompteRenduOperatoire</w:t>
            </w:r>
          </w:p>
        </w:tc>
        <w:tc>
          <w:tcPr>
            <w:tcW w:type="dxa" w:w="4300"/>
            <w:shd w:fill="F2F2F2" w:val="clear"/>
            <w:tcMar>
              <w:top w:type="dxa" w:w="80"/>
              <w:left w:type="dxa" w:w="100"/>
              <w:bottom w:type="dxa" w:w="80"/>
              <w:right w:type="dxa" w:w="100"/>
            </w:tcMar>
            <w:vAlign w:val="center"/>
          </w:tcPr>
          <w:p>
            <w:r>
              <w:rPr>
                <w:b w:val="false"/>
                <w:bCs w:val="false"/>
                <w:color w:val="000000"/>
                <w:sz w:val="20"/>
                <w:szCs w:val="20"/>
              </w:rPr>
              <w:t xml:space="preserve">technique, constatations, complications, suites_a_prevoir</w:t>
            </w:r>
          </w:p>
        </w:tc>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1 → 1 Intervention, alimente DossierMedical</w:t>
            </w:r>
          </w:p>
        </w:tc>
      </w:tr>
    </w:tbl>
    <w:p>
      <w:pPr>
        <w:spacing w:after="200"/>
      </w:pPr>
    </w:p>
    <w:p>
      <w:pPr>
        <w:pBdr>
          <w:left w:val="single" w:color="2E74B5" w:sz="18" w:space="8"/>
        </w:pBdr>
        <w:shd w:fill="F2F2F2" w:val="clear"/>
        <w:spacing w:after="160" w:before="100"/>
        <w:ind w:left="200"/>
      </w:pPr>
      <w:r>
        <w:rPr>
          <w:b/>
          <w:bCs/>
          <w:i/>
          <w:iCs/>
          <w:color w:val="2E74B5"/>
          <w:sz w:val="20"/>
          <w:szCs w:val="20"/>
        </w:rPr>
        <w:t xml:space="preserve">Enrichissement — </w:t>
      </w:r>
      <w:r>
        <w:rPr>
          <w:i/>
          <w:iCs/>
          <w:color w:val="444444"/>
          <w:sz w:val="20"/>
          <w:szCs w:val="20"/>
        </w:rPr>
        <w:t xml:space="preserve">Ce sous-modèle s'intègre au modèle conceptuel de données global (section 6) : l'entité Intervention devient une spécialisation d'« acte médical », au même titre que Consultation ou AnalyseBiologique, et alimente à la fois la Facturation (section 4.8) et le DossierMédical du patient.</w:t>
      </w:r>
    </w:p>
    <w:p>
      <w:r>
        <w:br w:type="page"/>
      </w:r>
    </w:p>
    <w:p>
      <w:pPr>
        <w:pStyle w:val="Heading1"/>
        <w:pBdr>
          <w:bottom w:val="single" w:color="1F3864" w:sz="6" w:space="4"/>
        </w:pBdr>
        <w:spacing w:after="200" w:before="400"/>
      </w:pPr>
      <w:r>
        <w:rPr>
          <w:b/>
          <w:bCs/>
          <w:color w:val="1F3864"/>
          <w:sz w:val="30"/>
          <w:szCs w:val="30"/>
        </w:rPr>
        <w:t xml:space="preserve">6. Modélisation</w:t>
      </w:r>
    </w:p>
    <w:p>
      <w:pPr>
        <w:pStyle w:val="Heading2"/>
        <w:spacing w:after="140" w:before="280"/>
      </w:pPr>
      <w:r>
        <w:rPr>
          <w:b/>
          <w:bCs/>
          <w:color w:val="2E74B5"/>
          <w:sz w:val="25"/>
          <w:szCs w:val="25"/>
        </w:rPr>
        <w:t xml:space="preserve">6.1 Modèle conceptuel de données (MCD)</w:t>
      </w:r>
    </w:p>
    <w:p>
      <w:pPr>
        <w:spacing w:after="140" w:line="300"/>
        <w:jc w:val="both"/>
      </w:pPr>
      <w:r>
        <w:rPr>
          <w:sz w:val="21"/>
          <w:szCs w:val="21"/>
        </w:rPr>
        <w:t xml:space="preserve">Entités principales identifiées :</w:t>
      </w:r>
    </w:p>
    <w:p>
      <w:pPr>
        <w:pStyle w:val="ListParagraph"/>
        <w:numPr>
          <w:ilvl w:val="0"/>
          <w:numId w:val="2"/>
        </w:numPr>
        <w:spacing w:after="60" w:line="280"/>
      </w:pPr>
      <w:r>
        <w:rPr>
          <w:b w:val="false"/>
          <w:bCs w:val="false"/>
          <w:sz w:val="21"/>
          <w:szCs w:val="21"/>
        </w:rPr>
        <w:t xml:space="preserve">Utilisateur (spécialisé par rôle : admin, médecin, infirmier, pharmacien, laborantin, radiologue, agent d'accueil, comptable, personnel de bloc opératoire)</w:t>
      </w:r>
    </w:p>
    <w:p>
      <w:pPr>
        <w:pStyle w:val="ListParagraph"/>
        <w:numPr>
          <w:ilvl w:val="0"/>
          <w:numId w:val="2"/>
        </w:numPr>
        <w:spacing w:after="60" w:line="280"/>
      </w:pPr>
      <w:r>
        <w:rPr>
          <w:b w:val="false"/>
          <w:bCs w:val="false"/>
          <w:sz w:val="21"/>
          <w:szCs w:val="21"/>
        </w:rPr>
        <w:t xml:space="preserve">Patient</w:t>
      </w:r>
    </w:p>
    <w:p>
      <w:pPr>
        <w:pStyle w:val="ListParagraph"/>
        <w:numPr>
          <w:ilvl w:val="0"/>
          <w:numId w:val="2"/>
        </w:numPr>
        <w:spacing w:after="60" w:line="280"/>
      </w:pPr>
      <w:r>
        <w:rPr>
          <w:b w:val="false"/>
          <w:bCs w:val="false"/>
          <w:sz w:val="21"/>
          <w:szCs w:val="21"/>
        </w:rPr>
        <w:t xml:space="preserve">Consultation</w:t>
      </w:r>
    </w:p>
    <w:p>
      <w:pPr>
        <w:pStyle w:val="ListParagraph"/>
        <w:numPr>
          <w:ilvl w:val="0"/>
          <w:numId w:val="2"/>
        </w:numPr>
        <w:spacing w:after="60" w:line="280"/>
      </w:pPr>
      <w:r>
        <w:rPr>
          <w:b w:val="false"/>
          <w:bCs w:val="false"/>
          <w:sz w:val="21"/>
          <w:szCs w:val="21"/>
        </w:rPr>
        <w:t xml:space="preserve">DossierMédical</w:t>
      </w:r>
    </w:p>
    <w:p>
      <w:pPr>
        <w:pStyle w:val="ListParagraph"/>
        <w:numPr>
          <w:ilvl w:val="0"/>
          <w:numId w:val="2"/>
        </w:numPr>
        <w:spacing w:after="60" w:line="280"/>
      </w:pPr>
      <w:r>
        <w:rPr>
          <w:b w:val="false"/>
          <w:bCs w:val="false"/>
          <w:sz w:val="21"/>
          <w:szCs w:val="21"/>
        </w:rPr>
        <w:t xml:space="preserve">Ordonnance</w:t>
      </w:r>
    </w:p>
    <w:p>
      <w:pPr>
        <w:pStyle w:val="ListParagraph"/>
        <w:numPr>
          <w:ilvl w:val="0"/>
          <w:numId w:val="2"/>
        </w:numPr>
        <w:spacing w:after="60" w:line="280"/>
      </w:pPr>
      <w:r>
        <w:rPr>
          <w:b w:val="false"/>
          <w:bCs w:val="false"/>
          <w:sz w:val="21"/>
          <w:szCs w:val="21"/>
        </w:rPr>
        <w:t xml:space="preserve">Hospitalisation</w:t>
      </w:r>
    </w:p>
    <w:p>
      <w:pPr>
        <w:pStyle w:val="ListParagraph"/>
        <w:numPr>
          <w:ilvl w:val="0"/>
          <w:numId w:val="2"/>
        </w:numPr>
        <w:spacing w:after="60" w:line="280"/>
      </w:pPr>
      <w:r>
        <w:rPr>
          <w:b w:val="false"/>
          <w:bCs w:val="false"/>
          <w:sz w:val="21"/>
          <w:szCs w:val="21"/>
        </w:rPr>
        <w:t xml:space="preserve">Assurance / PatientAssuré</w:t>
      </w:r>
    </w:p>
    <w:p>
      <w:pPr>
        <w:pStyle w:val="ListParagraph"/>
        <w:numPr>
          <w:ilvl w:val="0"/>
          <w:numId w:val="2"/>
        </w:numPr>
        <w:spacing w:after="60" w:line="280"/>
      </w:pPr>
      <w:r>
        <w:rPr>
          <w:b w:val="false"/>
          <w:bCs w:val="false"/>
          <w:sz w:val="21"/>
          <w:szCs w:val="21"/>
        </w:rPr>
        <w:t xml:space="preserve">Médicament</w:t>
      </w:r>
    </w:p>
    <w:p>
      <w:pPr>
        <w:pStyle w:val="ListParagraph"/>
        <w:numPr>
          <w:ilvl w:val="0"/>
          <w:numId w:val="2"/>
        </w:numPr>
        <w:spacing w:after="60" w:line="280"/>
      </w:pPr>
      <w:r>
        <w:rPr>
          <w:b w:val="false"/>
          <w:bCs w:val="false"/>
          <w:sz w:val="21"/>
          <w:szCs w:val="21"/>
        </w:rPr>
        <w:t xml:space="preserve">AnalyseBiologique / ExamenImagerie</w:t>
      </w:r>
    </w:p>
    <w:p>
      <w:pPr>
        <w:pStyle w:val="ListParagraph"/>
        <w:numPr>
          <w:ilvl w:val="0"/>
          <w:numId w:val="2"/>
        </w:numPr>
        <w:spacing w:after="60" w:line="280"/>
      </w:pPr>
      <w:r>
        <w:rPr>
          <w:b/>
          <w:bCs/>
          <w:sz w:val="21"/>
          <w:szCs w:val="21"/>
        </w:rPr>
        <w:t xml:space="preserve">Intervention / SalleOperatoire / CompteRenduOperatoire (module bloc opératoire, section 5)</w:t>
      </w:r>
    </w:p>
    <w:p>
      <w:pPr>
        <w:pStyle w:val="ListParagraph"/>
        <w:numPr>
          <w:ilvl w:val="0"/>
          <w:numId w:val="2"/>
        </w:numPr>
        <w:spacing w:after="60" w:line="280"/>
      </w:pPr>
      <w:r>
        <w:rPr>
          <w:b w:val="false"/>
          <w:bCs w:val="false"/>
          <w:sz w:val="21"/>
          <w:szCs w:val="21"/>
        </w:rPr>
        <w:t xml:space="preserve">SoinsInfirmiers</w:t>
      </w:r>
    </w:p>
    <w:p>
      <w:pPr>
        <w:pStyle w:val="ListParagraph"/>
        <w:numPr>
          <w:ilvl w:val="0"/>
          <w:numId w:val="2"/>
        </w:numPr>
        <w:spacing w:after="60" w:line="280"/>
      </w:pPr>
      <w:r>
        <w:rPr>
          <w:b w:val="false"/>
          <w:bCs w:val="false"/>
          <w:sz w:val="21"/>
          <w:szCs w:val="21"/>
        </w:rPr>
        <w:t xml:space="preserve">Facture / Paiement</w:t>
      </w:r>
    </w:p>
    <w:p>
      <w:pPr>
        <w:pStyle w:val="ListParagraph"/>
        <w:numPr>
          <w:ilvl w:val="0"/>
          <w:numId w:val="2"/>
        </w:numPr>
        <w:spacing w:after="60" w:line="280"/>
      </w:pPr>
      <w:r>
        <w:rPr>
          <w:b w:val="false"/>
          <w:bCs w:val="false"/>
          <w:sz w:val="21"/>
          <w:szCs w:val="21"/>
        </w:rPr>
        <w:t xml:space="preserve">ParamètresSystème</w:t>
      </w:r>
    </w:p>
    <w:p>
      <w:pPr>
        <w:pStyle w:val="ListParagraph"/>
        <w:numPr>
          <w:ilvl w:val="0"/>
          <w:numId w:val="2"/>
        </w:numPr>
        <w:spacing w:after="60" w:line="280"/>
      </w:pPr>
      <w:r>
        <w:rPr>
          <w:b w:val="false"/>
          <w:bCs w:val="false"/>
          <w:sz w:val="21"/>
          <w:szCs w:val="21"/>
        </w:rPr>
        <w:t xml:space="preserve">HistoriqueAction</w:t>
      </w:r>
    </w:p>
    <w:p>
      <w:pPr>
        <w:pStyle w:val="Heading2"/>
        <w:spacing w:after="140" w:before="280"/>
      </w:pPr>
      <w:r>
        <w:rPr>
          <w:b/>
          <w:bCs/>
          <w:color w:val="2E74B5"/>
          <w:sz w:val="25"/>
          <w:szCs w:val="25"/>
        </w:rPr>
        <w:t xml:space="preserve">6.2 Modèle logique de données (MLD)</w:t>
      </w:r>
    </w:p>
    <w:p>
      <w:pPr>
        <w:spacing w:after="140" w:line="300"/>
        <w:jc w:val="both"/>
      </w:pPr>
      <w:r>
        <w:rPr>
          <w:sz w:val="21"/>
          <w:szCs w:val="21"/>
        </w:rPr>
        <w:t xml:space="preserve">Chaque entité du MCD est traduite en table relationnelle PostgreSQL, avec clés étrangères assurant l'intégrité référentielle (par exemple : Consultation.patient_id → Patient.id ; Intervention.salle_id → SalleOperatoire.id). Les tables sensibles (DossierMédical, CompteRenduOperatoire, résultats d'analyses) porteront des contraintes d'accès au niveau applicatif (permissions par rôle) en complément des contraintes de base de données.</w:t>
      </w:r>
    </w:p>
    <w:p>
      <w:pPr>
        <w:pStyle w:val="Heading2"/>
        <w:spacing w:after="140" w:before="280"/>
      </w:pPr>
      <w:r>
        <w:rPr>
          <w:b/>
          <w:bCs/>
          <w:color w:val="2E74B5"/>
          <w:sz w:val="25"/>
          <w:szCs w:val="25"/>
        </w:rPr>
        <w:t xml:space="preserve">6.3 Diagrammes UML</w:t>
      </w:r>
    </w:p>
    <w:p>
      <w:pPr>
        <w:pStyle w:val="Heading3"/>
        <w:spacing w:after="100" w:before="200"/>
      </w:pPr>
      <w:r>
        <w:rPr>
          <w:b/>
          <w:bCs/>
          <w:i/>
          <w:iCs/>
          <w:color w:val="333333"/>
          <w:sz w:val="22"/>
          <w:szCs w:val="22"/>
        </w:rPr>
        <w:t xml:space="preserve">Diagramme de cas d'utilisation</w:t>
      </w:r>
    </w:p>
    <w:p>
      <w:pPr>
        <w:spacing w:after="140" w:line="300"/>
        <w:jc w:val="both"/>
      </w:pPr>
      <w:r>
        <w:rPr>
          <w:sz w:val="21"/>
          <w:szCs w:val="21"/>
        </w:rPr>
        <w:t xml:space="preserve">Objectif : représenter les interactions entre les différents acteurs et les fonctionnalités du système.</w:t>
      </w:r>
    </w:p>
    <w:p>
      <w:pPr>
        <w:spacing w:after="140" w:line="300"/>
        <w:jc w:val="both"/>
      </w:pPr>
      <w:r>
        <w:rPr>
          <w:sz w:val="21"/>
          <w:szCs w:val="21"/>
        </w:rPr>
        <w:t xml:space="preserve">Acteurs : Administrateur, Médecin, Infirmier, Pharmacien, Laborantin, Radiologue/Agent d'imagerie, Agent d'accueil, Comptable, Personnel de bloc opératoire (chirurgien, anesthésiste, IBODE), Patient.</w:t>
      </w:r>
    </w:p>
    <w:p>
      <w:pPr>
        <w:spacing w:after="140" w:line="300"/>
        <w:jc w:val="both"/>
      </w:pPr>
      <w:r>
        <w:rPr>
          <w:sz w:val="21"/>
          <w:szCs w:val="21"/>
        </w:rPr>
        <w:t xml:space="preserve">Cas d'utilisation principaux : Se connecter au système ; Gérer les utilisateurs ; Gérer les patients ; Planifier une consultation ; Consulter un dossier médical ; Prescrire une ordonnance ; Gérer une hospitalisation ; Planifier et réaliser une intervention au bloc opératoire ; Enregistrer des résultats d'analyse/imagerie ; Gérer le stock pharmaceutique ; Gérer les paiements et factures ; Visualiser les rapports.</w:t>
      </w:r>
    </w:p>
    <w:p>
      <w:pPr>
        <w:pStyle w:val="Heading3"/>
        <w:spacing w:after="100" w:before="200"/>
      </w:pPr>
      <w:r>
        <w:rPr>
          <w:b/>
          <w:bCs/>
          <w:i/>
          <w:iCs/>
          <w:color w:val="333333"/>
          <w:sz w:val="22"/>
          <w:szCs w:val="22"/>
        </w:rPr>
        <w:t xml:space="preserve">Diagramme de classes</w:t>
      </w:r>
    </w:p>
    <w:p>
      <w:pPr>
        <w:spacing w:after="140" w:line="300"/>
        <w:jc w:val="both"/>
      </w:pPr>
      <w:r>
        <w:rPr>
          <w:sz w:val="21"/>
          <w:szCs w:val="21"/>
        </w:rPr>
        <w:t xml:space="preserve">Classes principales : Patient, Consultation, Ordonnance, Médicament, AnalyseBiologique, ResultatAnalyse, Intervention, SalleOperatoire, CompteRenduOperatoire, Facture, Paiement, Utilisateur (hérite de CustomUser), Hospitalisation, ExamenImagerie, Assurance, PatientAssuré.</w:t>
      </w:r>
    </w:p>
    <w:p>
      <w:pPr>
        <w:spacing w:after="140" w:line="300"/>
        <w:jc w:val="both"/>
      </w:pPr>
      <w:r>
        <w:rPr>
          <w:sz w:val="21"/>
          <w:szCs w:val="21"/>
        </w:rPr>
        <w:t xml:space="preserve">Relations clés : Consultation ↔ Patient (n,1) ; Ordonnance ↔ Consultation (1,1) ; AnalyseBiologique ↔ Consultation (n,1) ; Intervention ↔ Patient (n,1) et ↔ SalleOperatoire (n,1) ; Facture peut être liée à plusieurs modules (consultation, hospitalisation, intervention, pharmacie) ; Paiement ↔ Facture (n,1).</w:t>
      </w:r>
    </w:p>
    <w:p>
      <w:pPr>
        <w:pStyle w:val="Heading3"/>
        <w:spacing w:after="100" w:before="200"/>
      </w:pPr>
      <w:r>
        <w:rPr>
          <w:b/>
          <w:bCs/>
          <w:i/>
          <w:iCs/>
          <w:color w:val="333333"/>
          <w:sz w:val="22"/>
          <w:szCs w:val="22"/>
        </w:rPr>
        <w:t xml:space="preserve">Diagramme de séquence</w:t>
      </w:r>
    </w:p>
    <w:p>
      <w:pPr>
        <w:spacing w:after="140" w:line="300"/>
        <w:jc w:val="both"/>
      </w:pPr>
      <w:r>
        <w:rPr>
          <w:sz w:val="21"/>
          <w:szCs w:val="21"/>
        </w:rPr>
        <w:t xml:space="preserve">Exemple « Consultation + Prescription » : Le patient arrive → l'agent d'accueil l'enregistre → le médecin le consulte → le médecin crée une ordonnance → l'ordonnance est transmise à la pharmacie.</w:t>
      </w:r>
    </w:p>
    <w:p>
      <w:pPr>
        <w:spacing w:after="140" w:line="300"/>
        <w:jc w:val="both"/>
      </w:pPr>
      <w:r>
        <w:rPr>
          <w:sz w:val="21"/>
          <w:szCs w:val="21"/>
        </w:rPr>
        <w:t xml:space="preserve">Exemple complémentaire « Planification d'une intervention » (ajouté) : Le chirurgien crée une demande d'intervention depuis le dossier patient → le système vérifie la disponibilité de la salle et de l'équipe → l'agent de programmation confirme le créneau → notification envoyée à l'équipe chirurgicale → le jour J, l'IBODE valide la checklist → le chirurgien clôture l'intervention par le compte-rendu opératoire.</w:t>
      </w:r>
    </w:p>
    <w:p>
      <w:pPr>
        <w:pStyle w:val="Heading3"/>
        <w:spacing w:after="100" w:before="200"/>
      </w:pPr>
      <w:r>
        <w:rPr>
          <w:b/>
          <w:bCs/>
          <w:i/>
          <w:iCs/>
          <w:color w:val="333333"/>
          <w:sz w:val="22"/>
          <w:szCs w:val="22"/>
        </w:rPr>
        <w:t xml:space="preserve">Diagramme de navigation</w:t>
      </w:r>
    </w:p>
    <w:p>
      <w:pPr>
        <w:spacing w:after="140" w:line="300"/>
        <w:jc w:val="both"/>
      </w:pPr>
      <w:r>
        <w:rPr>
          <w:sz w:val="21"/>
          <w:szCs w:val="21"/>
        </w:rPr>
        <w:t xml:space="preserve">Exemple d'arborescence de pages : /login/ → /dashboard/ ; /dashboard/ → /patients/ → /patients/ajouter/ ; /dashboard/ → /consultations/ → /consultations/ordonnance/ ; /dashboard/ → /bloc-operatoire/ → /bloc-operatoire/planning/ ; /dashboard/ → /pharmacie/ ; /dashboard/ → /facturation/ ; /dashboard/ → /langue/.</w:t>
      </w:r>
    </w:p>
    <w:p>
      <w:pPr>
        <w:pStyle w:val="Heading3"/>
        <w:spacing w:after="100" w:before="200"/>
      </w:pPr>
      <w:r>
        <w:rPr>
          <w:b/>
          <w:bCs/>
          <w:i/>
          <w:iCs/>
          <w:color w:val="333333"/>
          <w:sz w:val="22"/>
          <w:szCs w:val="22"/>
        </w:rPr>
        <w:t xml:space="preserve">Diagramme de déploiement</w:t>
      </w:r>
    </w:p>
    <w:p>
      <w:pPr>
        <w:spacing w:after="140" w:line="300"/>
        <w:jc w:val="both"/>
      </w:pPr>
      <w:r>
        <w:rPr>
          <w:sz w:val="21"/>
          <w:szCs w:val="21"/>
        </w:rPr>
        <w:t xml:space="preserve">Nœuds : Client (PC ou smartphone, navigateur ou application mobile future) ; Serveur web (Render/Railway) ; Base de données (PostgreSQL) ; Stockage cloud (images médicales, documents joints).</w:t>
      </w:r>
    </w:p>
    <w:p>
      <w:pPr>
        <w:spacing w:after="140" w:line="300"/>
        <w:jc w:val="both"/>
      </w:pPr>
      <w:r>
        <w:rPr>
          <w:sz w:val="21"/>
          <w:szCs w:val="21"/>
        </w:rPr>
        <w:t xml:space="preserve">Composants déployés : Application Django (monolithe modulaire), API REST (Django REST Framework), Base de données PostgreSQL, Interface web responsive.</w:t>
      </w:r>
    </w:p>
    <w:p>
      <w:pPr>
        <w:pStyle w:val="Heading3"/>
        <w:spacing w:after="100" w:before="200"/>
      </w:pPr>
      <w:r>
        <w:rPr>
          <w:b/>
          <w:bCs/>
          <w:i/>
          <w:iCs/>
          <w:color w:val="333333"/>
          <w:sz w:val="22"/>
          <w:szCs w:val="22"/>
        </w:rPr>
        <w:t xml:space="preserve">Outils recommandés pour la production des diagrammes</w:t>
      </w:r>
    </w:p>
    <w:p>
      <w:pPr>
        <w:pStyle w:val="ListParagraph"/>
        <w:numPr>
          <w:ilvl w:val="0"/>
          <w:numId w:val="2"/>
        </w:numPr>
        <w:spacing w:after="60" w:line="280"/>
      </w:pPr>
      <w:r>
        <w:rPr>
          <w:b w:val="false"/>
          <w:bCs w:val="false"/>
          <w:sz w:val="21"/>
          <w:szCs w:val="21"/>
        </w:rPr>
        <w:t xml:space="preserve">draw.io (gratuit, en ligne)</w:t>
      </w:r>
    </w:p>
    <w:p>
      <w:pPr>
        <w:pStyle w:val="ListParagraph"/>
        <w:numPr>
          <w:ilvl w:val="0"/>
          <w:numId w:val="2"/>
        </w:numPr>
        <w:spacing w:after="60" w:line="280"/>
      </w:pPr>
      <w:r>
        <w:rPr>
          <w:b w:val="false"/>
          <w:bCs w:val="false"/>
          <w:sz w:val="21"/>
          <w:szCs w:val="21"/>
        </w:rPr>
        <w:t xml:space="preserve">PlantUML (génération de diagrammes en texte, intégrable à VS Code et au dépôt Git)</w:t>
      </w:r>
    </w:p>
    <w:p>
      <w:pPr>
        <w:pStyle w:val="ListParagraph"/>
        <w:numPr>
          <w:ilvl w:val="0"/>
          <w:numId w:val="2"/>
        </w:numPr>
        <w:spacing w:after="60" w:line="280"/>
      </w:pPr>
      <w:r>
        <w:rPr>
          <w:b w:val="false"/>
          <w:bCs w:val="false"/>
          <w:sz w:val="21"/>
          <w:szCs w:val="21"/>
        </w:rPr>
        <w:t xml:space="preserve">StarUML (fichiers .uml)</w:t>
      </w:r>
    </w:p>
    <w:p>
      <w:pPr>
        <w:pStyle w:val="ListParagraph"/>
        <w:numPr>
          <w:ilvl w:val="0"/>
          <w:numId w:val="2"/>
        </w:numPr>
        <w:spacing w:after="60" w:line="280"/>
      </w:pPr>
      <w:r>
        <w:rPr>
          <w:b w:val="false"/>
          <w:bCs w:val="false"/>
          <w:sz w:val="21"/>
          <w:szCs w:val="21"/>
        </w:rPr>
        <w:t xml:space="preserve">Lucidchart</w:t>
      </w:r>
    </w:p>
    <w:p>
      <w:pPr>
        <w:pBdr>
          <w:left w:val="single" w:color="2E74B5" w:sz="18" w:space="8"/>
        </w:pBdr>
        <w:shd w:fill="F2F2F2" w:val="clear"/>
        <w:spacing w:after="160" w:before="100"/>
        <w:ind w:left="200"/>
      </w:pPr>
      <w:r>
        <w:rPr>
          <w:b/>
          <w:bCs/>
          <w:i/>
          <w:iCs/>
          <w:color w:val="2E74B5"/>
          <w:sz w:val="20"/>
          <w:szCs w:val="20"/>
        </w:rPr>
        <w:t xml:space="preserve">Enrichissement — </w:t>
      </w:r>
      <w:r>
        <w:rPr>
          <w:i/>
          <w:iCs/>
          <w:color w:val="444444"/>
          <w:sz w:val="20"/>
          <w:szCs w:val="20"/>
        </w:rPr>
        <w:t xml:space="preserve">Recommandation méthodologique : privilégier PlantUML pour les diagrammes techniques (versionnés avec le code source) et réserver un outil graphique (draw.io/Canva) pour les diagrammes destinés à la soutenance, où la lisibilité prime.</w:t>
      </w:r>
    </w:p>
    <w:p>
      <w:r>
        <w:br w:type="page"/>
      </w:r>
    </w:p>
    <w:p>
      <w:pPr>
        <w:pStyle w:val="Heading1"/>
        <w:pBdr>
          <w:bottom w:val="single" w:color="1F3864" w:sz="6" w:space="4"/>
        </w:pBdr>
        <w:spacing w:after="200" w:before="400"/>
      </w:pPr>
      <w:r>
        <w:rPr>
          <w:b/>
          <w:bCs/>
          <w:color w:val="1F3864"/>
          <w:sz w:val="30"/>
          <w:szCs w:val="30"/>
        </w:rPr>
        <w:t xml:space="preserve">7. Exigences non fonctionnelles</w:t>
      </w:r>
    </w:p>
    <w:p>
      <w:pPr>
        <w:pBdr>
          <w:left w:val="single" w:color="2E74B5" w:sz="18" w:space="8"/>
        </w:pBdr>
        <w:shd w:fill="F2F2F2" w:val="clear"/>
        <w:spacing w:after="160" w:before="100"/>
        <w:ind w:left="200"/>
      </w:pPr>
      <w:r>
        <w:rPr>
          <w:b/>
          <w:bCs/>
          <w:i/>
          <w:iCs/>
          <w:color w:val="2E74B5"/>
          <w:sz w:val="20"/>
          <w:szCs w:val="20"/>
        </w:rPr>
        <w:t xml:space="preserve">Enrichissement — </w:t>
      </w:r>
      <w:r>
        <w:rPr>
          <w:i/>
          <w:iCs/>
          <w:color w:val="444444"/>
          <w:sz w:val="20"/>
          <w:szCs w:val="20"/>
        </w:rPr>
        <w:t xml:space="preserve">Section ajoutée : le document d'origine listait des « contraintes techniques et fonctionnelles » de façon succincte. Cette section les structure selon les catégories usuelles d'un cahier des charges (performance, sécurité, disponibilité, ergonomie, conformité), essentielles pour une application manipulant des données de santé.</w:t>
      </w:r>
    </w:p>
    <w:p>
      <w:pPr>
        <w:pStyle w:val="Heading2"/>
        <w:spacing w:after="140" w:before="280"/>
      </w:pPr>
      <w:r>
        <w:rPr>
          <w:b/>
          <w:bCs/>
          <w:color w:val="2E74B5"/>
          <w:sz w:val="25"/>
          <w:szCs w:val="25"/>
        </w:rPr>
        <w:t xml:space="preserve">7.1 Sécurité et confidentialité des données</w:t>
      </w:r>
    </w:p>
    <w:p>
      <w:pPr>
        <w:pStyle w:val="ListParagraph"/>
        <w:numPr>
          <w:ilvl w:val="0"/>
          <w:numId w:val="2"/>
        </w:numPr>
        <w:spacing w:after="60" w:line="280"/>
      </w:pPr>
      <w:r>
        <w:rPr>
          <w:b w:val="false"/>
          <w:bCs w:val="false"/>
          <w:sz w:val="21"/>
          <w:szCs w:val="21"/>
        </w:rPr>
        <w:t xml:space="preserve">Authentification obligatoire pour tout accès au système, avec gestion de session sécurisée.</w:t>
      </w:r>
    </w:p>
    <w:p>
      <w:pPr>
        <w:pStyle w:val="ListParagraph"/>
        <w:numPr>
          <w:ilvl w:val="0"/>
          <w:numId w:val="2"/>
        </w:numPr>
        <w:spacing w:after="60" w:line="280"/>
      </w:pPr>
      <w:r>
        <w:rPr>
          <w:b w:val="false"/>
          <w:bCs w:val="false"/>
          <w:sz w:val="21"/>
          <w:szCs w:val="21"/>
        </w:rPr>
        <w:t xml:space="preserve">Contrôle d'accès basé sur les rôles (RBAC) : chaque profil n'accède qu'aux données et fonctions nécessaires à sa fonction (principe du moindre privilège).</w:t>
      </w:r>
    </w:p>
    <w:p>
      <w:pPr>
        <w:pStyle w:val="ListParagraph"/>
        <w:numPr>
          <w:ilvl w:val="0"/>
          <w:numId w:val="2"/>
        </w:numPr>
        <w:spacing w:after="60" w:line="280"/>
      </w:pPr>
      <w:r>
        <w:rPr>
          <w:b w:val="false"/>
          <w:bCs w:val="false"/>
          <w:sz w:val="21"/>
          <w:szCs w:val="21"/>
        </w:rPr>
        <w:t xml:space="preserve">Chiffrement des mots de passe (hachage, jamais de stockage en clair) et chiffrement des échanges (HTTPS/TLS).</w:t>
      </w:r>
    </w:p>
    <w:p>
      <w:pPr>
        <w:pStyle w:val="ListParagraph"/>
        <w:numPr>
          <w:ilvl w:val="0"/>
          <w:numId w:val="2"/>
        </w:numPr>
        <w:spacing w:after="60" w:line="280"/>
      </w:pPr>
      <w:r>
        <w:rPr>
          <w:b w:val="false"/>
          <w:bCs w:val="false"/>
          <w:sz w:val="21"/>
          <w:szCs w:val="21"/>
        </w:rPr>
        <w:t xml:space="preserve">Journalisation (audit trail) de toutes les actions sensibles : création, modification, consultation de dossiers médicaux.</w:t>
      </w:r>
    </w:p>
    <w:p>
      <w:pPr>
        <w:pStyle w:val="ListParagraph"/>
        <w:numPr>
          <w:ilvl w:val="0"/>
          <w:numId w:val="2"/>
        </w:numPr>
        <w:spacing w:after="60" w:line="280"/>
      </w:pPr>
      <w:r>
        <w:rPr>
          <w:b w:val="false"/>
          <w:bCs w:val="false"/>
          <w:sz w:val="21"/>
          <w:szCs w:val="21"/>
        </w:rPr>
        <w:t xml:space="preserve">Politique de sauvegarde régulière de la base de données, avec procédure de restauration testée.</w:t>
      </w:r>
    </w:p>
    <w:p>
      <w:pPr>
        <w:pStyle w:val="Heading2"/>
        <w:spacing w:after="140" w:before="280"/>
      </w:pPr>
      <w:r>
        <w:rPr>
          <w:b/>
          <w:bCs/>
          <w:color w:val="2E74B5"/>
          <w:sz w:val="25"/>
          <w:szCs w:val="25"/>
        </w:rPr>
        <w:t xml:space="preserve">7.2 Disponibilité et performance</w:t>
      </w:r>
    </w:p>
    <w:p>
      <w:pPr>
        <w:pStyle w:val="ListParagraph"/>
        <w:numPr>
          <w:ilvl w:val="0"/>
          <w:numId w:val="2"/>
        </w:numPr>
        <w:spacing w:after="60" w:line="280"/>
      </w:pPr>
      <w:r>
        <w:rPr>
          <w:b w:val="false"/>
          <w:bCs w:val="false"/>
          <w:sz w:val="21"/>
          <w:szCs w:val="21"/>
        </w:rPr>
        <w:t xml:space="preserve">Temps de réponse cible inférieur à 2 secondes pour les opérations courantes (recherche patient, ouverture d'un dossier).</w:t>
      </w:r>
    </w:p>
    <w:p>
      <w:pPr>
        <w:pStyle w:val="ListParagraph"/>
        <w:numPr>
          <w:ilvl w:val="0"/>
          <w:numId w:val="2"/>
        </w:numPr>
        <w:spacing w:after="60" w:line="280"/>
      </w:pPr>
      <w:r>
        <w:rPr>
          <w:b w:val="false"/>
          <w:bCs w:val="false"/>
          <w:sz w:val="21"/>
          <w:szCs w:val="21"/>
        </w:rPr>
        <w:t xml:space="preserve">Fonctionnement acceptable sur connexion internet à bande passante limitée (contexte malien) : optimisation des pages, chargement différé des contenus lourds (images d'imagerie).</w:t>
      </w:r>
    </w:p>
    <w:p>
      <w:pPr>
        <w:pStyle w:val="ListParagraph"/>
        <w:numPr>
          <w:ilvl w:val="0"/>
          <w:numId w:val="2"/>
        </w:numPr>
        <w:spacing w:after="60" w:line="280"/>
      </w:pPr>
      <w:r>
        <w:rPr>
          <w:b w:val="false"/>
          <w:bCs w:val="false"/>
          <w:sz w:val="21"/>
          <w:szCs w:val="21"/>
        </w:rPr>
        <w:t xml:space="preserve">Objectif de disponibilité du service en heures ouvrées de l'établissement ; plan de reprise a minima (sauvegardes) en cas d'incident.</w:t>
      </w:r>
    </w:p>
    <w:p>
      <w:pPr>
        <w:pStyle w:val="Heading2"/>
        <w:spacing w:after="140" w:before="280"/>
      </w:pPr>
      <w:r>
        <w:rPr>
          <w:b/>
          <w:bCs/>
          <w:color w:val="2E74B5"/>
          <w:sz w:val="25"/>
          <w:szCs w:val="25"/>
        </w:rPr>
        <w:t xml:space="preserve">7.3 Ergonomie et accessibilité</w:t>
      </w:r>
    </w:p>
    <w:p>
      <w:pPr>
        <w:pStyle w:val="ListParagraph"/>
        <w:numPr>
          <w:ilvl w:val="0"/>
          <w:numId w:val="2"/>
        </w:numPr>
        <w:spacing w:after="60" w:line="280"/>
      </w:pPr>
      <w:r>
        <w:rPr>
          <w:b w:val="false"/>
          <w:bCs w:val="false"/>
          <w:sz w:val="21"/>
          <w:szCs w:val="21"/>
        </w:rPr>
        <w:t xml:space="preserve">Interface sobre, cohérente et responsive (adaptée aux ordinateurs de bureau comme aux tablettes/smartphones utilisés à l'accueil ou au chevet du patient).</w:t>
      </w:r>
    </w:p>
    <w:p>
      <w:pPr>
        <w:pStyle w:val="ListParagraph"/>
        <w:numPr>
          <w:ilvl w:val="0"/>
          <w:numId w:val="2"/>
        </w:numPr>
        <w:spacing w:after="60" w:line="280"/>
      </w:pPr>
      <w:r>
        <w:rPr>
          <w:b w:val="false"/>
          <w:bCs w:val="false"/>
          <w:sz w:val="21"/>
          <w:szCs w:val="21"/>
        </w:rPr>
        <w:t xml:space="preserve">Parcours utilisateur simplifié pour un personnel dont le niveau de familiarité avec l'outil informatique peut être hétérogène.</w:t>
      </w:r>
    </w:p>
    <w:p>
      <w:pPr>
        <w:pStyle w:val="ListParagraph"/>
        <w:numPr>
          <w:ilvl w:val="0"/>
          <w:numId w:val="2"/>
        </w:numPr>
        <w:spacing w:after="60" w:line="280"/>
      </w:pPr>
      <w:r>
        <w:rPr>
          <w:b w:val="false"/>
          <w:bCs w:val="false"/>
          <w:sz w:val="21"/>
          <w:szCs w:val="21"/>
        </w:rPr>
        <w:t xml:space="preserve">Bascule de langue immédiate, sans perte de contexte de saisie (formulaire en cours non réinitialisé).</w:t>
      </w:r>
    </w:p>
    <w:p>
      <w:pPr>
        <w:pStyle w:val="Heading2"/>
        <w:spacing w:after="140" w:before="280"/>
      </w:pPr>
      <w:r>
        <w:rPr>
          <w:b/>
          <w:bCs/>
          <w:color w:val="2E74B5"/>
          <w:sz w:val="25"/>
          <w:szCs w:val="25"/>
        </w:rPr>
        <w:t xml:space="preserve">7.4 Conformité et gouvernance des données</w:t>
      </w:r>
    </w:p>
    <w:p>
      <w:pPr>
        <w:pStyle w:val="ListParagraph"/>
        <w:numPr>
          <w:ilvl w:val="0"/>
          <w:numId w:val="2"/>
        </w:numPr>
        <w:spacing w:after="60" w:line="280"/>
      </w:pPr>
      <w:r>
        <w:rPr>
          <w:b w:val="false"/>
          <w:bCs w:val="false"/>
          <w:sz w:val="21"/>
          <w:szCs w:val="21"/>
        </w:rPr>
        <w:t xml:space="preserve">Consentement et information du patient sur l'usage de ses données (mentions à intégrer dans le règlement intérieur de l'établissement, hors périmètre logiciel strict).</w:t>
      </w:r>
    </w:p>
    <w:p>
      <w:pPr>
        <w:pStyle w:val="ListParagraph"/>
        <w:numPr>
          <w:ilvl w:val="0"/>
          <w:numId w:val="2"/>
        </w:numPr>
        <w:spacing w:after="60" w:line="280"/>
      </w:pPr>
      <w:r>
        <w:rPr>
          <w:b w:val="false"/>
          <w:bCs w:val="false"/>
          <w:sz w:val="21"/>
          <w:szCs w:val="21"/>
        </w:rPr>
        <w:t xml:space="preserve">Conservation des données médicales conforme à la réglementation malienne en vigueur relative à la santé et aux données personnelles ; à faire valider par un référent juridique/institutionnel — point à clarifier avec l'établissement partenaire.</w:t>
      </w:r>
    </w:p>
    <w:p>
      <w:pPr>
        <w:pStyle w:val="ListParagraph"/>
        <w:numPr>
          <w:ilvl w:val="0"/>
          <w:numId w:val="2"/>
        </w:numPr>
        <w:spacing w:after="60" w:line="280"/>
      </w:pPr>
      <w:r>
        <w:rPr>
          <w:b w:val="false"/>
          <w:bCs w:val="false"/>
          <w:sz w:val="21"/>
          <w:szCs w:val="21"/>
        </w:rPr>
        <w:t xml:space="preserve">Traçabilité complète (qui a consulté/modifié quoi et quand) pour répondre à d'éventuels contrôles.</w:t>
      </w:r>
    </w:p>
    <w:p>
      <w:pPr>
        <w:pStyle w:val="Heading2"/>
        <w:spacing w:after="140" w:before="280"/>
      </w:pPr>
      <w:r>
        <w:rPr>
          <w:b/>
          <w:bCs/>
          <w:color w:val="2E74B5"/>
          <w:sz w:val="25"/>
          <w:szCs w:val="25"/>
        </w:rPr>
        <w:t xml:space="preserve">7.5 Maintenabilité et évolutivité</w:t>
      </w:r>
    </w:p>
    <w:p>
      <w:pPr>
        <w:pStyle w:val="ListParagraph"/>
        <w:numPr>
          <w:ilvl w:val="0"/>
          <w:numId w:val="2"/>
        </w:numPr>
        <w:spacing w:after="60" w:line="280"/>
      </w:pPr>
      <w:r>
        <w:rPr>
          <w:b w:val="false"/>
          <w:bCs w:val="false"/>
          <w:sz w:val="21"/>
          <w:szCs w:val="21"/>
        </w:rPr>
        <w:t xml:space="preserve">Architecture modulaire (une app Django par module métier : patients, consultations, pharmacie, bloc opératoire, facturation, etc.) pour faciliter l'ajout de fonctionnalités.</w:t>
      </w:r>
    </w:p>
    <w:p>
      <w:pPr>
        <w:pStyle w:val="ListParagraph"/>
        <w:numPr>
          <w:ilvl w:val="0"/>
          <w:numId w:val="2"/>
        </w:numPr>
        <w:spacing w:after="60" w:line="280"/>
      </w:pPr>
      <w:r>
        <w:rPr>
          <w:b w:val="false"/>
          <w:bCs w:val="false"/>
          <w:sz w:val="21"/>
          <w:szCs w:val="21"/>
        </w:rPr>
        <w:t xml:space="preserve">Code versionné (Git/GitHub), documenté, avec conventions de nommage homogènes.</w:t>
      </w:r>
    </w:p>
    <w:p>
      <w:pPr>
        <w:pStyle w:val="ListParagraph"/>
        <w:numPr>
          <w:ilvl w:val="0"/>
          <w:numId w:val="2"/>
        </w:numPr>
        <w:spacing w:after="60" w:line="280"/>
      </w:pPr>
      <w:r>
        <w:rPr>
          <w:b w:val="false"/>
          <w:bCs w:val="false"/>
          <w:sz w:val="21"/>
          <w:szCs w:val="21"/>
        </w:rPr>
        <w:t xml:space="preserve">Couverture de tests automatisés a minima sur les règles de gestion critiques (ex. : non-double réservation d'une salle de bloc, calcul de facturation).</w:t>
      </w:r>
    </w:p>
    <w:p>
      <w:r>
        <w:br w:type="page"/>
      </w:r>
    </w:p>
    <w:p>
      <w:pPr>
        <w:pStyle w:val="Heading1"/>
        <w:pBdr>
          <w:bottom w:val="single" w:color="1F3864" w:sz="6" w:space="4"/>
        </w:pBdr>
        <w:spacing w:after="200" w:before="400"/>
      </w:pPr>
      <w:r>
        <w:rPr>
          <w:b/>
          <w:bCs/>
          <w:color w:val="1F3864"/>
          <w:sz w:val="30"/>
          <w:szCs w:val="30"/>
        </w:rPr>
        <w:t xml:space="preserve">8. Architecture technique</w:t>
      </w:r>
    </w:p>
    <w:p>
      <w:pPr>
        <w:spacing w:after="140" w:line="300"/>
        <w:jc w:val="both"/>
      </w:pPr>
      <w:r>
        <w:rPr>
          <w:sz w:val="21"/>
          <w:szCs w:val="21"/>
        </w:rPr>
        <w:t xml:space="preserve">La stack technique retenue privilégie la robustesse, la rapidité de développement et l'écosystème Python/Django, adapté à un projet porté par un développeur unique ou une petite équipe dans un délai de mémoire de fin de cycle.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900"/>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Composant</w:t>
            </w:r>
          </w:p>
        </w:tc>
        <w:tc>
          <w:tcPr>
            <w:tcW w:type="dxa" w:w="3200"/>
            <w:shd w:fill="1F3864" w:val="clear"/>
            <w:tcMar>
              <w:top w:type="dxa" w:w="80"/>
              <w:left w:type="dxa" w:w="100"/>
              <w:bottom w:type="dxa" w:w="80"/>
              <w:right w:type="dxa" w:w="100"/>
            </w:tcMar>
            <w:vAlign w:val="center"/>
          </w:tcPr>
          <w:p>
            <w:r>
              <w:rPr>
                <w:b/>
                <w:bCs/>
                <w:color w:val="FFFFFF"/>
                <w:sz w:val="20"/>
                <w:szCs w:val="20"/>
              </w:rPr>
              <w:t xml:space="preserve">Technologie retenue</w:t>
            </w:r>
          </w:p>
        </w:tc>
        <w:tc>
          <w:tcPr>
            <w:tcW w:type="dxa" w:w="3900"/>
            <w:shd w:fill="1F3864" w:val="clear"/>
            <w:tcMar>
              <w:top w:type="dxa" w:w="80"/>
              <w:left w:type="dxa" w:w="100"/>
              <w:bottom w:type="dxa" w:w="80"/>
              <w:right w:type="dxa" w:w="100"/>
            </w:tcMar>
            <w:vAlign w:val="center"/>
          </w:tcPr>
          <w:p>
            <w:r>
              <w:rPr>
                <w:b/>
                <w:bCs/>
                <w:color w:val="FFFFFF"/>
                <w:sz w:val="20"/>
                <w:szCs w:val="20"/>
              </w:rPr>
              <w:t xml:space="preserve">Justification (ajouté)</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Frontend Web</w:t>
            </w:r>
          </w:p>
        </w:tc>
        <w:tc>
          <w:tcPr>
            <w:tcW w:type="dxa" w:w="3200"/>
            <w:tcMar>
              <w:top w:type="dxa" w:w="80"/>
              <w:left w:type="dxa" w:w="100"/>
              <w:bottom w:type="dxa" w:w="80"/>
              <w:right w:type="dxa" w:w="100"/>
            </w:tcMar>
            <w:vAlign w:val="center"/>
          </w:tcPr>
          <w:p>
            <w:r>
              <w:rPr>
                <w:b w:val="false"/>
                <w:bCs w:val="false"/>
                <w:color w:val="000000"/>
                <w:sz w:val="20"/>
                <w:szCs w:val="20"/>
              </w:rPr>
              <w:t xml:space="preserve">HTML / CSS / Bootstrap + Django Templates</w:t>
            </w:r>
          </w:p>
        </w:tc>
        <w:tc>
          <w:tcPr>
            <w:tcW w:type="dxa" w:w="3900"/>
            <w:tcMar>
              <w:top w:type="dxa" w:w="80"/>
              <w:left w:type="dxa" w:w="100"/>
              <w:bottom w:type="dxa" w:w="80"/>
              <w:right w:type="dxa" w:w="100"/>
            </w:tcMar>
            <w:vAlign w:val="center"/>
          </w:tcPr>
          <w:p>
            <w:r>
              <w:rPr>
                <w:b w:val="false"/>
                <w:bCs w:val="false"/>
                <w:color w:val="000000"/>
                <w:sz w:val="20"/>
                <w:szCs w:val="20"/>
              </w:rPr>
              <w:t xml:space="preserve">Développement rapide, pas de build JS séparé ; suffisant pour un MVP orienté back-office métier.</w:t>
            </w:r>
          </w:p>
        </w:tc>
      </w:tr>
      <w:tr>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Backend API</w:t>
            </w:r>
          </w:p>
        </w:tc>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Django (Python) + Django REST Framework</w:t>
            </w:r>
          </w:p>
        </w:tc>
        <w:tc>
          <w:tcPr>
            <w:tcW w:type="dxa" w:w="3900"/>
            <w:shd w:fill="F2F2F2" w:val="clear"/>
            <w:tcMar>
              <w:top w:type="dxa" w:w="80"/>
              <w:left w:type="dxa" w:w="100"/>
              <w:bottom w:type="dxa" w:w="80"/>
              <w:right w:type="dxa" w:w="100"/>
            </w:tcMar>
            <w:vAlign w:val="center"/>
          </w:tcPr>
          <w:p>
            <w:r>
              <w:rPr>
                <w:b w:val="false"/>
                <w:bCs w:val="false"/>
                <w:color w:val="000000"/>
                <w:sz w:val="20"/>
                <w:szCs w:val="20"/>
              </w:rPr>
              <w:t xml:space="preserve">Framework mature, ORM intégré, écosystème riche (i18n, admin, sécurité intégrée).</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Base de données</w:t>
            </w:r>
          </w:p>
        </w:tc>
        <w:tc>
          <w:tcPr>
            <w:tcW w:type="dxa" w:w="3200"/>
            <w:tcMar>
              <w:top w:type="dxa" w:w="80"/>
              <w:left w:type="dxa" w:w="100"/>
              <w:bottom w:type="dxa" w:w="80"/>
              <w:right w:type="dxa" w:w="100"/>
            </w:tcMar>
            <w:vAlign w:val="center"/>
          </w:tcPr>
          <w:p>
            <w:r>
              <w:rPr>
                <w:b w:val="false"/>
                <w:bCs w:val="false"/>
                <w:color w:val="000000"/>
                <w:sz w:val="20"/>
                <w:szCs w:val="20"/>
              </w:rPr>
              <w:t xml:space="preserve">PostgreSQL (ou MySQL)</w:t>
            </w:r>
          </w:p>
        </w:tc>
        <w:tc>
          <w:tcPr>
            <w:tcW w:type="dxa" w:w="3900"/>
            <w:tcMar>
              <w:top w:type="dxa" w:w="80"/>
              <w:left w:type="dxa" w:w="100"/>
              <w:bottom w:type="dxa" w:w="80"/>
              <w:right w:type="dxa" w:w="100"/>
            </w:tcMar>
            <w:vAlign w:val="center"/>
          </w:tcPr>
          <w:p>
            <w:r>
              <w:rPr>
                <w:b w:val="false"/>
                <w:bCs w:val="false"/>
                <w:color w:val="000000"/>
                <w:sz w:val="20"/>
                <w:szCs w:val="20"/>
              </w:rPr>
              <w:t xml:space="preserve">PostgreSQL recommandé : meilleur support des contraintes avancées et de la recherche full-text.</w:t>
            </w:r>
          </w:p>
        </w:tc>
      </w:tr>
      <w:tr>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Authentification</w:t>
            </w:r>
          </w:p>
        </w:tc>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Rôles personnalisés + sessions Django</w:t>
            </w:r>
          </w:p>
        </w:tc>
        <w:tc>
          <w:tcPr>
            <w:tcW w:type="dxa" w:w="3900"/>
            <w:shd w:fill="F2F2F2" w:val="clear"/>
            <w:tcMar>
              <w:top w:type="dxa" w:w="80"/>
              <w:left w:type="dxa" w:w="100"/>
              <w:bottom w:type="dxa" w:w="80"/>
              <w:right w:type="dxa" w:w="100"/>
            </w:tcMar>
            <w:vAlign w:val="center"/>
          </w:tcPr>
          <w:p>
            <w:r>
              <w:rPr>
                <w:b w:val="false"/>
                <w:bCs w:val="false"/>
                <w:color w:val="000000"/>
                <w:sz w:val="20"/>
                <w:szCs w:val="20"/>
              </w:rPr>
              <w:t xml:space="preserve">Suffisant en V1 ; envisager Django Guardian ou un RBAC par objet si la granularité doit augmenter.</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Traduction</w:t>
            </w:r>
          </w:p>
        </w:tc>
        <w:tc>
          <w:tcPr>
            <w:tcW w:type="dxa" w:w="3200"/>
            <w:tcMar>
              <w:top w:type="dxa" w:w="80"/>
              <w:left w:type="dxa" w:w="100"/>
              <w:bottom w:type="dxa" w:w="80"/>
              <w:right w:type="dxa" w:w="100"/>
            </w:tcMar>
            <w:vAlign w:val="center"/>
          </w:tcPr>
          <w:p>
            <w:r>
              <w:rPr>
                <w:b w:val="false"/>
                <w:bCs w:val="false"/>
                <w:color w:val="000000"/>
                <w:sz w:val="20"/>
                <w:szCs w:val="20"/>
              </w:rPr>
              <w:t xml:space="preserve">Django i18n + fichiers .po multilingues</w:t>
            </w:r>
          </w:p>
        </w:tc>
        <w:tc>
          <w:tcPr>
            <w:tcW w:type="dxa" w:w="3900"/>
            <w:tcMar>
              <w:top w:type="dxa" w:w="80"/>
              <w:left w:type="dxa" w:w="100"/>
              <w:bottom w:type="dxa" w:w="80"/>
              <w:right w:type="dxa" w:w="100"/>
            </w:tcMar>
            <w:vAlign w:val="center"/>
          </w:tcPr>
          <w:p>
            <w:r>
              <w:rPr>
                <w:b w:val="false"/>
                <w:bCs w:val="false"/>
                <w:color w:val="000000"/>
                <w:sz w:val="20"/>
                <w:szCs w:val="20"/>
              </w:rPr>
              <w:t xml:space="preserve">Standard Django ; attention à la charge de traduction humaine pour bambara/peulh/soninké (section 4.11).</w:t>
            </w:r>
          </w:p>
        </w:tc>
      </w:tr>
      <w:tr>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Export PDF/Excel</w:t>
            </w:r>
          </w:p>
        </w:tc>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ReportLab / WeasyPrint / Django-Import-Export</w:t>
            </w:r>
          </w:p>
        </w:tc>
        <w:tc>
          <w:tcPr>
            <w:tcW w:type="dxa" w:w="3900"/>
            <w:shd w:fill="F2F2F2" w:val="clear"/>
            <w:tcMar>
              <w:top w:type="dxa" w:w="80"/>
              <w:left w:type="dxa" w:w="100"/>
              <w:bottom w:type="dxa" w:w="80"/>
              <w:right w:type="dxa" w:w="100"/>
            </w:tcMar>
            <w:vAlign w:val="center"/>
          </w:tcPr>
          <w:p>
            <w:r>
              <w:rPr>
                <w:b w:val="false"/>
                <w:bCs w:val="false"/>
                <w:color w:val="000000"/>
                <w:sz w:val="20"/>
                <w:szCs w:val="20"/>
              </w:rPr>
              <w:t xml:space="preserve">WeasyPrint recommandé pour des rapports mise en forme HTML→PDF fidèles.</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Déploiement</w:t>
            </w:r>
          </w:p>
        </w:tc>
        <w:tc>
          <w:tcPr>
            <w:tcW w:type="dxa" w:w="3200"/>
            <w:tcMar>
              <w:top w:type="dxa" w:w="80"/>
              <w:left w:type="dxa" w:w="100"/>
              <w:bottom w:type="dxa" w:w="80"/>
              <w:right w:type="dxa" w:w="100"/>
            </w:tcMar>
            <w:vAlign w:val="center"/>
          </w:tcPr>
          <w:p>
            <w:r>
              <w:rPr>
                <w:b w:val="false"/>
                <w:bCs w:val="false"/>
                <w:color w:val="000000"/>
                <w:sz w:val="20"/>
                <w:szCs w:val="20"/>
              </w:rPr>
              <w:t xml:space="preserve">Render ou Railway</w:t>
            </w:r>
          </w:p>
        </w:tc>
        <w:tc>
          <w:tcPr>
            <w:tcW w:type="dxa" w:w="3900"/>
            <w:tcMar>
              <w:top w:type="dxa" w:w="80"/>
              <w:left w:type="dxa" w:w="100"/>
              <w:bottom w:type="dxa" w:w="80"/>
              <w:right w:type="dxa" w:w="100"/>
            </w:tcMar>
            <w:vAlign w:val="center"/>
          </w:tcPr>
          <w:p>
            <w:r>
              <w:rPr>
                <w:b w:val="false"/>
                <w:bCs w:val="false"/>
                <w:color w:val="000000"/>
                <w:sz w:val="20"/>
                <w:szCs w:val="20"/>
              </w:rPr>
              <w:t xml:space="preserve">Adapté à un budget étudiant ; prévoir un plan payant pour la disponibilité en production réelle.</w:t>
            </w:r>
          </w:p>
        </w:tc>
      </w:tr>
      <w:tr>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Stockage fichiers</w:t>
            </w:r>
          </w:p>
        </w:tc>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Stockage cloud (ex. S3-compatible)</w:t>
            </w:r>
          </w:p>
        </w:tc>
        <w:tc>
          <w:tcPr>
            <w:tcW w:type="dxa" w:w="3900"/>
            <w:shd w:fill="F2F2F2" w:val="clear"/>
            <w:tcMar>
              <w:top w:type="dxa" w:w="80"/>
              <w:left w:type="dxa" w:w="100"/>
              <w:bottom w:type="dxa" w:w="80"/>
              <w:right w:type="dxa" w:w="100"/>
            </w:tcMar>
            <w:vAlign w:val="center"/>
          </w:tcPr>
          <w:p>
            <w:r>
              <w:rPr>
                <w:b w:val="false"/>
                <w:bCs w:val="false"/>
                <w:color w:val="000000"/>
                <w:sz w:val="20"/>
                <w:szCs w:val="20"/>
              </w:rPr>
              <w:t xml:space="preserve">Ajouté : nécessaire pour les pièces jointes d'imagerie médicale, hors base de données relationnelle.</w:t>
            </w:r>
          </w:p>
        </w:tc>
      </w:tr>
    </w:tbl>
    <w:p>
      <w:pPr>
        <w:spacing w:after="200"/>
      </w:pPr>
    </w:p>
    <w:p>
      <w:pPr>
        <w:pBdr>
          <w:left w:val="single" w:color="2E74B5" w:sz="18" w:space="8"/>
        </w:pBdr>
        <w:shd w:fill="F2F2F2" w:val="clear"/>
        <w:spacing w:after="160" w:before="100"/>
        <w:ind w:left="200"/>
      </w:pPr>
      <w:r>
        <w:rPr>
          <w:b/>
          <w:bCs/>
          <w:i/>
          <w:iCs/>
          <w:color w:val="2E74B5"/>
          <w:sz w:val="20"/>
          <w:szCs w:val="20"/>
        </w:rPr>
        <w:t xml:space="preserve">Enrichissement — </w:t>
      </w:r>
      <w:r>
        <w:rPr>
          <w:i/>
          <w:iCs/>
          <w:color w:val="444444"/>
          <w:sz w:val="20"/>
          <w:szCs w:val="20"/>
        </w:rPr>
        <w:t xml:space="preserve">Point de vigilance ajouté : l'hébergement d'un système d'information de santé impose une attention particulière à la localisation et à la sécurité des données. Si l'établissement l'exige, un hébergement local ou national devra être étudié en alternative à Render/Railway (hébergeurs situés hors du Mali).</w:t>
      </w:r>
    </w:p>
    <w:p>
      <w:pPr>
        <w:pStyle w:val="Heading1"/>
        <w:pBdr>
          <w:bottom w:val="single" w:color="1F3864" w:sz="6" w:space="4"/>
        </w:pBdr>
        <w:spacing w:after="200" w:before="400"/>
      </w:pPr>
      <w:r>
        <w:rPr>
          <w:b/>
          <w:bCs/>
          <w:color w:val="1F3864"/>
          <w:sz w:val="30"/>
          <w:szCs w:val="30"/>
        </w:rPr>
        <w:t xml:space="preserve">9. Contraintes techniques et fonctionnelles</w:t>
      </w:r>
    </w:p>
    <w:p>
      <w:pPr>
        <w:pStyle w:val="ListParagraph"/>
        <w:numPr>
          <w:ilvl w:val="0"/>
          <w:numId w:val="2"/>
        </w:numPr>
        <w:spacing w:after="60" w:line="280"/>
      </w:pPr>
      <w:r>
        <w:rPr>
          <w:b w:val="false"/>
          <w:bCs w:val="false"/>
          <w:sz w:val="21"/>
          <w:szCs w:val="21"/>
        </w:rPr>
        <w:t xml:space="preserve">Interface sobre, responsive, accessible sur mobile et desktop.</w:t>
      </w:r>
    </w:p>
    <w:p>
      <w:pPr>
        <w:pStyle w:val="ListParagraph"/>
        <w:numPr>
          <w:ilvl w:val="0"/>
          <w:numId w:val="2"/>
        </w:numPr>
        <w:spacing w:after="60" w:line="280"/>
      </w:pPr>
      <w:r>
        <w:rPr>
          <w:b w:val="false"/>
          <w:bCs w:val="false"/>
          <w:sz w:val="21"/>
          <w:szCs w:val="21"/>
        </w:rPr>
        <w:t xml:space="preserve">Multilinguisme dynamique (6 langues).</w:t>
      </w:r>
    </w:p>
    <w:p>
      <w:pPr>
        <w:pStyle w:val="ListParagraph"/>
        <w:numPr>
          <w:ilvl w:val="0"/>
          <w:numId w:val="2"/>
        </w:numPr>
        <w:spacing w:after="60" w:line="280"/>
      </w:pPr>
      <w:r>
        <w:rPr>
          <w:b w:val="false"/>
          <w:bCs w:val="false"/>
          <w:sz w:val="21"/>
          <w:szCs w:val="21"/>
        </w:rPr>
        <w:t xml:space="preserve">Sécurité des données (authentification, permissions) — détaillée en section 7.1.</w:t>
      </w:r>
    </w:p>
    <w:p>
      <w:pPr>
        <w:pStyle w:val="ListParagraph"/>
        <w:numPr>
          <w:ilvl w:val="0"/>
          <w:numId w:val="2"/>
        </w:numPr>
        <w:spacing w:after="60" w:line="280"/>
      </w:pPr>
      <w:r>
        <w:rPr>
          <w:b w:val="false"/>
          <w:bCs w:val="false"/>
          <w:sz w:val="21"/>
          <w:szCs w:val="21"/>
        </w:rPr>
        <w:t xml:space="preserve">Historique détaillé des actions.</w:t>
      </w:r>
    </w:p>
    <w:p>
      <w:pPr>
        <w:pStyle w:val="ListParagraph"/>
        <w:numPr>
          <w:ilvl w:val="0"/>
          <w:numId w:val="2"/>
        </w:numPr>
        <w:spacing w:after="60" w:line="280"/>
      </w:pPr>
      <w:r>
        <w:rPr>
          <w:b w:val="false"/>
          <w:bCs w:val="false"/>
          <w:sz w:val="21"/>
          <w:szCs w:val="21"/>
        </w:rPr>
        <w:t xml:space="preserve">Export PDF/Excel possible sur tous les modules, y compris le bloc opératoire (section 5.3.7).</w:t>
      </w:r>
    </w:p>
    <w:p>
      <w:pPr>
        <w:pStyle w:val="ListParagraph"/>
        <w:numPr>
          <w:ilvl w:val="0"/>
          <w:numId w:val="2"/>
        </w:numPr>
        <w:spacing w:after="60" w:line="280"/>
      </w:pPr>
      <w:r>
        <w:rPr>
          <w:b w:val="false"/>
          <w:bCs w:val="false"/>
          <w:sz w:val="21"/>
          <w:szCs w:val="21"/>
        </w:rPr>
        <w:t xml:space="preserve">Interface d'administration complète via Django admin.</w:t>
      </w:r>
    </w:p>
    <w:p>
      <w:pPr>
        <w:pStyle w:val="ListParagraph"/>
        <w:numPr>
          <w:ilvl w:val="0"/>
          <w:numId w:val="2"/>
        </w:numPr>
        <w:spacing w:after="60" w:line="280"/>
      </w:pPr>
      <w:r>
        <w:rPr>
          <w:b w:val="false"/>
          <w:bCs w:val="false"/>
          <w:sz w:val="21"/>
          <w:szCs w:val="21"/>
        </w:rPr>
        <w:t xml:space="preserve">Fonctionnement acceptable en connectivité limitée (voir section 7.2).</w:t>
      </w:r>
    </w:p>
    <w:p>
      <w:pPr>
        <w:pStyle w:val="Heading1"/>
        <w:pBdr>
          <w:bottom w:val="single" w:color="1F3864" w:sz="6" w:space="4"/>
        </w:pBdr>
        <w:spacing w:after="200" w:before="400"/>
      </w:pPr>
      <w:r>
        <w:rPr>
          <w:b/>
          <w:bCs/>
          <w:color w:val="1F3864"/>
          <w:sz w:val="30"/>
          <w:szCs w:val="30"/>
        </w:rPr>
        <w:t xml:space="preserve">10. Livrables</w:t>
      </w:r>
    </w:p>
    <w:p>
      <w:pPr>
        <w:pStyle w:val="ListParagraph"/>
        <w:numPr>
          <w:ilvl w:val="0"/>
          <w:numId w:val="2"/>
        </w:numPr>
        <w:spacing w:after="60" w:line="280"/>
      </w:pPr>
      <w:r>
        <w:rPr>
          <w:b w:val="false"/>
          <w:bCs w:val="false"/>
          <w:sz w:val="21"/>
          <w:szCs w:val="21"/>
        </w:rPr>
        <w:t xml:space="preserve">Application web fonctionnelle (interface + backend).</w:t>
      </w:r>
    </w:p>
    <w:p>
      <w:pPr>
        <w:pStyle w:val="ListParagraph"/>
        <w:numPr>
          <w:ilvl w:val="0"/>
          <w:numId w:val="2"/>
        </w:numPr>
        <w:spacing w:after="60" w:line="280"/>
      </w:pPr>
      <w:r>
        <w:rPr>
          <w:b w:val="false"/>
          <w:bCs w:val="false"/>
          <w:sz w:val="21"/>
          <w:szCs w:val="21"/>
        </w:rPr>
        <w:t xml:space="preserve">Code source Django versionné (GitHub), incluant le module de gestion du bloc opératoire.</w:t>
      </w:r>
    </w:p>
    <w:p>
      <w:pPr>
        <w:pStyle w:val="ListParagraph"/>
        <w:numPr>
          <w:ilvl w:val="0"/>
          <w:numId w:val="2"/>
        </w:numPr>
        <w:spacing w:after="60" w:line="280"/>
      </w:pPr>
      <w:r>
        <w:rPr>
          <w:b w:val="false"/>
          <w:bCs w:val="false"/>
          <w:sz w:val="21"/>
          <w:szCs w:val="21"/>
        </w:rPr>
        <w:t xml:space="preserve">Base de données PostgreSQL exportée (script de création + jeu de données de démonstration).</w:t>
      </w:r>
    </w:p>
    <w:p>
      <w:pPr>
        <w:pStyle w:val="ListParagraph"/>
        <w:numPr>
          <w:ilvl w:val="0"/>
          <w:numId w:val="2"/>
        </w:numPr>
        <w:spacing w:after="60" w:line="280"/>
      </w:pPr>
      <w:r>
        <w:rPr>
          <w:b w:val="false"/>
          <w:bCs w:val="false"/>
          <w:sz w:val="21"/>
          <w:szCs w:val="21"/>
        </w:rPr>
        <w:t xml:space="preserve">Fichiers de traduction multilingues (.po / .mo) pour les 6 langues.</w:t>
      </w:r>
    </w:p>
    <w:p>
      <w:pPr>
        <w:pStyle w:val="ListParagraph"/>
        <w:numPr>
          <w:ilvl w:val="0"/>
          <w:numId w:val="2"/>
        </w:numPr>
        <w:spacing w:after="60" w:line="280"/>
      </w:pPr>
      <w:r>
        <w:rPr>
          <w:b w:val="false"/>
          <w:bCs w:val="false"/>
          <w:sz w:val="21"/>
          <w:szCs w:val="21"/>
        </w:rPr>
        <w:t xml:space="preserve">Rapport technique et documentation (dont documentation spécifique du module bloc opératoire).</w:t>
      </w:r>
    </w:p>
    <w:p>
      <w:pPr>
        <w:pStyle w:val="ListParagraph"/>
        <w:numPr>
          <w:ilvl w:val="0"/>
          <w:numId w:val="2"/>
        </w:numPr>
        <w:spacing w:after="60" w:line="280"/>
      </w:pPr>
      <w:r>
        <w:rPr>
          <w:b w:val="false"/>
          <w:bCs w:val="false"/>
          <w:sz w:val="21"/>
          <w:szCs w:val="21"/>
        </w:rPr>
        <w:t xml:space="preserve">Dossier de soutenance (support de présentation, diagrammes UML).</w:t>
      </w:r>
    </w:p>
    <w:p>
      <w:pPr>
        <w:pStyle w:val="ListParagraph"/>
        <w:numPr>
          <w:ilvl w:val="0"/>
          <w:numId w:val="2"/>
        </w:numPr>
        <w:spacing w:after="60" w:line="280"/>
      </w:pPr>
      <w:r>
        <w:rPr>
          <w:b w:val="false"/>
          <w:bCs w:val="false"/>
          <w:sz w:val="21"/>
          <w:szCs w:val="21"/>
        </w:rPr>
        <w:t xml:space="preserve">Jeu de tests / scénarios de recette fonctionnelle (ajouté).</w:t>
      </w:r>
    </w:p>
    <w:p>
      <w:pPr>
        <w:pStyle w:val="Heading1"/>
        <w:pBdr>
          <w:bottom w:val="single" w:color="1F3864" w:sz="6" w:space="4"/>
        </w:pBdr>
        <w:spacing w:after="200" w:before="400"/>
      </w:pPr>
      <w:r>
        <w:rPr>
          <w:b/>
          <w:bCs/>
          <w:color w:val="1F3864"/>
          <w:sz w:val="30"/>
          <w:szCs w:val="30"/>
        </w:rPr>
        <w:t xml:space="preserve">11. Planning prévisionnel</w:t>
      </w:r>
    </w:p>
    <w:p>
      <w:pPr>
        <w:pStyle w:val="Heading2"/>
        <w:spacing w:after="140" w:before="280"/>
      </w:pPr>
      <w:r>
        <w:rPr>
          <w:b/>
          <w:bCs/>
          <w:color w:val="2E74B5"/>
          <w:sz w:val="25"/>
          <w:szCs w:val="25"/>
        </w:rPr>
        <w:t xml:space="preserve">11.1 Planning d'origine (6 semaines)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Semaine</w:t>
            </w:r>
          </w:p>
        </w:tc>
        <w:tc>
          <w:tcPr>
            <w:tcW w:type="dxa" w:w="7300"/>
            <w:shd w:fill="1F3864" w:val="clear"/>
            <w:tcMar>
              <w:top w:type="dxa" w:w="80"/>
              <w:left w:type="dxa" w:w="100"/>
              <w:bottom w:type="dxa" w:w="80"/>
              <w:right w:type="dxa" w:w="100"/>
            </w:tcMar>
            <w:vAlign w:val="center"/>
          </w:tcPr>
          <w:p>
            <w:r>
              <w:rPr>
                <w:b/>
                <w:bCs/>
                <w:color w:val="FFFFFF"/>
                <w:sz w:val="20"/>
                <w:szCs w:val="20"/>
              </w:rPr>
              <w:t xml:space="preserve">Tâches principales</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1</w:t>
            </w:r>
          </w:p>
        </w:tc>
        <w:tc>
          <w:tcPr>
            <w:tcW w:type="dxa" w:w="7300"/>
            <w:tcMar>
              <w:top w:type="dxa" w:w="80"/>
              <w:left w:type="dxa" w:w="100"/>
              <w:bottom w:type="dxa" w:w="80"/>
              <w:right w:type="dxa" w:w="100"/>
            </w:tcMar>
            <w:vAlign w:val="center"/>
          </w:tcPr>
          <w:p>
            <w:r>
              <w:rPr>
                <w:b w:val="false"/>
                <w:bCs w:val="false"/>
                <w:color w:val="000000"/>
                <w:sz w:val="20"/>
                <w:szCs w:val="20"/>
              </w:rPr>
              <w:t xml:space="preserve">Analyse des besoins + maquettes</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2</w:t>
            </w:r>
          </w:p>
        </w:tc>
        <w:tc>
          <w:tcPr>
            <w:tcW w:type="dxa" w:w="7300"/>
            <w:shd w:fill="F2F2F2" w:val="clear"/>
            <w:tcMar>
              <w:top w:type="dxa" w:w="80"/>
              <w:left w:type="dxa" w:w="100"/>
              <w:bottom w:type="dxa" w:w="80"/>
              <w:right w:type="dxa" w:w="100"/>
            </w:tcMar>
            <w:vAlign w:val="center"/>
          </w:tcPr>
          <w:p>
            <w:r>
              <w:rPr>
                <w:b w:val="false"/>
                <w:bCs w:val="false"/>
                <w:color w:val="000000"/>
                <w:sz w:val="20"/>
                <w:szCs w:val="20"/>
              </w:rPr>
              <w:t xml:space="preserve">Création des modèles Django</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3</w:t>
            </w:r>
          </w:p>
        </w:tc>
        <w:tc>
          <w:tcPr>
            <w:tcW w:type="dxa" w:w="7300"/>
            <w:tcMar>
              <w:top w:type="dxa" w:w="80"/>
              <w:left w:type="dxa" w:w="100"/>
              <w:bottom w:type="dxa" w:w="80"/>
              <w:right w:type="dxa" w:w="100"/>
            </w:tcMar>
            <w:vAlign w:val="center"/>
          </w:tcPr>
          <w:p>
            <w:r>
              <w:rPr>
                <w:b w:val="false"/>
                <w:bCs w:val="false"/>
                <w:color w:val="000000"/>
                <w:sz w:val="20"/>
                <w:szCs w:val="20"/>
              </w:rPr>
              <w:t xml:space="preserve">Création des vues + formulaires CRUD</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4</w:t>
            </w:r>
          </w:p>
        </w:tc>
        <w:tc>
          <w:tcPr>
            <w:tcW w:type="dxa" w:w="7300"/>
            <w:shd w:fill="F2F2F2" w:val="clear"/>
            <w:tcMar>
              <w:top w:type="dxa" w:w="80"/>
              <w:left w:type="dxa" w:w="100"/>
              <w:bottom w:type="dxa" w:w="80"/>
              <w:right w:type="dxa" w:w="100"/>
            </w:tcMar>
            <w:vAlign w:val="center"/>
          </w:tcPr>
          <w:p>
            <w:r>
              <w:rPr>
                <w:b w:val="false"/>
                <w:bCs w:val="false"/>
                <w:color w:val="000000"/>
                <w:sz w:val="20"/>
                <w:szCs w:val="20"/>
              </w:rPr>
              <w:t xml:space="preserve">Gestion multilingue et tableau de bord</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5</w:t>
            </w:r>
          </w:p>
        </w:tc>
        <w:tc>
          <w:tcPr>
            <w:tcW w:type="dxa" w:w="7300"/>
            <w:tcMar>
              <w:top w:type="dxa" w:w="80"/>
              <w:left w:type="dxa" w:w="100"/>
              <w:bottom w:type="dxa" w:w="80"/>
              <w:right w:type="dxa" w:w="100"/>
            </w:tcMar>
            <w:vAlign w:val="center"/>
          </w:tcPr>
          <w:p>
            <w:r>
              <w:rPr>
                <w:b w:val="false"/>
                <w:bCs w:val="false"/>
                <w:color w:val="000000"/>
                <w:sz w:val="20"/>
                <w:szCs w:val="20"/>
              </w:rPr>
              <w:t xml:space="preserve">Statistiques + génération des exports</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6</w:t>
            </w:r>
          </w:p>
        </w:tc>
        <w:tc>
          <w:tcPr>
            <w:tcW w:type="dxa" w:w="7300"/>
            <w:shd w:fill="F2F2F2" w:val="clear"/>
            <w:tcMar>
              <w:top w:type="dxa" w:w="80"/>
              <w:left w:type="dxa" w:w="100"/>
              <w:bottom w:type="dxa" w:w="80"/>
              <w:right w:type="dxa" w:w="100"/>
            </w:tcMar>
            <w:vAlign w:val="center"/>
          </w:tcPr>
          <w:p>
            <w:r>
              <w:rPr>
                <w:b w:val="false"/>
                <w:bCs w:val="false"/>
                <w:color w:val="000000"/>
                <w:sz w:val="20"/>
                <w:szCs w:val="20"/>
              </w:rPr>
              <w:t xml:space="preserve">Tests, documentation, mise en ligne</w:t>
            </w:r>
          </w:p>
        </w:tc>
      </w:tr>
    </w:tbl>
    <w:p>
      <w:pPr>
        <w:spacing w:after="200"/>
      </w:pPr>
    </w:p>
    <w:p>
      <w:pPr>
        <w:pBdr>
          <w:left w:val="single" w:color="C00000" w:sz="18" w:space="8"/>
        </w:pBdr>
        <w:shd w:fill="F2F2F2" w:val="clear"/>
        <w:spacing w:after="160" w:before="100"/>
        <w:ind w:left="200"/>
      </w:pPr>
      <w:r>
        <w:rPr>
          <w:b/>
          <w:bCs/>
          <w:i/>
          <w:iCs/>
          <w:color w:val="C00000"/>
          <w:sz w:val="20"/>
          <w:szCs w:val="20"/>
        </w:rPr>
        <w:t xml:space="preserve">Alerte — </w:t>
      </w:r>
      <w:r>
        <w:rPr>
          <w:i/>
          <w:iCs/>
          <w:color w:val="444444"/>
          <w:sz w:val="20"/>
          <w:szCs w:val="20"/>
        </w:rPr>
        <w:t xml:space="preserve">Ce planning de 6 semaines, réaliste pour un cœur d'application (patients, consultations, ordonnances), ne couvre pas explicitement le développement du module bloc opératoire, de la facturation/assurance complète ni la traduction dans 4 langues supplémentaires. Une révision est proposée ci-dessous (section 11.2) et argumentée en détail dans l'analyse de faisabilité (section 12).</w:t>
      </w:r>
    </w:p>
    <w:p>
      <w:pPr>
        <w:pStyle w:val="Heading2"/>
        <w:spacing w:after="140" w:before="280"/>
      </w:pPr>
      <w:r>
        <w:rPr>
          <w:b/>
          <w:bCs/>
          <w:color w:val="2E74B5"/>
          <w:sz w:val="25"/>
          <w:szCs w:val="25"/>
        </w:rPr>
        <w:t xml:space="preserve">11.2 Planning révisé proposé (12 semaines)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3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Phase</w:t>
            </w:r>
          </w:p>
        </w:tc>
        <w:tc>
          <w:tcPr>
            <w:tcW w:type="dxa" w:w="1600"/>
            <w:shd w:fill="1F3864" w:val="clear"/>
            <w:tcMar>
              <w:top w:type="dxa" w:w="80"/>
              <w:left w:type="dxa" w:w="100"/>
              <w:bottom w:type="dxa" w:w="80"/>
              <w:right w:type="dxa" w:w="100"/>
            </w:tcMar>
            <w:vAlign w:val="center"/>
          </w:tcPr>
          <w:p>
            <w:r>
              <w:rPr>
                <w:b/>
                <w:bCs/>
                <w:color w:val="FFFFFF"/>
                <w:sz w:val="20"/>
                <w:szCs w:val="20"/>
              </w:rPr>
              <w:t xml:space="preserve">Semaines</w:t>
            </w:r>
          </w:p>
        </w:tc>
        <w:tc>
          <w:tcPr>
            <w:tcW w:type="dxa" w:w="5300"/>
            <w:shd w:fill="1F3864" w:val="clear"/>
            <w:tcMar>
              <w:top w:type="dxa" w:w="80"/>
              <w:left w:type="dxa" w:w="100"/>
              <w:bottom w:type="dxa" w:w="80"/>
              <w:right w:type="dxa" w:w="100"/>
            </w:tcMar>
            <w:vAlign w:val="center"/>
          </w:tcPr>
          <w:p>
            <w:r>
              <w:rPr>
                <w:b/>
                <w:bCs/>
                <w:color w:val="FFFFFF"/>
                <w:sz w:val="20"/>
                <w:szCs w:val="20"/>
              </w:rPr>
              <w:t xml:space="preserve">Contenu</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1. Cadrage</w:t>
            </w:r>
          </w:p>
        </w:tc>
        <w:tc>
          <w:tcPr>
            <w:tcW w:type="dxa" w:w="1600"/>
            <w:tcMar>
              <w:top w:type="dxa" w:w="80"/>
              <w:left w:type="dxa" w:w="100"/>
              <w:bottom w:type="dxa" w:w="80"/>
              <w:right w:type="dxa" w:w="100"/>
            </w:tcMar>
            <w:vAlign w:val="center"/>
          </w:tcPr>
          <w:p>
            <w:r>
              <w:rPr>
                <w:b w:val="false"/>
                <w:bCs w:val="false"/>
                <w:color w:val="000000"/>
                <w:sz w:val="20"/>
                <w:szCs w:val="20"/>
              </w:rPr>
              <w:t xml:space="preserve">S1</w:t>
            </w:r>
          </w:p>
        </w:tc>
        <w:tc>
          <w:tcPr>
            <w:tcW w:type="dxa" w:w="5300"/>
            <w:tcMar>
              <w:top w:type="dxa" w:w="80"/>
              <w:left w:type="dxa" w:w="100"/>
              <w:bottom w:type="dxa" w:w="80"/>
              <w:right w:type="dxa" w:w="100"/>
            </w:tcMar>
            <w:vAlign w:val="center"/>
          </w:tcPr>
          <w:p>
            <w:r>
              <w:rPr>
                <w:b w:val="false"/>
                <w:bCs w:val="false"/>
                <w:color w:val="000000"/>
                <w:sz w:val="20"/>
                <w:szCs w:val="20"/>
              </w:rPr>
              <w:t xml:space="preserve">Recueil détaillé des besoins, maquettes, validation du périmètre (section 3) avec le partenaire terrain.</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2. Socle technique</w:t>
            </w:r>
          </w:p>
        </w:tc>
        <w:tc>
          <w:tcPr>
            <w:tcW w:type="dxa" w:w="1600"/>
            <w:shd w:fill="F2F2F2" w:val="clear"/>
            <w:tcMar>
              <w:top w:type="dxa" w:w="80"/>
              <w:left w:type="dxa" w:w="100"/>
              <w:bottom w:type="dxa" w:w="80"/>
              <w:right w:type="dxa" w:w="100"/>
            </w:tcMar>
            <w:vAlign w:val="center"/>
          </w:tcPr>
          <w:p>
            <w:r>
              <w:rPr>
                <w:b w:val="false"/>
                <w:bCs w:val="false"/>
                <w:color w:val="000000"/>
                <w:sz w:val="20"/>
                <w:szCs w:val="20"/>
              </w:rPr>
              <w:t xml:space="preserve">S2</w:t>
            </w:r>
          </w:p>
        </w:tc>
        <w:tc>
          <w:tcPr>
            <w:tcW w:type="dxa" w:w="5300"/>
            <w:shd w:fill="F2F2F2" w:val="clear"/>
            <w:tcMar>
              <w:top w:type="dxa" w:w="80"/>
              <w:left w:type="dxa" w:w="100"/>
              <w:bottom w:type="dxa" w:w="80"/>
              <w:right w:type="dxa" w:w="100"/>
            </w:tcMar>
            <w:vAlign w:val="center"/>
          </w:tcPr>
          <w:p>
            <w:r>
              <w:rPr>
                <w:b w:val="false"/>
                <w:bCs w:val="false"/>
                <w:color w:val="000000"/>
                <w:sz w:val="20"/>
                <w:szCs w:val="20"/>
              </w:rPr>
              <w:t xml:space="preserve">Modèles Django cœur (Utilisateur, Patient, Consultation, DossierMédical), authentification et rôles.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3. Parcours de soins</w:t>
            </w:r>
          </w:p>
        </w:tc>
        <w:tc>
          <w:tcPr>
            <w:tcW w:type="dxa" w:w="1600"/>
            <w:tcMar>
              <w:top w:type="dxa" w:w="80"/>
              <w:left w:type="dxa" w:w="100"/>
              <w:bottom w:type="dxa" w:w="80"/>
              <w:right w:type="dxa" w:w="100"/>
            </w:tcMar>
            <w:vAlign w:val="center"/>
          </w:tcPr>
          <w:p>
            <w:r>
              <w:rPr>
                <w:b w:val="false"/>
                <w:bCs w:val="false"/>
                <w:color w:val="000000"/>
                <w:sz w:val="20"/>
                <w:szCs w:val="20"/>
              </w:rPr>
              <w:t xml:space="preserve">S3-S4</w:t>
            </w:r>
          </w:p>
        </w:tc>
        <w:tc>
          <w:tcPr>
            <w:tcW w:type="dxa" w:w="5300"/>
            <w:tcMar>
              <w:top w:type="dxa" w:w="80"/>
              <w:left w:type="dxa" w:w="100"/>
              <w:bottom w:type="dxa" w:w="80"/>
              <w:right w:type="dxa" w:w="100"/>
            </w:tcMar>
            <w:vAlign w:val="center"/>
          </w:tcPr>
          <w:p>
            <w:r>
              <w:rPr>
                <w:b w:val="false"/>
                <w:bCs w:val="false"/>
                <w:color w:val="000000"/>
                <w:sz w:val="20"/>
                <w:szCs w:val="20"/>
              </w:rPr>
              <w:t xml:space="preserve">Consultation, ordonnance, pharmacie (CRUD + règles de gestion).</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4. Hospitalisation</w:t>
            </w:r>
          </w:p>
        </w:tc>
        <w:tc>
          <w:tcPr>
            <w:tcW w:type="dxa" w:w="1600"/>
            <w:shd w:fill="F2F2F2" w:val="clear"/>
            <w:tcMar>
              <w:top w:type="dxa" w:w="80"/>
              <w:left w:type="dxa" w:w="100"/>
              <w:bottom w:type="dxa" w:w="80"/>
              <w:right w:type="dxa" w:w="100"/>
            </w:tcMar>
            <w:vAlign w:val="center"/>
          </w:tcPr>
          <w:p>
            <w:r>
              <w:rPr>
                <w:b w:val="false"/>
                <w:bCs w:val="false"/>
                <w:color w:val="000000"/>
                <w:sz w:val="20"/>
                <w:szCs w:val="20"/>
              </w:rPr>
              <w:t xml:space="preserve">S5</w:t>
            </w:r>
          </w:p>
        </w:tc>
        <w:tc>
          <w:tcPr>
            <w:tcW w:type="dxa" w:w="5300"/>
            <w:shd w:fill="F2F2F2" w:val="clear"/>
            <w:tcMar>
              <w:top w:type="dxa" w:w="80"/>
              <w:left w:type="dxa" w:w="100"/>
              <w:bottom w:type="dxa" w:w="80"/>
              <w:right w:type="dxa" w:w="100"/>
            </w:tcMar>
            <w:vAlign w:val="center"/>
          </w:tcPr>
          <w:p>
            <w:r>
              <w:rPr>
                <w:b w:val="false"/>
                <w:bCs w:val="false"/>
                <w:color w:val="000000"/>
                <w:sz w:val="20"/>
                <w:szCs w:val="20"/>
              </w:rPr>
              <w:t xml:space="preserve">Admission, lits, suivi, sortie.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5. Bloc opératoire</w:t>
            </w:r>
          </w:p>
        </w:tc>
        <w:tc>
          <w:tcPr>
            <w:tcW w:type="dxa" w:w="1600"/>
            <w:tcMar>
              <w:top w:type="dxa" w:w="80"/>
              <w:left w:type="dxa" w:w="100"/>
              <w:bottom w:type="dxa" w:w="80"/>
              <w:right w:type="dxa" w:w="100"/>
            </w:tcMar>
            <w:vAlign w:val="center"/>
          </w:tcPr>
          <w:p>
            <w:r>
              <w:rPr>
                <w:b w:val="false"/>
                <w:bCs w:val="false"/>
                <w:color w:val="000000"/>
                <w:sz w:val="20"/>
                <w:szCs w:val="20"/>
              </w:rPr>
              <w:t xml:space="preserve">S6-S7</w:t>
            </w:r>
          </w:p>
        </w:tc>
        <w:tc>
          <w:tcPr>
            <w:tcW w:type="dxa" w:w="5300"/>
            <w:tcMar>
              <w:top w:type="dxa" w:w="80"/>
              <w:left w:type="dxa" w:w="100"/>
              <w:bottom w:type="dxa" w:w="80"/>
              <w:right w:type="dxa" w:w="100"/>
            </w:tcMar>
            <w:vAlign w:val="center"/>
          </w:tcPr>
          <w:p>
            <w:r>
              <w:rPr>
                <w:b w:val="false"/>
                <w:bCs w:val="false"/>
                <w:color w:val="000000"/>
                <w:sz w:val="20"/>
                <w:szCs w:val="20"/>
              </w:rPr>
              <w:t xml:space="preserve">Module complet section 5 : planning salles, équipes, checklist, compte-rendu.</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6. Facturation &amp; assurances</w:t>
            </w:r>
          </w:p>
        </w:tc>
        <w:tc>
          <w:tcPr>
            <w:tcW w:type="dxa" w:w="1600"/>
            <w:shd w:fill="F2F2F2" w:val="clear"/>
            <w:tcMar>
              <w:top w:type="dxa" w:w="80"/>
              <w:left w:type="dxa" w:w="100"/>
              <w:bottom w:type="dxa" w:w="80"/>
              <w:right w:type="dxa" w:w="100"/>
            </w:tcMar>
            <w:vAlign w:val="center"/>
          </w:tcPr>
          <w:p>
            <w:r>
              <w:rPr>
                <w:b w:val="false"/>
                <w:bCs w:val="false"/>
                <w:color w:val="000000"/>
                <w:sz w:val="20"/>
                <w:szCs w:val="20"/>
              </w:rPr>
              <w:t xml:space="preserve">S8</w:t>
            </w:r>
          </w:p>
        </w:tc>
        <w:tc>
          <w:tcPr>
            <w:tcW w:type="dxa" w:w="5300"/>
            <w:shd w:fill="F2F2F2" w:val="clear"/>
            <w:tcMar>
              <w:top w:type="dxa" w:w="80"/>
              <w:left w:type="dxa" w:w="100"/>
              <w:bottom w:type="dxa" w:w="80"/>
              <w:right w:type="dxa" w:w="100"/>
            </w:tcMar>
            <w:vAlign w:val="center"/>
          </w:tcPr>
          <w:p>
            <w:r>
              <w:rPr>
                <w:b w:val="false"/>
                <w:bCs w:val="false"/>
                <w:color w:val="000000"/>
                <w:sz w:val="20"/>
                <w:szCs w:val="20"/>
              </w:rPr>
              <w:t xml:space="preserve">Facturation automatisée, paiements, gestion des assurances.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7. Analyses &amp; imagerie</w:t>
            </w:r>
          </w:p>
        </w:tc>
        <w:tc>
          <w:tcPr>
            <w:tcW w:type="dxa" w:w="1600"/>
            <w:tcMar>
              <w:top w:type="dxa" w:w="80"/>
              <w:left w:type="dxa" w:w="100"/>
              <w:bottom w:type="dxa" w:w="80"/>
              <w:right w:type="dxa" w:w="100"/>
            </w:tcMar>
            <w:vAlign w:val="center"/>
          </w:tcPr>
          <w:p>
            <w:r>
              <w:rPr>
                <w:b w:val="false"/>
                <w:bCs w:val="false"/>
                <w:color w:val="000000"/>
                <w:sz w:val="20"/>
                <w:szCs w:val="20"/>
              </w:rPr>
              <w:t xml:space="preserve">S9</w:t>
            </w:r>
          </w:p>
        </w:tc>
        <w:tc>
          <w:tcPr>
            <w:tcW w:type="dxa" w:w="5300"/>
            <w:tcMar>
              <w:top w:type="dxa" w:w="80"/>
              <w:left w:type="dxa" w:w="100"/>
              <w:bottom w:type="dxa" w:w="80"/>
              <w:right w:type="dxa" w:w="100"/>
            </w:tcMar>
            <w:vAlign w:val="center"/>
          </w:tcPr>
          <w:p>
            <w:r>
              <w:rPr>
                <w:b w:val="false"/>
                <w:bCs w:val="false"/>
                <w:color w:val="000000"/>
                <w:sz w:val="20"/>
                <w:szCs w:val="20"/>
              </w:rPr>
              <w:t xml:space="preserve">Demandes et résultats d'analyses/imagerie.</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8. Multilinguisme</w:t>
            </w:r>
          </w:p>
        </w:tc>
        <w:tc>
          <w:tcPr>
            <w:tcW w:type="dxa" w:w="1600"/>
            <w:shd w:fill="F2F2F2" w:val="clear"/>
            <w:tcMar>
              <w:top w:type="dxa" w:w="80"/>
              <w:left w:type="dxa" w:w="100"/>
              <w:bottom w:type="dxa" w:w="80"/>
              <w:right w:type="dxa" w:w="100"/>
            </w:tcMar>
            <w:vAlign w:val="center"/>
          </w:tcPr>
          <w:p>
            <w:r>
              <w:rPr>
                <w:b w:val="false"/>
                <w:bCs w:val="false"/>
                <w:color w:val="000000"/>
                <w:sz w:val="20"/>
                <w:szCs w:val="20"/>
              </w:rPr>
              <w:t xml:space="preserve">S10</w:t>
            </w:r>
          </w:p>
        </w:tc>
        <w:tc>
          <w:tcPr>
            <w:tcW w:type="dxa" w:w="5300"/>
            <w:shd w:fill="F2F2F2" w:val="clear"/>
            <w:tcMar>
              <w:top w:type="dxa" w:w="80"/>
              <w:left w:type="dxa" w:w="100"/>
              <w:bottom w:type="dxa" w:w="80"/>
              <w:right w:type="dxa" w:w="100"/>
            </w:tcMar>
            <w:vAlign w:val="center"/>
          </w:tcPr>
          <w:p>
            <w:r>
              <w:rPr>
                <w:b w:val="false"/>
                <w:bCs w:val="false"/>
                <w:color w:val="000000"/>
                <w:sz w:val="20"/>
                <w:szCs w:val="20"/>
              </w:rPr>
              <w:t xml:space="preserve">Intégration i18n, traduction fr/en/ar (arabe et RTL), puis bambara/peulh/soninké selon disponibilité des traducteurs.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9. Statistiques &amp; exports</w:t>
            </w:r>
          </w:p>
        </w:tc>
        <w:tc>
          <w:tcPr>
            <w:tcW w:type="dxa" w:w="1600"/>
            <w:tcMar>
              <w:top w:type="dxa" w:w="80"/>
              <w:left w:type="dxa" w:w="100"/>
              <w:bottom w:type="dxa" w:w="80"/>
              <w:right w:type="dxa" w:w="100"/>
            </w:tcMar>
            <w:vAlign w:val="center"/>
          </w:tcPr>
          <w:p>
            <w:r>
              <w:rPr>
                <w:b w:val="false"/>
                <w:bCs w:val="false"/>
                <w:color w:val="000000"/>
                <w:sz w:val="20"/>
                <w:szCs w:val="20"/>
              </w:rPr>
              <w:t xml:space="preserve">S11</w:t>
            </w:r>
          </w:p>
        </w:tc>
        <w:tc>
          <w:tcPr>
            <w:tcW w:type="dxa" w:w="5300"/>
            <w:tcMar>
              <w:top w:type="dxa" w:w="80"/>
              <w:left w:type="dxa" w:w="100"/>
              <w:bottom w:type="dxa" w:w="80"/>
              <w:right w:type="dxa" w:w="100"/>
            </w:tcMar>
            <w:vAlign w:val="center"/>
          </w:tcPr>
          <w:p>
            <w:r>
              <w:rPr>
                <w:b w:val="false"/>
                <w:bCs w:val="false"/>
                <w:color w:val="000000"/>
                <w:sz w:val="20"/>
                <w:szCs w:val="20"/>
              </w:rPr>
              <w:t xml:space="preserve">Tableaux de bord, export PDF/Excel sur l'ensemble des modules.</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10. Tests, recette, documentation</w:t>
            </w:r>
          </w:p>
        </w:tc>
        <w:tc>
          <w:tcPr>
            <w:tcW w:type="dxa" w:w="1600"/>
            <w:shd w:fill="F2F2F2" w:val="clear"/>
            <w:tcMar>
              <w:top w:type="dxa" w:w="80"/>
              <w:left w:type="dxa" w:w="100"/>
              <w:bottom w:type="dxa" w:w="80"/>
              <w:right w:type="dxa" w:w="100"/>
            </w:tcMar>
            <w:vAlign w:val="center"/>
          </w:tcPr>
          <w:p>
            <w:r>
              <w:rPr>
                <w:b w:val="false"/>
                <w:bCs w:val="false"/>
                <w:color w:val="000000"/>
                <w:sz w:val="20"/>
                <w:szCs w:val="20"/>
              </w:rPr>
              <w:t xml:space="preserve">S12</w:t>
            </w:r>
          </w:p>
        </w:tc>
        <w:tc>
          <w:tcPr>
            <w:tcW w:type="dxa" w:w="5300"/>
            <w:shd w:fill="F2F2F2" w:val="clear"/>
            <w:tcMar>
              <w:top w:type="dxa" w:w="80"/>
              <w:left w:type="dxa" w:w="100"/>
              <w:bottom w:type="dxa" w:w="80"/>
              <w:right w:type="dxa" w:w="100"/>
            </w:tcMar>
            <w:vAlign w:val="center"/>
          </w:tcPr>
          <w:p>
            <w:r>
              <w:rPr>
                <w:b w:val="false"/>
                <w:bCs w:val="false"/>
                <w:color w:val="000000"/>
                <w:sz w:val="20"/>
                <w:szCs w:val="20"/>
              </w:rPr>
              <w:t xml:space="preserve">Tests fonctionnels, correction, rédaction du rapport et préparation de la soutenance.</w:t>
            </w:r>
          </w:p>
        </w:tc>
      </w:tr>
    </w:tbl>
    <w:p>
      <w:r>
        <w:br w:type="page"/>
      </w:r>
    </w:p>
    <w:p>
      <w:pPr>
        <w:pStyle w:val="Heading1"/>
        <w:pBdr>
          <w:bottom w:val="single" w:color="1F3864" w:sz="6" w:space="4"/>
        </w:pBdr>
        <w:spacing w:after="200" w:before="400"/>
      </w:pPr>
      <w:r>
        <w:rPr>
          <w:b/>
          <w:bCs/>
          <w:color w:val="1F3864"/>
          <w:sz w:val="30"/>
          <w:szCs w:val="30"/>
        </w:rPr>
        <w:t xml:space="preserve">12. Analyse de faisabilité</w:t>
      </w:r>
    </w:p>
    <w:p>
      <w:pPr>
        <w:pBdr>
          <w:left w:val="single" w:color="C00000" w:sz="18" w:space="8"/>
        </w:pBdr>
        <w:shd w:fill="F2F2F2" w:val="clear"/>
        <w:spacing w:after="160" w:before="100"/>
        <w:ind w:left="200"/>
      </w:pPr>
      <w:r>
        <w:rPr>
          <w:b/>
          <w:bCs/>
          <w:i/>
          <w:iCs/>
          <w:color w:val="C00000"/>
          <w:sz w:val="20"/>
          <w:szCs w:val="20"/>
        </w:rPr>
        <w:t xml:space="preserve">Ajout demandé — </w:t>
      </w:r>
      <w:r>
        <w:rPr>
          <w:i/>
          <w:iCs/>
          <w:color w:val="444444"/>
          <w:sz w:val="20"/>
          <w:szCs w:val="20"/>
        </w:rPr>
        <w:t xml:space="preserve">Section ajoutée à la demande, en réponse directe à la question « quelle est la faisabilité de ce projet ? ». Elle synthétise une appréciation par dimension (technique, temporelle, organisationnelle, financière) puis conclut sur un avis global et des recommandations.</w:t>
      </w:r>
    </w:p>
    <w:p>
      <w:pPr>
        <w:pStyle w:val="Heading2"/>
        <w:spacing w:after="140" w:before="280"/>
      </w:pPr>
      <w:r>
        <w:rPr>
          <w:b/>
          <w:bCs/>
          <w:color w:val="2E74B5"/>
          <w:sz w:val="25"/>
          <w:szCs w:val="25"/>
        </w:rPr>
        <w:t xml:space="preserve">12.1 Faisabilité technique — Élevée</w:t>
      </w:r>
    </w:p>
    <w:p>
      <w:pPr>
        <w:spacing w:after="140" w:line="300"/>
        <w:jc w:val="both"/>
      </w:pPr>
      <w:r>
        <w:rPr>
          <w:sz w:val="21"/>
          <w:szCs w:val="21"/>
        </w:rPr>
        <w:t xml:space="preserve">Le choix de Django (backend) et Django REST Framework est éprouvé pour ce type d'application de gestion (CRUD riche, back-office, sécurité intégrée, ORM mature). Aucune des fonctionnalités décrites, y compris le module bloc opératoire, ne nécessite de technologie exotique ou de recherche préalable : il s'agit d'un travail de modélisation de données et de développement d'écrans de gestion, domaine bien couvert par l'écosystème Django (Django admin, django-i18n, django-import-export, DRF). Le seul point techniquement délicat est la gestion fine des conflits de planning du bloc opératoire (règles de non-chevauchement salle/équipe), qui reste néanmoins un problème classique de contraintes temporelles, résoluble avec des requêtes de recouvrement d'intervalles standard.</w:t>
      </w:r>
    </w:p>
    <w:p>
      <w:pPr>
        <w:spacing w:after="140" w:line="300"/>
        <w:jc w:val="both"/>
      </w:pPr>
      <w:r>
        <w:rPr>
          <w:sz w:val="21"/>
          <w:szCs w:val="21"/>
        </w:rPr>
        <w:t xml:space="preserve">Points de vigilance techniques : la gestion de fichiers d'imagerie médicale (poids, format) nécessitera un stockage adapté (section 8) ; la connectivité internet variable impose une attention à l'optimisation des performances côté client (section 7.2).</w:t>
      </w:r>
    </w:p>
    <w:p>
      <w:pPr>
        <w:pStyle w:val="Heading2"/>
        <w:spacing w:after="140" w:before="280"/>
      </w:pPr>
      <w:r>
        <w:rPr>
          <w:b/>
          <w:bCs/>
          <w:color w:val="2E74B5"/>
          <w:sz w:val="25"/>
          <w:szCs w:val="25"/>
        </w:rPr>
        <w:t xml:space="preserve">12.2 Faisabilité temporelle — Faible à l'origine, acceptable après révision</w:t>
      </w:r>
    </w:p>
    <w:p>
      <w:pPr>
        <w:spacing w:after="140" w:line="300"/>
        <w:jc w:val="both"/>
      </w:pPr>
      <w:r>
        <w:rPr>
          <w:sz w:val="21"/>
          <w:szCs w:val="21"/>
        </w:rPr>
        <w:t xml:space="preserve">Le planning initial de 6 semaines est sous-dimensionné au regard du périmètre fonctionnel annoncé (9 modules métiers, 6 langues, exports, statistiques) : il correspond au mieux au développement du cœur patient/consultation/ordonnance, sans le bloc opératoire, la facturation avancée, les assurances, ni la traduction complète. À titre de repère, un développeur seul produit en moyenne un module CRUD simple par semaine (modèles + vues + formulaires + tests basiques) ; les modules à règles de gestion complexes (bloc opératoire, facturation) demandent typiquement 1,5 à 2 semaines chacun.</w:t>
      </w:r>
    </w:p>
    <w:p>
      <w:pPr>
        <w:spacing w:after="140" w:line="300"/>
        <w:jc w:val="both"/>
      </w:pPr>
      <w:r>
        <w:rPr>
          <w:sz w:val="21"/>
          <w:szCs w:val="21"/>
        </w:rPr>
        <w:t xml:space="preserve">Le planning révisé à 12 semaines proposé en section 11.2 est jugé réaliste pour livrer l'ensemble du périmètre V1 décrit en section 3.1, à condition de traiter la traduction en langues locales comme une tâche parallèle (recours à un ou plusieurs locuteurs natifs) plutôt que séquentielle, et d'accepter une version « bêta » des modules statistiques en fin de parcours.</w:t>
      </w:r>
    </w:p>
    <w:p>
      <w:pPr>
        <w:pStyle w:val="Heading2"/>
        <w:spacing w:after="140" w:before="280"/>
      </w:pPr>
      <w:r>
        <w:rPr>
          <w:b/>
          <w:bCs/>
          <w:color w:val="2E74B5"/>
          <w:sz w:val="25"/>
          <w:szCs w:val="25"/>
        </w:rPr>
        <w:t xml:space="preserve">12.3 Faisabilité organisationnelle et humaine — Moyenne, dépend du partenaire terrain</w:t>
      </w:r>
    </w:p>
    <w:p>
      <w:pPr>
        <w:pStyle w:val="ListParagraph"/>
        <w:numPr>
          <w:ilvl w:val="0"/>
          <w:numId w:val="2"/>
        </w:numPr>
        <w:spacing w:after="60" w:line="280"/>
      </w:pPr>
      <w:r>
        <w:rPr>
          <w:b w:val="false"/>
          <w:bCs w:val="false"/>
          <w:sz w:val="21"/>
          <w:szCs w:val="21"/>
        </w:rPr>
        <w:t xml:space="preserve">Le projet nécessite un accès régulier à des utilisateurs métiers réels (médecin, infirmier, pharmacien, personnel de bloc) pour valider les règles de gestion, en particulier pour le module bloc opératoire dont les processus (checklist, urgences) doivent être calés sur les pratiques réelles de l'établissement partenaire.</w:t>
      </w:r>
    </w:p>
    <w:p>
      <w:pPr>
        <w:pStyle w:val="ListParagraph"/>
        <w:numPr>
          <w:ilvl w:val="0"/>
          <w:numId w:val="2"/>
        </w:numPr>
        <w:spacing w:after="60" w:line="280"/>
      </w:pPr>
      <w:r>
        <w:rPr>
          <w:b w:val="false"/>
          <w:bCs w:val="false"/>
          <w:sz w:val="21"/>
          <w:szCs w:val="21"/>
        </w:rPr>
        <w:t xml:space="preserve">La traduction en bambara, peulh et soninké dépend de la disponibilité de locuteurs natifs volontaires ou rémunérés : ce point est un facteur de risque externe au développement logiciel (section 12.5).</w:t>
      </w:r>
    </w:p>
    <w:p>
      <w:pPr>
        <w:pStyle w:val="ListParagraph"/>
        <w:numPr>
          <w:ilvl w:val="0"/>
          <w:numId w:val="2"/>
        </w:numPr>
        <w:spacing w:after="60" w:line="280"/>
      </w:pPr>
      <w:r>
        <w:rPr>
          <w:b w:val="false"/>
          <w:bCs w:val="false"/>
          <w:sz w:val="21"/>
          <w:szCs w:val="21"/>
        </w:rPr>
        <w:t xml:space="preserve">Si le projet est porté par une seule personne (développeur), le cumul des rôles (analyse, développement, tests, rédaction du mémoire) est un facteur de charge à anticiper dans le planning.</w:t>
      </w:r>
    </w:p>
    <w:p>
      <w:pPr>
        <w:pStyle w:val="Heading2"/>
        <w:spacing w:after="140" w:before="280"/>
      </w:pPr>
      <w:r>
        <w:rPr>
          <w:b/>
          <w:bCs/>
          <w:color w:val="2E74B5"/>
          <w:sz w:val="25"/>
          <w:szCs w:val="25"/>
        </w:rPr>
        <w:t xml:space="preserve">12.4 Faisabilité financière — Favorable pour un MVP, à réévaluer pour une mise en production</w:t>
      </w:r>
    </w:p>
    <w:p>
      <w:pPr>
        <w:spacing w:after="140" w:line="300"/>
        <w:jc w:val="both"/>
      </w:pPr>
      <w:r>
        <w:rPr>
          <w:sz w:val="21"/>
          <w:szCs w:val="21"/>
        </w:rPr>
        <w:t xml:space="preserve">Les technologies retenues sont open source (Django, PostgreSQL) et les hébergeurs cités (Render, Railway) proposent des offres gratuites ou à faible coût suffisantes pour une démonstration de mémoire. Le coût principal réside dans le temps de développement plutôt que dans des licences logicielles. Pour un déploiement réel en établissement de santé, il faudra prévoir un budget d'hébergement à disponibilité renforcée, de sauvegarde, et potentiellement de support technique post-soutenance — ce budget n'entre pas dans le périmètre du mémoire mais doit être mentionné comme perspective (section 13).</w:t>
      </w:r>
    </w:p>
    <w:p>
      <w:pPr>
        <w:pStyle w:val="Heading2"/>
        <w:spacing w:after="140" w:before="280"/>
      </w:pPr>
      <w:r>
        <w:rPr>
          <w:b/>
          <w:bCs/>
          <w:color w:val="2E74B5"/>
          <w:sz w:val="25"/>
          <w:szCs w:val="25"/>
        </w:rPr>
        <w:t xml:space="preserve">12.5 Risques identifiés et mesures de mitigation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700"/>
      </w:tblGrid>
      <w:tr>
        <w:trPr>
          <w:tblHeader/>
        </w:trPr>
        <w:tc>
          <w:tcPr>
            <w:tcW w:type="dxa" w:w="3400"/>
            <w:shd w:fill="1F3864" w:val="clear"/>
            <w:tcMar>
              <w:top w:type="dxa" w:w="80"/>
              <w:left w:type="dxa" w:w="100"/>
              <w:bottom w:type="dxa" w:w="80"/>
              <w:right w:type="dxa" w:w="100"/>
            </w:tcMar>
            <w:vAlign w:val="center"/>
          </w:tcPr>
          <w:p>
            <w:r>
              <w:rPr>
                <w:b/>
                <w:bCs/>
                <w:color w:val="FFFFFF"/>
                <w:sz w:val="20"/>
                <w:szCs w:val="20"/>
              </w:rPr>
              <w:t xml:space="preserve">Risque</w:t>
            </w:r>
          </w:p>
        </w:tc>
        <w:tc>
          <w:tcPr>
            <w:tcW w:type="dxa" w:w="1400"/>
            <w:shd w:fill="1F3864" w:val="clear"/>
            <w:tcMar>
              <w:top w:type="dxa" w:w="80"/>
              <w:left w:type="dxa" w:w="100"/>
              <w:bottom w:type="dxa" w:w="80"/>
              <w:right w:type="dxa" w:w="100"/>
            </w:tcMar>
            <w:vAlign w:val="center"/>
          </w:tcPr>
          <w:p>
            <w:r>
              <w:rPr>
                <w:b/>
                <w:bCs/>
                <w:color w:val="FFFFFF"/>
                <w:sz w:val="20"/>
                <w:szCs w:val="20"/>
              </w:rPr>
              <w:t xml:space="preserve">Impact</w:t>
            </w:r>
          </w:p>
        </w:tc>
        <w:tc>
          <w:tcPr>
            <w:tcW w:type="dxa" w:w="4700"/>
            <w:shd w:fill="1F3864" w:val="clear"/>
            <w:tcMar>
              <w:top w:type="dxa" w:w="80"/>
              <w:left w:type="dxa" w:w="100"/>
              <w:bottom w:type="dxa" w:w="80"/>
              <w:right w:type="dxa" w:w="100"/>
            </w:tcMar>
            <w:vAlign w:val="center"/>
          </w:tcPr>
          <w:p>
            <w:r>
              <w:rPr>
                <w:b/>
                <w:bCs/>
                <w:color w:val="FFFFFF"/>
                <w:sz w:val="20"/>
                <w:szCs w:val="20"/>
              </w:rPr>
              <w:t xml:space="preserve">Mesure de mitigation</w:t>
            </w:r>
          </w:p>
        </w:tc>
      </w:tr>
      <w:tr>
        <w:tc>
          <w:tcPr>
            <w:tcW w:type="dxa" w:w="3400"/>
            <w:tcMar>
              <w:top w:type="dxa" w:w="80"/>
              <w:left w:type="dxa" w:w="100"/>
              <w:bottom w:type="dxa" w:w="80"/>
              <w:right w:type="dxa" w:w="100"/>
            </w:tcMar>
            <w:vAlign w:val="center"/>
          </w:tcPr>
          <w:p>
            <w:r>
              <w:rPr>
                <w:b w:val="false"/>
                <w:bCs w:val="false"/>
                <w:color w:val="000000"/>
                <w:sz w:val="20"/>
                <w:szCs w:val="20"/>
              </w:rPr>
              <w:t xml:space="preserve">Périmètre trop large pour le délai disponible</w:t>
            </w:r>
          </w:p>
        </w:tc>
        <w:tc>
          <w:tcPr>
            <w:tcW w:type="dxa" w:w="1400"/>
            <w:tcMar>
              <w:top w:type="dxa" w:w="80"/>
              <w:left w:type="dxa" w:w="100"/>
              <w:bottom w:type="dxa" w:w="80"/>
              <w:right w:type="dxa" w:w="100"/>
            </w:tcMar>
            <w:vAlign w:val="center"/>
          </w:tcPr>
          <w:p>
            <w:r>
              <w:rPr>
                <w:b w:val="false"/>
                <w:bCs w:val="false"/>
                <w:color w:val="000000"/>
                <w:sz w:val="20"/>
                <w:szCs w:val="20"/>
              </w:rPr>
              <w:t xml:space="preserve">Élevé</w:t>
            </w:r>
          </w:p>
        </w:tc>
        <w:tc>
          <w:tcPr>
            <w:tcW w:type="dxa" w:w="4700"/>
            <w:tcMar>
              <w:top w:type="dxa" w:w="80"/>
              <w:left w:type="dxa" w:w="100"/>
              <w:bottom w:type="dxa" w:w="80"/>
              <w:right w:type="dxa" w:w="100"/>
            </w:tcMar>
            <w:vAlign w:val="center"/>
          </w:tcPr>
          <w:p>
            <w:r>
              <w:rPr>
                <w:b w:val="false"/>
                <w:bCs w:val="false"/>
                <w:color w:val="000000"/>
                <w:sz w:val="20"/>
                <w:szCs w:val="20"/>
              </w:rPr>
              <w:t xml:space="preserve">Prioriser le périmètre V1 (section 3.1) ; découper en lots livrables indépendamment (section 11.2).</w:t>
            </w:r>
          </w:p>
        </w:tc>
      </w:tr>
      <w:tr>
        <w:tc>
          <w:tcPr>
            <w:tcW w:type="dxa" w:w="3400"/>
            <w:shd w:fill="F2F2F2" w:val="clear"/>
            <w:tcMar>
              <w:top w:type="dxa" w:w="80"/>
              <w:left w:type="dxa" w:w="100"/>
              <w:bottom w:type="dxa" w:w="80"/>
              <w:right w:type="dxa" w:w="100"/>
            </w:tcMar>
            <w:vAlign w:val="center"/>
          </w:tcPr>
          <w:p>
            <w:r>
              <w:rPr>
                <w:b w:val="false"/>
                <w:bCs w:val="false"/>
                <w:color w:val="000000"/>
                <w:sz w:val="20"/>
                <w:szCs w:val="20"/>
              </w:rPr>
              <w:t xml:space="preserve">Indisponibilité de traducteurs natifs (bambara/peulh/soninké)</w:t>
            </w:r>
          </w:p>
        </w:tc>
        <w:tc>
          <w:tcPr>
            <w:tcW w:type="dxa" w:w="1400"/>
            <w:shd w:fill="F2F2F2" w:val="clear"/>
            <w:tcMar>
              <w:top w:type="dxa" w:w="80"/>
              <w:left w:type="dxa" w:w="100"/>
              <w:bottom w:type="dxa" w:w="80"/>
              <w:right w:type="dxa" w:w="100"/>
            </w:tcMar>
            <w:vAlign w:val="center"/>
          </w:tcPr>
          <w:p>
            <w:r>
              <w:rPr>
                <w:b w:val="false"/>
                <w:bCs w:val="false"/>
                <w:color w:val="000000"/>
                <w:sz w:val="20"/>
                <w:szCs w:val="20"/>
              </w:rPr>
              <w:t xml:space="preserve">Moyen</w:t>
            </w:r>
          </w:p>
        </w:tc>
        <w:tc>
          <w:tcPr>
            <w:tcW w:type="dxa" w:w="4700"/>
            <w:shd w:fill="F2F2F2" w:val="clear"/>
            <w:tcMar>
              <w:top w:type="dxa" w:w="80"/>
              <w:left w:type="dxa" w:w="100"/>
              <w:bottom w:type="dxa" w:w="80"/>
              <w:right w:type="dxa" w:w="100"/>
            </w:tcMar>
            <w:vAlign w:val="center"/>
          </w:tcPr>
          <w:p>
            <w:r>
              <w:rPr>
                <w:b w:val="false"/>
                <w:bCs w:val="false"/>
                <w:color w:val="000000"/>
                <w:sz w:val="20"/>
                <w:szCs w:val="20"/>
              </w:rPr>
              <w:t xml:space="preserve">Démarrer la traduction fr/en/ar en priorité ; traiter les langues locales en parallèle, quitte à livrer une V1 partiellement traduite.</w:t>
            </w:r>
          </w:p>
        </w:tc>
      </w:tr>
      <w:tr>
        <w:tc>
          <w:tcPr>
            <w:tcW w:type="dxa" w:w="3400"/>
            <w:tcMar>
              <w:top w:type="dxa" w:w="80"/>
              <w:left w:type="dxa" w:w="100"/>
              <w:bottom w:type="dxa" w:w="80"/>
              <w:right w:type="dxa" w:w="100"/>
            </w:tcMar>
            <w:vAlign w:val="center"/>
          </w:tcPr>
          <w:p>
            <w:r>
              <w:rPr>
                <w:b w:val="false"/>
                <w:bCs w:val="false"/>
                <w:color w:val="000000"/>
                <w:sz w:val="20"/>
                <w:szCs w:val="20"/>
              </w:rPr>
              <w:t xml:space="preserve">Règles de gestion du bloc opératoire mal calées sur la pratique réelle</w:t>
            </w:r>
          </w:p>
        </w:tc>
        <w:tc>
          <w:tcPr>
            <w:tcW w:type="dxa" w:w="1400"/>
            <w:tcMar>
              <w:top w:type="dxa" w:w="80"/>
              <w:left w:type="dxa" w:w="100"/>
              <w:bottom w:type="dxa" w:w="80"/>
              <w:right w:type="dxa" w:w="100"/>
            </w:tcMar>
            <w:vAlign w:val="center"/>
          </w:tcPr>
          <w:p>
            <w:r>
              <w:rPr>
                <w:b w:val="false"/>
                <w:bCs w:val="false"/>
                <w:color w:val="000000"/>
                <w:sz w:val="20"/>
                <w:szCs w:val="20"/>
              </w:rPr>
              <w:t xml:space="preserve">Moyen</w:t>
            </w:r>
          </w:p>
        </w:tc>
        <w:tc>
          <w:tcPr>
            <w:tcW w:type="dxa" w:w="4700"/>
            <w:tcMar>
              <w:top w:type="dxa" w:w="80"/>
              <w:left w:type="dxa" w:w="100"/>
              <w:bottom w:type="dxa" w:w="80"/>
              <w:right w:type="dxa" w:w="100"/>
            </w:tcMar>
            <w:vAlign w:val="center"/>
          </w:tcPr>
          <w:p>
            <w:r>
              <w:rPr>
                <w:b w:val="false"/>
                <w:bCs w:val="false"/>
                <w:color w:val="000000"/>
                <w:sz w:val="20"/>
                <w:szCs w:val="20"/>
              </w:rPr>
              <w:t xml:space="preserve">Valider la section 5 avec un professionnel de santé/chirurgien avant développement ; itérer par prototype.</w:t>
            </w:r>
          </w:p>
        </w:tc>
      </w:tr>
      <w:tr>
        <w:tc>
          <w:tcPr>
            <w:tcW w:type="dxa" w:w="3400"/>
            <w:shd w:fill="F2F2F2" w:val="clear"/>
            <w:tcMar>
              <w:top w:type="dxa" w:w="80"/>
              <w:left w:type="dxa" w:w="100"/>
              <w:bottom w:type="dxa" w:w="80"/>
              <w:right w:type="dxa" w:w="100"/>
            </w:tcMar>
            <w:vAlign w:val="center"/>
          </w:tcPr>
          <w:p>
            <w:r>
              <w:rPr>
                <w:b w:val="false"/>
                <w:bCs w:val="false"/>
                <w:color w:val="000000"/>
                <w:sz w:val="20"/>
                <w:szCs w:val="20"/>
              </w:rPr>
              <w:t xml:space="preserve">Données médicales sensibles mal protégées</w:t>
            </w:r>
          </w:p>
        </w:tc>
        <w:tc>
          <w:tcPr>
            <w:tcW w:type="dxa" w:w="1400"/>
            <w:shd w:fill="F2F2F2" w:val="clear"/>
            <w:tcMar>
              <w:top w:type="dxa" w:w="80"/>
              <w:left w:type="dxa" w:w="100"/>
              <w:bottom w:type="dxa" w:w="80"/>
              <w:right w:type="dxa" w:w="100"/>
            </w:tcMar>
            <w:vAlign w:val="center"/>
          </w:tcPr>
          <w:p>
            <w:r>
              <w:rPr>
                <w:b w:val="false"/>
                <w:bCs w:val="false"/>
                <w:color w:val="000000"/>
                <w:sz w:val="20"/>
                <w:szCs w:val="20"/>
              </w:rPr>
              <w:t xml:space="preserve">Élevé</w:t>
            </w:r>
          </w:p>
        </w:tc>
        <w:tc>
          <w:tcPr>
            <w:tcW w:type="dxa" w:w="4700"/>
            <w:shd w:fill="F2F2F2" w:val="clear"/>
            <w:tcMar>
              <w:top w:type="dxa" w:w="80"/>
              <w:left w:type="dxa" w:w="100"/>
              <w:bottom w:type="dxa" w:w="80"/>
              <w:right w:type="dxa" w:w="100"/>
            </w:tcMar>
            <w:vAlign w:val="center"/>
          </w:tcPr>
          <w:p>
            <w:r>
              <w:rPr>
                <w:b w:val="false"/>
                <w:bCs w:val="false"/>
                <w:color w:val="000000"/>
                <w:sz w:val="20"/>
                <w:szCs w:val="20"/>
              </w:rPr>
              <w:t xml:space="preserve">Appliquer strictement les exigences de sécurité (section 7.1) ; limiter les données de démonstration à des jeux fictifs.</w:t>
            </w:r>
          </w:p>
        </w:tc>
      </w:tr>
      <w:tr>
        <w:tc>
          <w:tcPr>
            <w:tcW w:type="dxa" w:w="3400"/>
            <w:tcMar>
              <w:top w:type="dxa" w:w="80"/>
              <w:left w:type="dxa" w:w="100"/>
              <w:bottom w:type="dxa" w:w="80"/>
              <w:right w:type="dxa" w:w="100"/>
            </w:tcMar>
            <w:vAlign w:val="center"/>
          </w:tcPr>
          <w:p>
            <w:r>
              <w:rPr>
                <w:b w:val="false"/>
                <w:bCs w:val="false"/>
                <w:color w:val="000000"/>
                <w:sz w:val="20"/>
                <w:szCs w:val="20"/>
              </w:rPr>
              <w:t xml:space="preserve">Connectivité internet limitée en conditions réelles</w:t>
            </w:r>
          </w:p>
        </w:tc>
        <w:tc>
          <w:tcPr>
            <w:tcW w:type="dxa" w:w="1400"/>
            <w:tcMar>
              <w:top w:type="dxa" w:w="80"/>
              <w:left w:type="dxa" w:w="100"/>
              <w:bottom w:type="dxa" w:w="80"/>
              <w:right w:type="dxa" w:w="100"/>
            </w:tcMar>
            <w:vAlign w:val="center"/>
          </w:tcPr>
          <w:p>
            <w:r>
              <w:rPr>
                <w:b w:val="false"/>
                <w:bCs w:val="false"/>
                <w:color w:val="000000"/>
                <w:sz w:val="20"/>
                <w:szCs w:val="20"/>
              </w:rPr>
              <w:t xml:space="preserve">Moyen</w:t>
            </w:r>
          </w:p>
        </w:tc>
        <w:tc>
          <w:tcPr>
            <w:tcW w:type="dxa" w:w="4700"/>
            <w:tcMar>
              <w:top w:type="dxa" w:w="80"/>
              <w:left w:type="dxa" w:w="100"/>
              <w:bottom w:type="dxa" w:w="80"/>
              <w:right w:type="dxa" w:w="100"/>
            </w:tcMar>
            <w:vAlign w:val="center"/>
          </w:tcPr>
          <w:p>
            <w:r>
              <w:rPr>
                <w:b w:val="false"/>
                <w:bCs w:val="false"/>
                <w:color w:val="000000"/>
                <w:sz w:val="20"/>
                <w:szCs w:val="20"/>
              </w:rPr>
              <w:t xml:space="preserve">Optimiser les performances (section 7.2) ; prévoir un mode de saisie tolérant aux coupures (sauvegarde de formulaire côté client, non bloquant en V1).</w:t>
            </w:r>
          </w:p>
        </w:tc>
      </w:tr>
      <w:tr>
        <w:tc>
          <w:tcPr>
            <w:tcW w:type="dxa" w:w="3400"/>
            <w:shd w:fill="F2F2F2" w:val="clear"/>
            <w:tcMar>
              <w:top w:type="dxa" w:w="80"/>
              <w:left w:type="dxa" w:w="100"/>
              <w:bottom w:type="dxa" w:w="80"/>
              <w:right w:type="dxa" w:w="100"/>
            </w:tcMar>
            <w:vAlign w:val="center"/>
          </w:tcPr>
          <w:p>
            <w:r>
              <w:rPr>
                <w:b w:val="false"/>
                <w:bCs w:val="false"/>
                <w:color w:val="000000"/>
                <w:sz w:val="20"/>
                <w:szCs w:val="20"/>
              </w:rPr>
              <w:t xml:space="preserve">Charge de travail concentrée sur une seule personne</w:t>
            </w:r>
          </w:p>
        </w:tc>
        <w:tc>
          <w:tcPr>
            <w:tcW w:type="dxa" w:w="1400"/>
            <w:shd w:fill="F2F2F2" w:val="clear"/>
            <w:tcMar>
              <w:top w:type="dxa" w:w="80"/>
              <w:left w:type="dxa" w:w="100"/>
              <w:bottom w:type="dxa" w:w="80"/>
              <w:right w:type="dxa" w:w="100"/>
            </w:tcMar>
            <w:vAlign w:val="center"/>
          </w:tcPr>
          <w:p>
            <w:r>
              <w:rPr>
                <w:b w:val="false"/>
                <w:bCs w:val="false"/>
                <w:color w:val="000000"/>
                <w:sz w:val="20"/>
                <w:szCs w:val="20"/>
              </w:rPr>
              <w:t xml:space="preserve">Moyen</w:t>
            </w:r>
          </w:p>
        </w:tc>
        <w:tc>
          <w:tcPr>
            <w:tcW w:type="dxa" w:w="4700"/>
            <w:shd w:fill="F2F2F2" w:val="clear"/>
            <w:tcMar>
              <w:top w:type="dxa" w:w="80"/>
              <w:left w:type="dxa" w:w="100"/>
              <w:bottom w:type="dxa" w:w="80"/>
              <w:right w:type="dxa" w:w="100"/>
            </w:tcMar>
            <w:vAlign w:val="center"/>
          </w:tcPr>
          <w:p>
            <w:r>
              <w:rPr>
                <w:b w:val="false"/>
                <w:bCs w:val="false"/>
                <w:color w:val="000000"/>
                <w:sz w:val="20"/>
                <w:szCs w:val="20"/>
              </w:rPr>
              <w:t xml:space="preserve">Séquencer strictement le planning (section 11.2) ; ne pas paralléliser plus de deux modules à la fois.</w:t>
            </w:r>
          </w:p>
        </w:tc>
      </w:tr>
    </w:tbl>
    <w:p>
      <w:pPr>
        <w:spacing w:after="200"/>
      </w:pPr>
    </w:p>
    <w:p>
      <w:pPr>
        <w:pStyle w:val="Heading2"/>
        <w:spacing w:after="140" w:before="280"/>
      </w:pPr>
      <w:r>
        <w:rPr>
          <w:b/>
          <w:bCs/>
          <w:color w:val="2E74B5"/>
          <w:sz w:val="25"/>
          <w:szCs w:val="25"/>
        </w:rPr>
        <w:t xml:space="preserve">12.6 Conclusion sur la faisabilité</w:t>
      </w:r>
    </w:p>
    <w:p>
      <w:pPr>
        <w:spacing w:after="140" w:line="300"/>
        <w:jc w:val="both"/>
      </w:pPr>
      <w:r>
        <w:rPr>
          <w:sz w:val="21"/>
          <w:szCs w:val="21"/>
        </w:rPr>
        <w:t xml:space="preserve">Le projet Kènèya Sô est techniquement et financièrement faisable avec les moyens et technologies proposés : aucun verrou technologique majeur n'a été identifié. La principale réserve porte sur le calendrier initial de 6 semaines, jugé trop ambitieux pour couvrir l'intégralité du périmètre annoncé (en particulier le module bloc opératoire désormais détaillé en section 5, la facturation/assurance et le multilinguisme complet). En adoptant le planning révisé à 12 semaines (section 11.2) et en traitant le risque de traduction en langues locales comme une tâche parallèle et non bloquante, le projet est réalisable dans un cadre de mémoire de fin de cycle, avec un périmètre V1 clair (section 3.1) et des perspectives d'évolution explicitement reportées (section 13).</w:t>
      </w:r>
    </w:p>
    <w:p>
      <w:pPr>
        <w:pStyle w:val="Heading1"/>
        <w:pBdr>
          <w:bottom w:val="single" w:color="1F3864" w:sz="6" w:space="4"/>
        </w:pBdr>
        <w:spacing w:after="200" w:before="400"/>
      </w:pPr>
      <w:r>
        <w:rPr>
          <w:b/>
          <w:bCs/>
          <w:color w:val="1F3864"/>
          <w:sz w:val="30"/>
          <w:szCs w:val="30"/>
        </w:rPr>
        <w:t xml:space="preserve">13. Perspectives d'évolution</w:t>
      </w:r>
    </w:p>
    <w:p>
      <w:pPr>
        <w:pStyle w:val="ListParagraph"/>
        <w:numPr>
          <w:ilvl w:val="0"/>
          <w:numId w:val="2"/>
        </w:numPr>
        <w:spacing w:after="60" w:line="280"/>
      </w:pPr>
      <w:r>
        <w:rPr>
          <w:b w:val="false"/>
          <w:bCs w:val="false"/>
          <w:sz w:val="21"/>
          <w:szCs w:val="21"/>
        </w:rPr>
        <w:t xml:space="preserve">Application mobile pour les patients (prise de rendez-vous, accès à son dossier).</w:t>
      </w:r>
    </w:p>
    <w:p>
      <w:pPr>
        <w:pStyle w:val="ListParagraph"/>
        <w:numPr>
          <w:ilvl w:val="0"/>
          <w:numId w:val="2"/>
        </w:numPr>
        <w:spacing w:after="60" w:line="280"/>
      </w:pPr>
      <w:r>
        <w:rPr>
          <w:b w:val="false"/>
          <w:bCs w:val="false"/>
          <w:sz w:val="21"/>
          <w:szCs w:val="21"/>
        </w:rPr>
        <w:t xml:space="preserve">Intégration de modules biomédicaux connectés (dispositifs de mesure, automates de laboratoire).</w:t>
      </w:r>
    </w:p>
    <w:p>
      <w:pPr>
        <w:pStyle w:val="ListParagraph"/>
        <w:numPr>
          <w:ilvl w:val="0"/>
          <w:numId w:val="2"/>
        </w:numPr>
        <w:spacing w:after="60" w:line="280"/>
      </w:pPr>
      <w:r>
        <w:rPr>
          <w:b w:val="false"/>
          <w:bCs w:val="false"/>
          <w:sz w:val="21"/>
          <w:szCs w:val="21"/>
        </w:rPr>
        <w:t xml:space="preserve">Système de rendez-vous par SMS/WhatsApp.</w:t>
      </w:r>
    </w:p>
    <w:p>
      <w:pPr>
        <w:pStyle w:val="ListParagraph"/>
        <w:numPr>
          <w:ilvl w:val="0"/>
          <w:numId w:val="2"/>
        </w:numPr>
        <w:spacing w:after="60" w:line="280"/>
      </w:pPr>
      <w:r>
        <w:rPr>
          <w:b w:val="false"/>
          <w:bCs w:val="false"/>
          <w:sz w:val="21"/>
          <w:szCs w:val="21"/>
        </w:rPr>
        <w:t xml:space="preserve">Module d'intelligence artificielle pour l'aide à la décision médicale.</w:t>
      </w:r>
    </w:p>
    <w:p>
      <w:pPr>
        <w:pStyle w:val="ListParagraph"/>
        <w:numPr>
          <w:ilvl w:val="0"/>
          <w:numId w:val="2"/>
        </w:numPr>
        <w:spacing w:after="60" w:line="280"/>
      </w:pPr>
      <w:r>
        <w:rPr>
          <w:b w:val="false"/>
          <w:bCs w:val="false"/>
          <w:sz w:val="21"/>
          <w:szCs w:val="21"/>
        </w:rPr>
        <w:t xml:space="preserve">Hébergement cloud multi-hôpitaux (évolution vers un modèle SaaS).</w:t>
      </w:r>
    </w:p>
    <w:p>
      <w:pPr>
        <w:pStyle w:val="ListParagraph"/>
        <w:numPr>
          <w:ilvl w:val="0"/>
          <w:numId w:val="2"/>
        </w:numPr>
        <w:spacing w:after="60" w:line="280"/>
      </w:pPr>
      <w:r>
        <w:rPr>
          <w:b w:val="false"/>
          <w:bCs w:val="false"/>
          <w:sz w:val="21"/>
          <w:szCs w:val="21"/>
        </w:rPr>
        <w:t xml:space="preserve">Interfaçage du module bloc opératoire avec des équipements de suivi peropératoire connectés (ajouté).</w:t>
      </w:r>
    </w:p>
    <w:p>
      <w:pPr>
        <w:pStyle w:val="Heading1"/>
        <w:pBdr>
          <w:bottom w:val="single" w:color="1F3864" w:sz="6" w:space="4"/>
        </w:pBdr>
        <w:spacing w:after="200" w:before="400"/>
      </w:pPr>
      <w:r>
        <w:rPr>
          <w:b/>
          <w:bCs/>
          <w:color w:val="1F3864"/>
          <w:sz w:val="30"/>
          <w:szCs w:val="30"/>
        </w:rPr>
        <w:t xml:space="preserve">14. Conclusion</w:t>
      </w:r>
    </w:p>
    <w:p>
      <w:pPr>
        <w:spacing w:after="140" w:line="300"/>
        <w:jc w:val="both"/>
      </w:pPr>
      <w:r>
        <w:rPr>
          <w:sz w:val="21"/>
          <w:szCs w:val="21"/>
        </w:rPr>
        <w:t xml:space="preserve">Kènèya Sô est une solution complète, flexible et évolutive pour améliorer la gestion des hôpitaux au Mali. Le présent document enrichi précise le périmètre du projet, détaille en profondeur le module de gestion du bloc opératoire, structure les exigences non fonctionnelles indispensables à un système d'information de santé, et propose une analyse de faisabilité argumentée assortie d'un planning révisé. Il s'inscrit dans une logique de modernisation des systèmes de santé et d'accessibilité inclusive aux services numériques, tout en restant réalisable dans le cadre d'un mémoire de fin de cycle en ingénierie biomédicale.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Kènèya Sô — Cahier des charges (version enrichie)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fonctionnel et technique — Kènèya Sô</dc:title>
  <dc:creator>Aicha Diarrassouba</dc:creator>
  <cp:lastModifiedBy>Un-named</cp:lastModifiedBy>
  <cp:revision>1</cp:revision>
  <dcterms:created xsi:type="dcterms:W3CDTF">2026-09-09T09:09:09.094Z</dcterms:created>
  <dcterms:modified xsi:type="dcterms:W3CDTF">2026-09-09T09:09:09.094Z</dcterms:modified>
</cp:coreProperties>
</file>

<file path=docProps/custom.xml><?xml version="1.0" encoding="utf-8"?>
<Properties xmlns="http://schemas.openxmlformats.org/officeDocument/2006/custom-properties" xmlns:vt="http://schemas.openxmlformats.org/officeDocument/2006/docPropsVTypes"/>
</file>