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 Advisor — Detailed Low-Level Design</w:t>
      </w:r>
    </w:p>
    <w:p>
      <w:pPr>
        <w:jc w:val="center"/>
      </w:pPr>
      <w:r>
        <w:t>Version 1.0  |  Generated from the implemented codebase  |  July 2026</w:t>
      </w:r>
    </w:p>
    <w:p>
      <w:r>
        <w:drawing>
          <wp:inline xmlns:a="http://schemas.openxmlformats.org/drawingml/2006/main" xmlns:pic="http://schemas.openxmlformats.org/drawingml/2006/picture">
            <wp:extent cx="6309360" cy="3943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adviso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Purpose and scope</w:t>
      </w:r>
    </w:p>
    <w:p>
      <w:r>
        <w:t>Model Advisor converts natural-language workloads and structured operating assumptions into a ranked cross-vendor LLM recommendation and a PTU-versus-PAYG commercial verdict. It supports Streamlit, CLI, and a standalone HTML reference surface.</w:t>
      </w:r>
    </w:p>
    <w:p>
      <w:pPr>
        <w:pStyle w:val="Heading1"/>
      </w:pPr>
      <w:r>
        <w:t>2. Functional requirements</w:t>
      </w:r>
    </w:p>
    <w:p>
      <w:pPr>
        <w:pStyle w:val="ListBullet"/>
      </w:pPr>
      <w:r>
        <w:t>FR1 Parse document, user/generation and explicit K/M/B token workloads with daily/weekly/monthly/yearly normalization.</w:t>
      </w:r>
    </w:p>
    <w:p>
      <w:pPr>
        <w:pStyle w:val="ListBullet"/>
      </w:pPr>
      <w:r>
        <w:t>FR2 Infer or override a general or insurance use-case profile.</w:t>
      </w:r>
    </w:p>
    <w:p>
      <w:pPr>
        <w:pStyle w:val="ListBullet"/>
      </w:pPr>
      <w:r>
        <w:t>FR3 Rank up to Top 20 eligible LLMs using capability, quality, latency, context, modality and cost.</w:t>
      </w:r>
    </w:p>
    <w:p>
      <w:pPr>
        <w:pStyle w:val="ListBullet"/>
      </w:pPr>
      <w:r>
        <w:t>FR4 Rank dedicated image models and calculate per-image cost separately.</w:t>
      </w:r>
    </w:p>
    <w:p>
      <w:pPr>
        <w:pStyle w:val="ListBullet"/>
      </w:pPr>
      <w:r>
        <w:t>FR5 expose benchmark, SLM and verified-PAYG indicators with tooltips.</w:t>
      </w:r>
    </w:p>
    <w:p>
      <w:pPr>
        <w:pStyle w:val="ListBullet"/>
      </w:pPr>
      <w:r>
        <w:t>FR6 calculate PAYG and PTU cost, capacity, utilization, headroom and break-even.</w:t>
      </w:r>
    </w:p>
    <w:p>
      <w:pPr>
        <w:pStyle w:val="ListBullet"/>
      </w:pPr>
      <w:r>
        <w:t>FR7 synchronize active workload, model, tokens and Top-N across six tabs.</w:t>
      </w:r>
    </w:p>
    <w:p>
      <w:pPr>
        <w:pStyle w:val="ListBullet"/>
      </w:pPr>
      <w:r>
        <w:t>FR8 compare models using adjustable business weights and live scores.</w:t>
      </w:r>
    </w:p>
    <w:p>
      <w:pPr>
        <w:pStyle w:val="ListBullet"/>
      </w:pPr>
      <w:r>
        <w:t>FR9 export comparison results to CSV.</w:t>
      </w:r>
    </w:p>
    <w:p>
      <w:pPr>
        <w:pStyle w:val="Heading1"/>
      </w:pPr>
      <w:r>
        <w:t>3. Component design</w:t>
      </w:r>
    </w:p>
    <w:p>
      <w:r>
        <w:t>model_advisor.py is the domain engine and single source of truth. Model and UseCase dataclasses define reference data. score_model/rank_models perform recommendation. PTUConfig and compare_ptu_vs_payg perform commercial analysis. model_advisor_streamlit.py handles parsing, presentation, widgets, state and export. model_advisor_webapp.html is a dependency-free reference UI.</w:t>
      </w:r>
    </w:p>
    <w:p>
      <w:pPr>
        <w:pStyle w:val="Heading1"/>
      </w:pPr>
      <w:r>
        <w:t>4. Workload parsing</w:t>
      </w:r>
    </w:p>
    <w:p>
      <w:r>
        <w:t>parse_workload normalizes case and punctuation, then extracts documents/pages, users, generations per user, explicit input/output tokens and K/M/B suffixes. Daily and weekly values are scaled to a monthly basis; annual values are divided by twelve. Explicit tokens override document/request estimates. Document workloads show OCR controls; general workloads show users and generations. Image-generation intent activates a separate image-model ranking and cost path.</w:t>
      </w:r>
    </w:p>
    <w:p>
      <w:pPr>
        <w:pStyle w:val="Heading1"/>
      </w:pPr>
      <w:r>
        <w:t>5. Recommendation algorithm</w:t>
      </w:r>
    </w:p>
    <w:p>
      <w:r>
        <w:t>Hard requirements are evaluated for context, vision, audio, video, image generation and open weights. Soft scoring compares Artificial Analysis intelligence against the complexity target, applies latency/TTFT and throughput effects, penalizes cost at higher volume, rewards context headroom, and applies regulated-workflow controls. Scores are sorted descending; runner-up and SLM alternatives are retained.</w:t>
      </w:r>
    </w:p>
    <w:p>
      <w:pPr>
        <w:pStyle w:val="Heading1"/>
      </w:pPr>
      <w:r>
        <w:t>6. PTU/PAYG algorithm</w:t>
      </w:r>
    </w:p>
    <w:p>
      <w:r>
        <w:t>PAYG = input_tokens/1M × input_price + output_tokens/1M × output_price. Annual contract is converted to hourly PTU rate by annual_cost ÷ (PTUs × 730 × 12). Required TPM uses input + output × output_weight divided by 43,800 monthly minutes. Available TPM = PTUs × model TPM/PTU. PTU is recommended only when cheaper and capacity covers the workload.</w:t>
      </w:r>
    </w:p>
    <w:p>
      <w:pPr>
        <w:pStyle w:val="Heading1"/>
      </w:pPr>
      <w:r>
        <w:t>7. Data model</w:t>
      </w:r>
    </w:p>
    <w:p>
      <w:r>
        <w:t>Model: identity, vendor, token prices, cache price, context, intelligence benchmark, speed, TTFT, knowledge cutoff, release, evaluation cost, reasoning and modality flags, OCR accuracy and notes. UseCase: category, complexity/latency/volume/context levels, governance and modality requirements, synonyms. PTUConfig: PTUs, hourly cost, capacity override, hours and output weight.</w:t>
      </w:r>
    </w:p>
    <w:p>
      <w:pPr>
        <w:pStyle w:val="Heading1"/>
      </w:pPr>
      <w:r>
        <w:t>8. Streamlit navigation</w:t>
      </w:r>
    </w:p>
    <w:p>
      <w:r>
        <w:t>Shared sidebar: parameterized PTU quantity and annual contract cost. 01 Recommend: reactive free-text workload, conditional document/general profile, Top-N LLMs, SLM labels, dedicated image models, what-if and quick PTU verdict. 02 Model Table: filters, active rank and PAYG verification. 03 Use Cases: inferred profile. 04 Explain Model: recommended-model rationale. 05 PTU vs PAYG: synchronized tokens, full formulas, derived values and break-even. 06 Decision Cockpit: synchronized Top-N, live weighted score bars/components and CSV export.</w:t>
      </w:r>
    </w:p>
    <w:p>
      <w:pPr>
        <w:pStyle w:val="Heading1"/>
      </w:pPr>
      <w:r>
        <w:t>9. Error handling and validation</w:t>
      </w:r>
    </w:p>
    <w:p>
      <w:r>
        <w:t>Numeric inputs enforce non-negative bounds. Zero PTUs cannot be declared a PTU win. Zero denominators use safe fallbacks. Missing benchmarks remain explicit rather than fabricated. A capacity failure overrides a nominal PTU price advantage. Streamlit test harness checks complete rendering and exceptions.</w:t>
      </w:r>
    </w:p>
    <w:p>
      <w:pPr>
        <w:pStyle w:val="Heading1"/>
      </w:pPr>
      <w:r>
        <w:t>10. Security and governance</w:t>
      </w:r>
    </w:p>
    <w:p>
      <w:r>
        <w:t>The application performs local deterministic calculations and does not transmit workload content to model providers. Production deployment should add SSO/RBAC, TLS, secrets management, audit logging, approved-model policy, benchmark refresh ownership, data-classification banners, human approval and change control.</w:t>
      </w:r>
    </w:p>
    <w:p>
      <w:pPr>
        <w:pStyle w:val="Heading1"/>
      </w:pPr>
      <w:r>
        <w:t>11. Deployment</w:t>
      </w:r>
    </w:p>
    <w:p>
      <w:r>
        <w:t>Create a Python 3.10 virtual environment, install requirements, and run Streamlit behind an enterprise reverse proxy. Use one controlled application instance per port. Health endpoint: /_stcore/health. Package model data updates through tested source control changes.</w:t>
      </w:r>
    </w:p>
    <w:p>
      <w:pPr>
        <w:pStyle w:val="Heading1"/>
      </w:pPr>
      <w:r>
        <w:t>12. Testing strategy</w:t>
      </w:r>
    </w:p>
    <w:p>
      <w:r>
        <w:t>Unit: parser quantities, matching, scoring boundaries, token/PAYG math, capacity and zero-PTU behavior. Integration: each use case produces a ranked result; UI renders six tabs; CSV generation succeeds. Regression: freeze representative workloads and expected top-N/verdict ranges. UAT: validate assumptions with underwriting, architecture, finance and Azure capacity owners.</w:t>
      </w:r>
    </w:p>
    <w:p>
      <w:pPr>
        <w:pStyle w:val="Heading1"/>
      </w:pPr>
      <w:r>
        <w:t>13. Assumptions and limitations</w:t>
      </w:r>
    </w:p>
    <w:p>
      <w:r>
        <w:t>Token-per-page (850), per-generation token estimates, output ratios and TPM/PTU are planning assumptions. Explicit user tokens take priority. Image cost is separate from LLM text cost and varies by resolution/editing. PAYG=True requires a verified first-party or named managed usage API; false values are estimates. Vendor pricing and benchmarks change frequently. PTU availability is model/region specific. Final procurement decisions require provider quotes and observed peak traffic.</w:t>
      </w:r>
    </w:p>
    <w:p>
      <w:pPr>
        <w:pStyle w:val="Heading1"/>
      </w:pPr>
      <w:r>
        <w:t>14. Key interfaces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Inputs</w:t>
            </w:r>
          </w:p>
        </w:tc>
        <w:tc>
          <w:tcPr>
            <w:tcW w:type="dxa" w:w="2160"/>
          </w:tcPr>
          <w:p>
            <w:r>
              <w:t>Outputs</w:t>
            </w:r>
          </w:p>
        </w:tc>
        <w:tc>
          <w:tcPr>
            <w:tcW w:type="dxa" w:w="2160"/>
          </w:tcPr>
          <w:p>
            <w:r>
              <w:t>Failure behavior</w:t>
            </w:r>
          </w:p>
        </w:tc>
      </w:tr>
      <w:tr>
        <w:tc>
          <w:tcPr>
            <w:tcW w:type="dxa" w:w="2160"/>
          </w:tcPr>
          <w:p>
            <w:r>
              <w:t>parse_workload</w:t>
            </w:r>
          </w:p>
        </w:tc>
        <w:tc>
          <w:tcPr>
            <w:tcW w:type="dxa" w:w="2160"/>
          </w:tcPr>
          <w:p>
            <w:r>
              <w:t>free text</w:t>
            </w:r>
          </w:p>
        </w:tc>
        <w:tc>
          <w:tcPr>
            <w:tcW w:type="dxa" w:w="2160"/>
          </w:tcPr>
          <w:p>
            <w:r>
              <w:t>count, pages, profile</w:t>
            </w:r>
          </w:p>
        </w:tc>
        <w:tc>
          <w:tcPr>
            <w:tcW w:type="dxa" w:w="2160"/>
          </w:tcPr>
          <w:p>
            <w:r>
              <w:t>defaults remain visible</w:t>
            </w:r>
          </w:p>
        </w:tc>
      </w:tr>
      <w:tr>
        <w:tc>
          <w:tcPr>
            <w:tcW w:type="dxa" w:w="2160"/>
          </w:tcPr>
          <w:p>
            <w:r>
              <w:t>rank_models</w:t>
            </w:r>
          </w:p>
        </w:tc>
        <w:tc>
          <w:tcPr>
            <w:tcW w:type="dxa" w:w="2160"/>
          </w:tcPr>
          <w:p>
            <w:r>
              <w:t>UseCase</w:t>
            </w:r>
          </w:p>
        </w:tc>
        <w:tc>
          <w:tcPr>
            <w:tcW w:type="dxa" w:w="2160"/>
          </w:tcPr>
          <w:p>
            <w:r>
              <w:t>ordered (Model, score)</w:t>
            </w:r>
          </w:p>
        </w:tc>
        <w:tc>
          <w:tcPr>
            <w:tcW w:type="dxa" w:w="2160"/>
          </w:tcPr>
          <w:p>
            <w:r>
              <w:t>all models retained with penalties</w:t>
            </w:r>
          </w:p>
        </w:tc>
      </w:tr>
      <w:tr>
        <w:tc>
          <w:tcPr>
            <w:tcW w:type="dxa" w:w="2160"/>
          </w:tcPr>
          <w:p>
            <w:r>
              <w:t>compare_ptu_vs_payg</w:t>
            </w:r>
          </w:p>
        </w:tc>
        <w:tc>
          <w:tcPr>
            <w:tcW w:type="dxa" w:w="2160"/>
          </w:tcPr>
          <w:p>
            <w:r>
              <w:t>Model, PTUConfig, tokens</w:t>
            </w:r>
          </w:p>
        </w:tc>
        <w:tc>
          <w:tcPr>
            <w:tcW w:type="dxa" w:w="2160"/>
          </w:tcPr>
          <w:p>
            <w:r>
              <w:t>cost, capacity, utilization, verdict</w:t>
            </w:r>
          </w:p>
        </w:tc>
        <w:tc>
          <w:tcPr>
            <w:tcW w:type="dxa" w:w="2160"/>
          </w:tcPr>
          <w:p>
            <w:r>
              <w:t>zero PTU → PAYG</w:t>
            </w:r>
          </w:p>
        </w:tc>
      </w:tr>
      <w:tr>
        <w:tc>
          <w:tcPr>
            <w:tcW w:type="dxa" w:w="2160"/>
          </w:tcPr>
          <w:p>
            <w:r>
              <w:t>model_rows</w:t>
            </w:r>
          </w:p>
        </w:tc>
        <w:tc>
          <w:tcPr>
            <w:tcW w:type="dxa" w:w="2160"/>
          </w:tcPr>
          <w:p>
            <w:r>
              <w:t>model collection</w:t>
            </w:r>
          </w:p>
        </w:tc>
        <w:tc>
          <w:tcPr>
            <w:tcW w:type="dxa" w:w="2160"/>
          </w:tcPr>
          <w:p>
            <w:r>
              <w:t>table records</w:t>
            </w:r>
          </w:p>
        </w:tc>
        <w:tc>
          <w:tcPr>
            <w:tcW w:type="dxa" w:w="2160"/>
          </w:tcPr>
          <w:p>
            <w:r>
              <w:t>missing values displayed</w:t>
            </w:r>
          </w:p>
        </w:tc>
      </w:tr>
    </w:tbl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