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B6472"/>
          <w:spacing w:val="30"/>
          <w:sz w:val="26"/>
          <w:szCs w:val="26"/>
        </w:rPr>
        <w:t xml:space="preserve">DETAILED DESIGN DOCUMENT</w:t>
      </w:r>
    </w:p>
    <w:p>
      <w:pPr>
        <w:spacing w:before="240"/>
        <w:jc w:val="center"/>
      </w:pPr>
      <w:r>
        <w:rPr>
          <w:b/>
          <w:bCs/>
          <w:color w:val="1E2761"/>
          <w:sz w:val="64"/>
          <w:szCs w:val="64"/>
        </w:rPr>
        <w:t xml:space="preserve">Model Advisor</w:t>
      </w:r>
    </w:p>
    <w:p>
      <w:pPr>
        <w:spacing w:after="500" w:before="120"/>
        <w:jc w:val="center"/>
      </w:pPr>
      <w:r>
        <w:rPr>
          <w:i/>
          <w:iCs/>
          <w:color w:val="12193F"/>
          <w:sz w:val="30"/>
          <w:szCs w:val="30"/>
        </w:rPr>
        <w:t xml:space="preserve">Cross-Vendor LLM Recommendation &amp; Cost-Optimization Platform</w:t>
      </w:r>
    </w:p>
    <w:p>
      <w:pPr>
        <w:spacing w:before="200"/>
        <w:jc w:val="center"/>
      </w:pPr>
      <w:r>
        <w:rPr>
          <w:color w:val="5B6472"/>
          <w:sz w:val="22"/>
          <w:szCs w:val="22"/>
        </w:rPr>
        <w:t xml:space="preserve">Three delivery surfaces, one scoring engine:</w:t>
      </w:r>
    </w:p>
    <w:p>
      <w:pPr>
        <w:spacing w:after="700"/>
        <w:jc w:val="center"/>
      </w:pPr>
      <w:r>
        <w:rPr>
          <w:b/>
          <w:bCs/>
          <w:color w:val="1E2761"/>
          <w:sz w:val="22"/>
          <w:szCs w:val="22"/>
        </w:rPr>
        <w:t xml:space="preserve">Command-Line Tool  •  Decision Cockpit (Streamlit)  •  Browser Web App</w:t>
      </w:r>
    </w:p>
    <w:tbl>
      <w:tblPr>
        <w:tblW w:type="dxa" w:w="6200"/>
        <w:jc w:val="center"/>
        <w:tblBorders>
          <w:top w:val="none"/>
          <w:left w:val="none"/>
          <w:bottom w:val="none"/>
          <w:right w:val="none"/>
          <w:insideH w:val="single" w:color="D7DCE6" w:sz="2"/>
          <w:insideV w:val="none"/>
        </w:tblBorders>
      </w:tblPr>
      <w:tblGrid>
        <w:gridCol w:w="2000"/>
        <w:gridCol w:w="4200"/>
      </w:tblGrid>
      <w:tr>
        <w:tc>
          <w:tcPr>
            <w:tcW w:type="dxa" w:w="2000"/>
            <w:tcMar>
              <w:top w:type="dxa" w:w="90"/>
              <w:left w:type="dxa" w:w="40"/>
              <w:bottom w:type="dxa" w:w="90"/>
              <w:right w:type="dxa" w:w="90"/>
            </w:tcMar>
          </w:tcPr>
          <w:p>
            <w:r>
              <w:rPr>
                <w:b/>
                <w:bCs/>
                <w:color w:val="1E2761"/>
                <w:sz w:val="19"/>
                <w:szCs w:val="19"/>
              </w:rPr>
              <w:t xml:space="preserve">Document status</w:t>
            </w:r>
          </w:p>
        </w:tc>
        <w:tc>
          <w:tcPr>
            <w:tcW w:type="dxa" w:w="4200"/>
            <w:tcMar>
              <w:top w:type="dxa" w:w="90"/>
              <w:left w:type="dxa" w:w="90"/>
              <w:bottom w:type="dxa" w:w="90"/>
              <w:right w:type="dxa" w:w="40"/>
            </w:tcMar>
          </w:tcPr>
          <w:p>
            <w:r>
              <w:rPr>
                <w:sz w:val="19"/>
                <w:szCs w:val="19"/>
              </w:rPr>
              <w:t xml:space="preserve">Draft v1.0 — for architecture review</w:t>
            </w:r>
          </w:p>
        </w:tc>
      </w:tr>
      <w:tr>
        <w:tc>
          <w:tcPr>
            <w:tcW w:type="dxa" w:w="2000"/>
            <w:tcMar>
              <w:top w:type="dxa" w:w="90"/>
              <w:left w:type="dxa" w:w="40"/>
              <w:bottom w:type="dxa" w:w="90"/>
              <w:right w:type="dxa" w:w="90"/>
            </w:tcMar>
          </w:tcPr>
          <w:p>
            <w:r>
              <w:rPr>
                <w:b/>
                <w:bCs/>
                <w:color w:val="1E2761"/>
                <w:sz w:val="19"/>
                <w:szCs w:val="19"/>
              </w:rPr>
              <w:t xml:space="preserve">Prepared for</w:t>
            </w:r>
          </w:p>
        </w:tc>
        <w:tc>
          <w:tcPr>
            <w:tcW w:type="dxa" w:w="4200"/>
            <w:tcMar>
              <w:top w:type="dxa" w:w="90"/>
              <w:left w:type="dxa" w:w="90"/>
              <w:bottom w:type="dxa" w:w="90"/>
              <w:right w:type="dxa" w:w="40"/>
            </w:tcMar>
          </w:tcPr>
          <w:p>
            <w:r>
              <w:rPr>
                <w:sz w:val="19"/>
                <w:szCs w:val="19"/>
              </w:rPr>
              <w:t xml:space="preserve">Cross-Vendor Model Comparison, Insurance Use Cases &amp; Recommendations — companion workstream</w:t>
            </w:r>
          </w:p>
        </w:tc>
      </w:tr>
      <w:tr>
        <w:tc>
          <w:tcPr>
            <w:tcW w:type="dxa" w:w="2000"/>
            <w:tcMar>
              <w:top w:type="dxa" w:w="90"/>
              <w:left w:type="dxa" w:w="40"/>
              <w:bottom w:type="dxa" w:w="90"/>
              <w:right w:type="dxa" w:w="90"/>
            </w:tcMar>
          </w:tcPr>
          <w:p>
            <w:r>
              <w:rPr>
                <w:b/>
                <w:bCs/>
                <w:color w:val="1E2761"/>
                <w:sz w:val="19"/>
                <w:szCs w:val="19"/>
              </w:rPr>
              <w:t xml:space="preserve">Data snapshot date</w:t>
            </w:r>
          </w:p>
        </w:tc>
        <w:tc>
          <w:tcPr>
            <w:tcW w:type="dxa" w:w="4200"/>
            <w:tcMar>
              <w:top w:type="dxa" w:w="90"/>
              <w:left w:type="dxa" w:w="90"/>
              <w:bottom w:type="dxa" w:w="90"/>
              <w:right w:type="dxa" w:w="40"/>
            </w:tcMar>
          </w:tcPr>
          <w:p>
            <w:r>
              <w:rPr>
                <w:sz w:val="19"/>
                <w:szCs w:val="19"/>
              </w:rPr>
              <w:t xml:space="preserve">June 2026 (vendor API pricing pages &amp; Artificial Analysis Intelligence Index)</w:t>
            </w:r>
          </w:p>
        </w:tc>
      </w:tr>
      <w:tr>
        <w:tc>
          <w:tcPr>
            <w:tcW w:type="dxa" w:w="2000"/>
            <w:tcMar>
              <w:top w:type="dxa" w:w="90"/>
              <w:left w:type="dxa" w:w="40"/>
              <w:bottom w:type="dxa" w:w="90"/>
              <w:right w:type="dxa" w:w="90"/>
            </w:tcMar>
          </w:tcPr>
          <w:p>
            <w:r>
              <w:rPr>
                <w:b/>
                <w:bCs/>
                <w:color w:val="1E2761"/>
                <w:sz w:val="19"/>
                <w:szCs w:val="19"/>
              </w:rPr>
              <w:t xml:space="preserve">Document date</w:t>
            </w:r>
          </w:p>
        </w:tc>
        <w:tc>
          <w:tcPr>
            <w:tcW w:type="dxa" w:w="4200"/>
            <w:tcMar>
              <w:top w:type="dxa" w:w="90"/>
              <w:left w:type="dxa" w:w="90"/>
              <w:bottom w:type="dxa" w:w="90"/>
              <w:right w:type="dxa" w:w="40"/>
            </w:tcMar>
          </w:tcPr>
          <w:p>
            <w:r>
              <w:rPr>
                <w:sz w:val="19"/>
                <w:szCs w:val="19"/>
              </w:rPr>
              <w:t xml:space="preserve">July 12, 2026</w:t>
            </w:r>
          </w:p>
        </w:tc>
      </w:tr>
      <w:tr>
        <w:tc>
          <w:tcPr>
            <w:tcW w:type="dxa" w:w="2000"/>
            <w:tcMar>
              <w:top w:type="dxa" w:w="90"/>
              <w:left w:type="dxa" w:w="40"/>
              <w:bottom w:type="dxa" w:w="90"/>
              <w:right w:type="dxa" w:w="90"/>
            </w:tcMar>
          </w:tcPr>
          <w:p>
            <w:r>
              <w:rPr>
                <w:b/>
                <w:bCs/>
                <w:color w:val="1E2761"/>
                <w:sz w:val="19"/>
                <w:szCs w:val="19"/>
              </w:rPr>
              <w:t xml:space="preserve">Classification</w:t>
            </w:r>
          </w:p>
        </w:tc>
        <w:tc>
          <w:tcPr>
            <w:tcW w:type="dxa" w:w="4200"/>
            <w:tcMar>
              <w:top w:type="dxa" w:w="90"/>
              <w:left w:type="dxa" w:w="90"/>
              <w:bottom w:type="dxa" w:w="90"/>
              <w:right w:type="dxa" w:w="40"/>
            </w:tcMar>
          </w:tcPr>
          <w:p>
            <w:r>
              <w:rPr>
                <w:sz w:val="19"/>
                <w:szCs w:val="19"/>
              </w:rPr>
              <w:t xml:space="preserve">Internal — Architecture &amp; Engineering</w:t>
            </w:r>
          </w:p>
        </w:tc>
      </w:tr>
    </w:tbl>
    <w:p>
      <w:r>
        <w:br w:type="page"/>
      </w:r>
    </w:p>
    <w:p>
      <w:pPr>
        <w:pStyle w:val="Heading1"/>
        <w:spacing w:after="160" w:before="360"/>
      </w:pPr>
      <w:r>
        <w:rPr>
          <w:b/>
          <w:bCs/>
        </w:rPr>
        <w:t xml:space="preserve">Table of Contents</w:t>
      </w:r>
    </w:p>
    <w:p>
      <w:pPr>
        <w:tabs>
          <w:tab w:val="right" w:pos="9026" w:leader="dot"/>
        </w:tabs>
        <w:spacing w:after="150"/>
      </w:pPr>
      <w:r>
        <w:rPr>
          <w:color w:val="12193F"/>
          <w:sz w:val="22"/>
          <w:szCs w:val="22"/>
        </w:rPr>
        <w:t xml:space="preserve">1.  Introduction</w:t>
      </w:r>
    </w:p>
    <w:p>
      <w:pPr>
        <w:tabs>
          <w:tab w:val="right" w:pos="9026" w:leader="dot"/>
        </w:tabs>
        <w:spacing w:after="150"/>
      </w:pPr>
      <w:r>
        <w:rPr>
          <w:color w:val="12193F"/>
          <w:sz w:val="22"/>
          <w:szCs w:val="22"/>
        </w:rPr>
        <w:t xml:space="preserve">2.  System Overview</w:t>
      </w:r>
    </w:p>
    <w:p>
      <w:pPr>
        <w:tabs>
          <w:tab w:val="right" w:pos="9026" w:leader="dot"/>
        </w:tabs>
        <w:spacing w:after="150"/>
      </w:pPr>
      <w:r>
        <w:rPr>
          <w:color w:val="12193F"/>
          <w:sz w:val="22"/>
          <w:szCs w:val="22"/>
        </w:rPr>
        <w:t xml:space="preserve">3.  Architecture</w:t>
      </w:r>
    </w:p>
    <w:p>
      <w:pPr>
        <w:tabs>
          <w:tab w:val="right" w:pos="9026" w:leader="dot"/>
        </w:tabs>
        <w:spacing w:after="150"/>
      </w:pPr>
      <w:r>
        <w:rPr>
          <w:color w:val="12193F"/>
          <w:sz w:val="22"/>
          <w:szCs w:val="22"/>
        </w:rPr>
        <w:t xml:space="preserve">4.  Data Model</w:t>
      </w:r>
    </w:p>
    <w:p>
      <w:pPr>
        <w:tabs>
          <w:tab w:val="right" w:pos="9026" w:leader="dot"/>
        </w:tabs>
        <w:spacing w:after="150"/>
      </w:pPr>
      <w:r>
        <w:rPr>
          <w:color w:val="12193F"/>
          <w:sz w:val="22"/>
          <w:szCs w:val="22"/>
        </w:rPr>
        <w:t xml:space="preserve">5.  Scoring Engine Design</w:t>
      </w:r>
    </w:p>
    <w:p>
      <w:pPr>
        <w:tabs>
          <w:tab w:val="right" w:pos="9026" w:leader="dot"/>
        </w:tabs>
        <w:spacing w:after="150"/>
      </w:pPr>
      <w:r>
        <w:rPr>
          <w:color w:val="12193F"/>
          <w:sz w:val="22"/>
          <w:szCs w:val="22"/>
        </w:rPr>
        <w:t xml:space="preserve">6.  PTU vs. PAYG Cost Calculator</w:t>
      </w:r>
    </w:p>
    <w:p>
      <w:pPr>
        <w:tabs>
          <w:tab w:val="right" w:pos="9026" w:leader="dot"/>
        </w:tabs>
        <w:spacing w:after="150"/>
      </w:pPr>
      <w:r>
        <w:rPr>
          <w:color w:val="12193F"/>
          <w:sz w:val="22"/>
          <w:szCs w:val="22"/>
        </w:rPr>
        <w:t xml:space="preserve">7.  Surface 1 — Command-Line Tool Design</w:t>
      </w:r>
    </w:p>
    <w:p>
      <w:pPr>
        <w:tabs>
          <w:tab w:val="right" w:pos="9026" w:leader="dot"/>
        </w:tabs>
        <w:spacing w:after="150"/>
      </w:pPr>
      <w:r>
        <w:rPr>
          <w:color w:val="12193F"/>
          <w:sz w:val="22"/>
          <w:szCs w:val="22"/>
        </w:rPr>
        <w:t xml:space="preserve">8.  Surface 2 — Browser Web App Design</w:t>
      </w:r>
    </w:p>
    <w:p>
      <w:pPr>
        <w:tabs>
          <w:tab w:val="right" w:pos="9026" w:leader="dot"/>
        </w:tabs>
        <w:spacing w:after="150"/>
      </w:pPr>
      <w:r>
        <w:rPr>
          <w:color w:val="12193F"/>
          <w:sz w:val="22"/>
          <w:szCs w:val="22"/>
        </w:rPr>
        <w:t xml:space="preserve">9.  Surface 3 — Decision Cockpit (Streamlit) Design</w:t>
      </w:r>
    </w:p>
    <w:p>
      <w:pPr>
        <w:tabs>
          <w:tab w:val="right" w:pos="9026" w:leader="dot"/>
        </w:tabs>
        <w:spacing w:after="150"/>
      </w:pPr>
      <w:r>
        <w:rPr>
          <w:color w:val="12193F"/>
          <w:sz w:val="22"/>
          <w:szCs w:val="22"/>
        </w:rPr>
        <w:t xml:space="preserve">10.  Non-Functional Requirements</w:t>
      </w:r>
    </w:p>
    <w:p>
      <w:pPr>
        <w:tabs>
          <w:tab w:val="right" w:pos="9026" w:leader="dot"/>
        </w:tabs>
        <w:spacing w:after="150"/>
      </w:pPr>
      <w:r>
        <w:rPr>
          <w:color w:val="12193F"/>
          <w:sz w:val="22"/>
          <w:szCs w:val="22"/>
        </w:rPr>
        <w:t xml:space="preserve">11.  Known Limitations &amp; Risks</w:t>
      </w:r>
    </w:p>
    <w:p>
      <w:pPr>
        <w:tabs>
          <w:tab w:val="right" w:pos="9026" w:leader="dot"/>
        </w:tabs>
        <w:spacing w:after="150"/>
      </w:pPr>
      <w:r>
        <w:rPr>
          <w:color w:val="12193F"/>
          <w:sz w:val="22"/>
          <w:szCs w:val="22"/>
        </w:rPr>
        <w:t xml:space="preserve">12.  Companion Deliverables &amp; Traceability</w:t>
      </w:r>
    </w:p>
    <w:p>
      <w:pPr>
        <w:tabs>
          <w:tab w:val="right" w:pos="9026" w:leader="dot"/>
        </w:tabs>
        <w:spacing w:after="150"/>
      </w:pPr>
      <w:r>
        <w:rPr>
          <w:color w:val="12193F"/>
          <w:sz w:val="22"/>
          <w:szCs w:val="22"/>
        </w:rPr>
        <w:t xml:space="preserve">13.  Appendix</w:t>
      </w:r>
    </w:p>
    <w:p>
      <w:r>
        <w:br w:type="page"/>
      </w:r>
    </w:p>
    <w:p>
      <w:pPr>
        <w:pStyle w:val="Heading1"/>
        <w:spacing w:after="160" w:before="360"/>
      </w:pPr>
      <w:r>
        <w:rPr>
          <w:b/>
          <w:bCs/>
        </w:rPr>
        <w:t xml:space="preserve">1. Introduction</w:t>
      </w:r>
    </w:p>
    <w:p>
      <w:pPr>
        <w:pStyle w:val="Heading2"/>
        <w:spacing w:after="120" w:before="260"/>
      </w:pPr>
      <w:r>
        <w:rPr>
          <w:b/>
          <w:bCs/>
        </w:rPr>
        <w:t xml:space="preserve">1.1 Purpose</w:t>
      </w:r>
    </w:p>
    <w:p>
      <w:pPr>
        <w:spacing w:after="160" w:line="276"/>
      </w:pPr>
      <w:r>
        <w:t xml:space="preserve">This document is the detailed design specification for Model Advisor, a decision-support platform that recommends which large language model (LLM) to use for a given business task, and quantifies the cost trade-off between per-token billing and reserved-capacity billing. It describes the shared core engine, the data model, the scoring algorithm, the cost calculator, and the three end-user surfaces built on top of that core: a command-line tool, a browser-based web app, and a Streamlit “Decision Cockpit” application. It is intended to give an engineering audience enough detail to maintain, extend, or re-platform the system with confidence that all three surfaces keep producing identical recommendations.</w:t>
      </w:r>
    </w:p>
    <w:p>
      <w:pPr>
        <w:pStyle w:val="Heading2"/>
        <w:spacing w:after="120" w:before="260"/>
      </w:pPr>
      <w:r>
        <w:rPr>
          <w:b/>
          <w:bCs/>
        </w:rPr>
        <w:t xml:space="preserve">1.2 Scope</w:t>
      </w:r>
    </w:p>
    <w:p>
      <w:pPr>
        <w:spacing w:after="160" w:line="276"/>
      </w:pPr>
      <w:r>
        <w:t xml:space="preserve">In scope: the shared model and use-case database; the ten-factor scoring engine; the Provisioned-Throughput-Unit (PTU) vs. pay-as-you-go (PAYG) cost calculator; the design of all three delivery surfaces; and the non-functional constraints that shape those designs (zero external dependencies for the core engine, full parity across surfaces, and transparent labeling of every assumed default).</w:t>
      </w:r>
    </w:p>
    <w:p>
      <w:pPr>
        <w:spacing w:after="160" w:line="276"/>
      </w:pPr>
      <w:r>
        <w:t xml:space="preserve">Out of scope: vendor contract negotiation, live pricing API integration (the database is a manually curated point-in-time snapshot), and organization-specific rollout or change-management processes, which are addressed in the companion slide deck and reference document listed in Section 12.</w:t>
      </w:r>
    </w:p>
    <w:p>
      <w:pPr>
        <w:pStyle w:val="Heading2"/>
        <w:spacing w:after="120" w:before="260"/>
      </w:pPr>
      <w:r>
        <w:rPr>
          <w:b/>
          <w:bCs/>
        </w:rPr>
        <w:t xml:space="preserve">1.3 Audience</w:t>
      </w:r>
    </w:p>
    <w:p>
      <w:pPr>
        <w:pStyle w:val="ListParagraph"/>
        <w:numPr>
          <w:ilvl w:val="0"/>
          <w:numId w:val="1"/>
        </w:numPr>
        <w:spacing w:after="90" w:line="264"/>
      </w:pPr>
      <w:r>
        <w:t xml:space="preserve">Solution architects evaluating or extending the recommendation logic</w:t>
      </w:r>
    </w:p>
    <w:p>
      <w:pPr>
        <w:pStyle w:val="ListParagraph"/>
        <w:numPr>
          <w:ilvl w:val="0"/>
          <w:numId w:val="1"/>
        </w:numPr>
        <w:spacing w:after="90" w:line="264"/>
      </w:pPr>
      <w:r>
        <w:t xml:space="preserve">Engineers maintaining the CLI, the Streamlit Decision Cockpit, or the HTML web app</w:t>
      </w:r>
    </w:p>
    <w:p>
      <w:pPr>
        <w:pStyle w:val="ListParagraph"/>
        <w:numPr>
          <w:ilvl w:val="0"/>
          <w:numId w:val="1"/>
        </w:numPr>
        <w:spacing w:after="90" w:line="264"/>
      </w:pPr>
      <w:r>
        <w:t xml:space="preserve">FinOps / procurement stakeholders assessing PTU vs. PAYG commitments</w:t>
      </w:r>
    </w:p>
    <w:p>
      <w:pPr>
        <w:pStyle w:val="ListParagraph"/>
        <w:numPr>
          <w:ilvl w:val="0"/>
          <w:numId w:val="1"/>
        </w:numPr>
        <w:spacing w:after="90" w:line="264"/>
      </w:pPr>
      <w:r>
        <w:t xml:space="preserve">Insurance business stakeholders (claims, underwriting, distribution, compliance) consuming recommendations through the Decision Cockpit or web app</w:t>
      </w:r>
    </w:p>
    <w:p>
      <w:pPr>
        <w:pStyle w:val="Heading2"/>
        <w:spacing w:after="120" w:before="260"/>
      </w:pPr>
      <w:r>
        <w:rPr>
          <w:b/>
          <w:bCs/>
        </w:rPr>
        <w:t xml:space="preserve">1.4 Definitions &amp; Abbreviations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1600"/>
        <w:gridCol w:w="7750"/>
      </w:tblGrid>
      <w:tr>
        <w:trPr>
          <w:cantSplit/>
          <w:tblHeader/>
        </w:trPr>
        <w:tc>
          <w:tcPr>
            <w:tcW w:type="dxa" w:w="1600"/>
            <w:shd w:fill="1E2761" w:color="auto" w:val="clear"/>
            <w:tcMar>
              <w:top w:type="dxa" w:w="60"/>
              <w:left w:type="dxa" w:w="90"/>
              <w:bottom w:type="dxa" w:w="60"/>
              <w:right w:type="dxa" w:w="90"/>
            </w:tcMar>
            <w:vAlign w:val="center"/>
          </w:tcPr>
          <w:p>
            <w:pPr>
              <w:jc w:val="left"/>
            </w:pPr>
            <w:r>
              <w:rPr>
                <w:b/>
                <w:bCs/>
                <w:color w:val="FFFFFF"/>
                <w:sz w:val="18"/>
                <w:szCs w:val="18"/>
              </w:rPr>
              <w:t xml:space="preserve">Term</w:t>
            </w:r>
          </w:p>
        </w:tc>
        <w:tc>
          <w:tcPr>
            <w:tcW w:type="dxa" w:w="7750"/>
            <w:shd w:fill="1E2761" w:color="auto" w:val="clear"/>
            <w:tcMar>
              <w:top w:type="dxa" w:w="60"/>
              <w:left w:type="dxa" w:w="90"/>
              <w:bottom w:type="dxa" w:w="60"/>
              <w:right w:type="dxa" w:w="90"/>
            </w:tcMar>
            <w:vAlign w:val="center"/>
          </w:tcPr>
          <w:p>
            <w:pPr>
              <w:jc w:val="left"/>
            </w:pPr>
            <w:r>
              <w:rPr>
                <w:b/>
                <w:bCs/>
                <w:color w:val="FFFFFF"/>
                <w:sz w:val="18"/>
                <w:szCs w:val="18"/>
              </w:rPr>
              <w:t xml:space="preserve">Definition</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FNOL</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First Notice of Loss — the initial claim intake event</w:t>
            </w:r>
          </w:p>
        </w:tc>
      </w:tr>
      <w:tr>
        <w:trPr>
          <w:cantSplit/>
        </w:trPr>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SIU</w:t>
            </w:r>
          </w:p>
        </w:tc>
        <w:tc>
          <w:tcPr>
            <w:tcW w:type="dxa" w:w="7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Special Investigation Unit — insurer fraud investigation function</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OCR</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Optical Character Recognition — extracting text/fields from scanned documents or images</w:t>
            </w:r>
          </w:p>
        </w:tc>
      </w:tr>
      <w:tr>
        <w:trPr>
          <w:cantSplit/>
        </w:trPr>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ACORD</w:t>
            </w:r>
          </w:p>
        </w:tc>
        <w:tc>
          <w:tcPr>
            <w:tcW w:type="dxa" w:w="7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Standardized insurance industry document/data forms</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PTU</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Provisioned Throughput Unit — Azure's reserved-capacity billing unit, priced per hour regardless of usage</w:t>
            </w:r>
          </w:p>
        </w:tc>
      </w:tr>
      <w:tr>
        <w:trPr>
          <w:cantSplit/>
        </w:trPr>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PAYG</w:t>
            </w:r>
          </w:p>
        </w:tc>
        <w:tc>
          <w:tcPr>
            <w:tcW w:type="dxa" w:w="7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Pay-As-You-Go — standard per-token billing</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TPM</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Tokens Per Minute — a throughput capacity unit</w:t>
            </w:r>
          </w:p>
        </w:tc>
      </w:tr>
      <w:tr>
        <w:trPr>
          <w:cantSplit/>
        </w:trPr>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TTFT</w:t>
            </w:r>
          </w:p>
        </w:tc>
        <w:tc>
          <w:tcPr>
            <w:tcW w:type="dxa" w:w="7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Time To First Token — latency before the first output token is streamed</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NAIC</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National Association of Insurance Commissioners (US regulatory body; source of the AI Model Bulletin referenced in the Life &amp; Health use cases)</w:t>
            </w:r>
          </w:p>
        </w:tc>
      </w:tr>
      <w:tr>
        <w:trPr>
          <w:cantSplit/>
        </w:trPr>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Intelligence Index</w:t>
            </w:r>
          </w:p>
        </w:tc>
        <w:tc>
          <w:tcPr>
            <w:tcW w:type="dxa" w:w="7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Artificial Analysis's composite cross-model benchmark score (9 evaluations incl. GPQA Diamond, Humanity's Last Exam, SciCode, AA-LCR)</w:t>
            </w:r>
          </w:p>
        </w:tc>
      </w:tr>
      <w:tr>
        <w:trPr>
          <w:cantSplit/>
        </w:trPr>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Blended price</w:t>
            </w:r>
          </w:p>
        </w:tc>
        <w:tc>
          <w:tcPr>
            <w:tcW w:type="dxa" w:w="7750"/>
            <w:tcMar>
              <w:top w:type="dxa" w:w="60"/>
              <w:left w:type="dxa" w:w="90"/>
              <w:bottom w:type="dxa" w:w="60"/>
              <w:right w:type="dxa" w:w="90"/>
            </w:tcMar>
            <w:vAlign w:val="center"/>
          </w:tcPr>
          <w:p>
            <w:pPr>
              <w:jc w:val="left"/>
            </w:pPr>
            <w:r>
              <w:rPr>
                <w:b w:val="false"/>
                <w:bCs w:val="false"/>
                <w:color w:val="000000"/>
                <w:sz w:val="18"/>
                <w:szCs w:val="18"/>
              </w:rPr>
              <w:t xml:space="preserve">A 7:2:1 cache-hit : input : output weighted $/M-token figure approximating realistic production traffic mix</w:t>
            </w:r>
          </w:p>
        </w:tc>
      </w:tr>
    </w:tbl>
    <w:p>
      <w:pPr>
        <w:spacing w:after="200"/>
      </w:pPr>
    </w:p>
    <w:p>
      <w:r>
        <w:br w:type="page"/>
      </w:r>
    </w:p>
    <w:p>
      <w:pPr>
        <w:pStyle w:val="Heading1"/>
        <w:spacing w:after="160" w:before="360"/>
      </w:pPr>
      <w:r>
        <w:rPr>
          <w:b/>
          <w:bCs/>
        </w:rPr>
        <w:t xml:space="preserve">2. System Overview</w:t>
      </w:r>
    </w:p>
    <w:p>
      <w:pPr>
        <w:pStyle w:val="Heading2"/>
        <w:spacing w:after="120" w:before="260"/>
      </w:pPr>
      <w:r>
        <w:rPr>
          <w:b/>
          <w:bCs/>
        </w:rPr>
        <w:t xml:space="preserve">2.1 Problem Statement</w:t>
      </w:r>
    </w:p>
    <w:p>
      <w:pPr>
        <w:spacing w:after="160" w:line="276"/>
      </w:pPr>
      <w:r>
        <w:t xml:space="preserve">Twenty-five viable LLMs across twelve vendors now compete for every insurance AI workload, each with a different price, context window, latency profile, and capability set (vision, audio, video, image generation, open weights). Teams routinely either default to one vendor for everything — leaving cost or quality on the table — or spend days re-deriving a model choice from scratch for every new use case. Separately, Azure's Provisioned Throughput (PTU) billing option is opaque: whether reserved capacity beats per-token billing depends entirely on volume and utilization, numbers most teams cannot easily estimate ahead of a rollout.</w:t>
      </w:r>
    </w:p>
    <w:p>
      <w:pPr>
        <w:pStyle w:val="Heading2"/>
        <w:spacing w:after="120" w:before="260"/>
      </w:pPr>
      <w:r>
        <w:rPr>
          <w:b/>
          <w:bCs/>
        </w:rPr>
        <w:t xml:space="preserve">2.2 Solution Summary</w:t>
      </w:r>
    </w:p>
    <w:p>
      <w:pPr>
        <w:spacing w:after="160" w:line="276"/>
      </w:pPr>
      <w:r>
        <w:t xml:space="preserve">Model Advisor solves both problems with one shared, transparent scoring engine, exposed through three interchangeable surfaces so that different audiences — engineers, business stakeholders, and executives — can each reach the same recommendation through the interface that suits them:</w:t>
      </w:r>
    </w:p>
    <w:p>
      <w:pPr>
        <w:pStyle w:val="ListParagraph"/>
        <w:numPr>
          <w:ilvl w:val="0"/>
          <w:numId w:val="1"/>
        </w:numPr>
        <w:spacing w:after="90" w:line="264"/>
      </w:pPr>
      <w:r>
        <w:t xml:space="preserve">A ranked model recommendation for any use case, described in plain English or picked from a library of 37 pre-scored insurance use cases, with full per-parameter justification available on demand.</w:t>
      </w:r>
    </w:p>
    <w:p>
      <w:pPr>
        <w:pStyle w:val="ListParagraph"/>
        <w:numPr>
          <w:ilvl w:val="0"/>
          <w:numId w:val="1"/>
        </w:numPr>
        <w:spacing w:after="90" w:line="264"/>
      </w:pPr>
      <w:r>
        <w:t xml:space="preserve">A PTU-vs-PAYG calculator that turns a volume estimate into a concrete monthly cost comparison and a utilization percentage, so a reservation decision is never a guess.</w:t>
      </w:r>
    </w:p>
    <w:p>
      <w:pPr>
        <w:pStyle w:val="ListParagraph"/>
        <w:numPr>
          <w:ilvl w:val="0"/>
          <w:numId w:val="1"/>
        </w:numPr>
        <w:spacing w:after="90" w:line="264"/>
      </w:pPr>
      <w:r>
        <w:t xml:space="preserve">Every assumed default — PTU price, tokens-per-minute-per-PTU, output-token capacity weight — is clearly labeled as a planning estimate versus a user-supplied value, so the tool never silently passes off a guess as a fact.</w:t>
      </w:r>
    </w:p>
    <w:p>
      <w:pPr>
        <w:pStyle w:val="Heading2"/>
        <w:spacing w:after="120" w:before="260"/>
      </w:pPr>
      <w:r>
        <w:rPr>
          <w:b/>
          <w:bCs/>
        </w:rPr>
        <w:t xml:space="preserve">2.3 Three Delivery Surfaces, One Core</w:t>
      </w:r>
    </w:p>
    <w:p>
      <w:pPr>
        <w:spacing w:after="160" w:line="276"/>
      </w:pPr>
      <w:r>
        <w:t xml:space="preserve">The same model database, use-case library, scoring formula, and PTU math are implemented once (in Python) and ported once more (to JavaScript for the browser surface), then consumed by three independent front ends described fully in Sections 7–9:</w:t>
      </w:r>
    </w:p>
    <w:p>
      <w:pPr>
        <w:pStyle w:val="ListParagraph"/>
        <w:numPr>
          <w:ilvl w:val="0"/>
          <w:numId w:val="1"/>
        </w:numPr>
        <w:spacing w:after="90" w:line="264"/>
      </w:pPr>
      <w:r>
        <w:t xml:space="preserve">Surface 1 — Command-Line Tool (model_advisor.py): a zero-dependency Python script for engineers and power users; interactive chat mode or one-shot / scriptable CLI flags.</w:t>
      </w:r>
    </w:p>
    <w:p>
      <w:pPr>
        <w:pStyle w:val="ListParagraph"/>
        <w:numPr>
          <w:ilvl w:val="0"/>
          <w:numId w:val="1"/>
        </w:numPr>
        <w:spacing w:after="90" w:line="264"/>
      </w:pPr>
      <w:r>
        <w:t xml:space="preserve">Surface 2 — Decision Cockpit (Streamlit application): a six-tab hosted web application for business stakeholders, adding multi-model side-by-side comparison with adjustable priority weighting on top of the same engine.</w:t>
      </w:r>
    </w:p>
    <w:p>
      <w:pPr>
        <w:pStyle w:val="ListParagraph"/>
        <w:numPr>
          <w:ilvl w:val="0"/>
          <w:numId w:val="1"/>
        </w:numPr>
        <w:spacing w:after="90" w:line="264"/>
      </w:pPr>
      <w:r>
        <w:t xml:space="preserve">Surface 3 — Browser Web App (model_advisor_webapp.html): a single self-contained HTML file with the model database embedded as JSON and the scoring logic re-implemented in vanilla JavaScript, so it runs offline with no server and no install.</w:t>
      </w:r>
    </w:p>
    <w:p>
      <w:pPr>
        <w:spacing w:after="40" w:before="120"/>
        <w:jc w:val="center"/>
      </w:pPr>
      <w:r>
        <w:drawing>
          <wp:inline distT="0" distB="0" distL="0" distR="0">
            <wp:extent cx="4953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143375"/>
                    </a:xfrm>
                    <a:prstGeom prst="rect">
                      <a:avLst/>
                    </a:prstGeom>
                  </pic:spPr>
                </pic:pic>
              </a:graphicData>
            </a:graphic>
          </wp:inline>
        </w:drawing>
      </w:r>
    </w:p>
    <w:p>
      <w:pPr>
        <w:spacing w:after="260" w:before="80"/>
        <w:jc w:val="center"/>
      </w:pPr>
      <w:r>
        <w:rPr>
          <w:i/>
          <w:iCs/>
          <w:color w:val="5B6472"/>
          <w:sz w:val="18"/>
          <w:szCs w:val="18"/>
        </w:rPr>
        <w:t xml:space="preserve">Figure 2.1 — High-level component architecture: one shared core, three consuming surfaces.</w:t>
      </w:r>
    </w:p>
    <w:p>
      <w:pPr>
        <w:pStyle w:val="Heading2"/>
        <w:spacing w:after="120" w:before="260"/>
      </w:pPr>
      <w:r>
        <w:rPr>
          <w:b/>
          <w:bCs/>
        </w:rPr>
        <w:t xml:space="preserve">2.4 Design Principles</w:t>
      </w:r>
    </w:p>
    <w:p>
      <w:pPr>
        <w:pStyle w:val="ListParagraph"/>
        <w:numPr>
          <w:ilvl w:val="0"/>
          <w:numId w:val="1"/>
        </w:numPr>
        <w:spacing w:after="90" w:line="264"/>
      </w:pPr>
      <w:r>
        <w:t xml:space="preserve">Single source of truth for the recommendation logic: the Python core is authoritative; the JavaScript port must remain in exact parity (see Section 8.3 for the tech-debt implications of that duplication).</w:t>
      </w:r>
    </w:p>
    <w:p>
      <w:pPr>
        <w:pStyle w:val="ListParagraph"/>
        <w:numPr>
          <w:ilvl w:val="0"/>
          <w:numId w:val="1"/>
        </w:numPr>
        <w:spacing w:after="90" w:line="264"/>
      </w:pPr>
      <w:r>
        <w:t xml:space="preserve">Hard filters before soft scoring: capability gaps that make a model unusable for a task (missing context window, missing vision/audio/video, missing open weights) are enforced as disqualifying filters, not just score penalties — see Section 5.3.</w:t>
      </w:r>
    </w:p>
    <w:p>
      <w:pPr>
        <w:pStyle w:val="ListParagraph"/>
        <w:numPr>
          <w:ilvl w:val="0"/>
          <w:numId w:val="1"/>
        </w:numPr>
        <w:spacing w:after="90" w:line="264"/>
      </w:pPr>
      <w:r>
        <w:t xml:space="preserve">Transparency over false precision: every number that is not independently published by a vendor is labeled “planning default” in every surface's output, distinguishing it from a user-supplied “your value.”</w:t>
      </w:r>
    </w:p>
    <w:p>
      <w:pPr>
        <w:pStyle w:val="ListParagraph"/>
        <w:numPr>
          <w:ilvl w:val="0"/>
          <w:numId w:val="1"/>
        </w:numPr>
        <w:spacing w:after="90" w:line="264"/>
      </w:pPr>
      <w:r>
        <w:t xml:space="preserve">Under-provisioning costs more than over-provisioning: the scoring formula penalizes recommending a model that is too weak for a task more heavily than it penalizes recommending one with headroom to spare.</w:t>
      </w:r>
    </w:p>
    <w:p>
      <w:pPr>
        <w:pStyle w:val="ListParagraph"/>
        <w:numPr>
          <w:ilvl w:val="0"/>
          <w:numId w:val="1"/>
        </w:numPr>
        <w:spacing w:after="90" w:line="264"/>
      </w:pPr>
      <w:r>
        <w:t xml:space="preserve">Zero mandatory dependencies for the core and CLI: model_advisor.py runs on any Python 3.9+ installation with no pip install step, minimizing adoption friction for a first-pass architecture tool.</w:t>
      </w:r>
    </w:p>
    <w:p>
      <w:r>
        <w:br w:type="page"/>
      </w:r>
    </w:p>
    <w:p>
      <w:pPr>
        <w:pStyle w:val="Heading1"/>
        <w:spacing w:after="160" w:before="360"/>
      </w:pPr>
      <w:r>
        <w:rPr>
          <w:b/>
          <w:bCs/>
        </w:rPr>
        <w:t xml:space="preserve">3. Architecture</w:t>
      </w:r>
    </w:p>
    <w:p>
      <w:pPr>
        <w:pStyle w:val="Heading2"/>
        <w:spacing w:after="120" w:before="260"/>
      </w:pPr>
      <w:r>
        <w:rPr>
          <w:b/>
          <w:bCs/>
        </w:rPr>
        <w:t xml:space="preserve">3.1 Component Architecture</w:t>
      </w:r>
    </w:p>
    <w:p>
      <w:pPr>
        <w:spacing w:after="160" w:line="276"/>
      </w:pPr>
      <w:r>
        <w:t xml:space="preserve">The system has exactly one authoritative data and logic layer (the “core”) and three thin consumers. The core is not a running service — it is a Python module (imported directly by the CLI and the Decision Cockpit) and a parallel JSON+JavaScript payload embedded in the web app. There is no shared database, API, or network call between surfaces; each surface is fully self-contained once it has its copy of the model/use-case data.</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800"/>
        <w:gridCol w:w="6550"/>
      </w:tblGrid>
      <w:tr>
        <w:trPr>
          <w:cantSplit/>
          <w:tblHeader/>
        </w:trPr>
        <w:tc>
          <w:tcPr>
            <w:tcW w:type="dxa" w:w="2800"/>
            <w:shd w:fill="1E2761" w:color="auto" w:val="clear"/>
            <w:tcMar>
              <w:top w:type="dxa" w:w="60"/>
              <w:left w:type="dxa" w:w="90"/>
              <w:bottom w:type="dxa" w:w="60"/>
              <w:right w:type="dxa" w:w="90"/>
            </w:tcMar>
            <w:vAlign w:val="center"/>
          </w:tcPr>
          <w:p>
            <w:pPr>
              <w:jc w:val="left"/>
            </w:pPr>
            <w:r>
              <w:rPr>
                <w:b/>
                <w:bCs/>
                <w:color w:val="FFFFFF"/>
                <w:sz w:val="18"/>
                <w:szCs w:val="18"/>
              </w:rPr>
              <w:t xml:space="preserve">Layer</w:t>
            </w:r>
          </w:p>
        </w:tc>
        <w:tc>
          <w:tcPr>
            <w:tcW w:type="dxa" w:w="6550"/>
            <w:shd w:fill="1E2761" w:color="auto" w:val="clear"/>
            <w:tcMar>
              <w:top w:type="dxa" w:w="60"/>
              <w:left w:type="dxa" w:w="90"/>
              <w:bottom w:type="dxa" w:w="60"/>
              <w:right w:type="dxa" w:w="90"/>
            </w:tcMar>
            <w:vAlign w:val="center"/>
          </w:tcPr>
          <w:p>
            <w:pPr>
              <w:jc w:val="left"/>
            </w:pPr>
            <w:r>
              <w:rPr>
                <w:b/>
                <w:bCs/>
                <w:color w:val="FFFFFF"/>
                <w:sz w:val="18"/>
                <w:szCs w:val="18"/>
              </w:rPr>
              <w:t xml:space="preserve">Responsibility</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Model Database</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25 Model records (11 parameters each) with per-parameter source justification text</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Use Case Library</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37 pre-scored UseCase records across 8 scoring axes, plus keyword lists for free-text matching</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Scoring Engine</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score_model() / rank_models() — deterministic 10-factor formula, identical logic in Python and JavaScript</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PTU Calculator</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compare_ptu_vs_payg() — reserved-capacity vs. per-token cost math, with every planning constant overridable</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Surface 1: CLI</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argparse-driven one-shot commands + a REPL chat loop; text output only</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Surface 2: Decision Cockpit</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Streamlit multi-page app; adds multi-model weighted comparison not present in the other two surfaces</w:t>
            </w:r>
          </w:p>
        </w:tc>
      </w:tr>
      <w:tr>
        <w:trPr>
          <w:cantSplit/>
        </w:trPr>
        <w:tc>
          <w:tcPr>
            <w:tcW w:type="dxa" w:w="2800"/>
            <w:tcMar>
              <w:top w:type="dxa" w:w="60"/>
              <w:left w:type="dxa" w:w="90"/>
              <w:bottom w:type="dxa" w:w="60"/>
              <w:right w:type="dxa" w:w="90"/>
            </w:tcMar>
            <w:vAlign w:val="center"/>
          </w:tcPr>
          <w:p>
            <w:pPr>
              <w:jc w:val="left"/>
            </w:pPr>
            <w:r>
              <w:rPr>
                <w:b w:val="false"/>
                <w:bCs w:val="false"/>
                <w:color w:val="000000"/>
                <w:sz w:val="18"/>
                <w:szCs w:val="18"/>
              </w:rPr>
              <w:t xml:space="preserve">Surface 3: Web App</w:t>
            </w:r>
          </w:p>
        </w:tc>
        <w:tc>
          <w:tcPr>
            <w:tcW w:type="dxa" w:w="6550"/>
            <w:tcMar>
              <w:top w:type="dxa" w:w="60"/>
              <w:left w:type="dxa" w:w="90"/>
              <w:bottom w:type="dxa" w:w="60"/>
              <w:right w:type="dxa" w:w="90"/>
            </w:tcMar>
            <w:vAlign w:val="center"/>
          </w:tcPr>
          <w:p>
            <w:pPr>
              <w:jc w:val="left"/>
            </w:pPr>
            <w:r>
              <w:rPr>
                <w:b w:val="false"/>
                <w:bCs w:val="false"/>
                <w:color w:val="000000"/>
                <w:sz w:val="18"/>
                <w:szCs w:val="18"/>
              </w:rPr>
              <w:t xml:space="preserve">Single static HTML file; DOM-rendered tables/cards driven by the embedded ADVISOR_DATA JSON</w:t>
            </w:r>
          </w:p>
        </w:tc>
      </w:tr>
    </w:tbl>
    <w:p>
      <w:pPr>
        <w:spacing w:after="160"/>
      </w:pPr>
    </w:p>
    <w:p>
      <w:pPr>
        <w:pStyle w:val="Heading2"/>
        <w:spacing w:after="120" w:before="260"/>
      </w:pPr>
      <w:r>
        <w:rPr>
          <w:b/>
          <w:bCs/>
        </w:rPr>
        <w:t xml:space="preserve">3.2 Deployment Architecture</w:t>
      </w:r>
    </w:p>
    <w:p>
      <w:pPr>
        <w:pStyle w:val="ListParagraph"/>
        <w:numPr>
          <w:ilvl w:val="0"/>
          <w:numId w:val="1"/>
        </w:numPr>
        <w:spacing w:after="90" w:line="264"/>
      </w:pPr>
      <w:r>
        <w:t xml:space="preserve">CLI: runs locally in any terminal against a local Python 3.9+ interpreter; no network access required; distributed as a single .py file.</w:t>
      </w:r>
    </w:p>
    <w:p>
      <w:pPr>
        <w:pStyle w:val="ListParagraph"/>
        <w:numPr>
          <w:ilvl w:val="0"/>
          <w:numId w:val="1"/>
        </w:numPr>
        <w:spacing w:after="90" w:line="264"/>
      </w:pPr>
      <w:r>
        <w:t xml:space="preserve">Decision Cockpit: a Streamlit server process (locally run via `streamlit run`, or deployed to any Streamlit-compatible host); stateless per session, no external database — all state lives in the Streamlit session and is recomputed from the embedded model/use-case tables on every interaction.</w:t>
      </w:r>
    </w:p>
    <w:p>
      <w:pPr>
        <w:pStyle w:val="ListParagraph"/>
        <w:numPr>
          <w:ilvl w:val="0"/>
          <w:numId w:val="1"/>
        </w:numPr>
        <w:spacing w:after="90" w:line="264"/>
      </w:pPr>
      <w:r>
        <w:t xml:space="preserve">Web App: a static file; can be opened directly from disk (file://) or hosted on any static file server / CDN; has zero server-side component and zero external network calls at runtime.</w:t>
      </w:r>
    </w:p>
    <w:p>
      <w:pPr>
        <w:pStyle w:val="Heading2"/>
        <w:spacing w:after="120" w:before="260"/>
      </w:pPr>
      <w:r>
        <w:rPr>
          <w:b/>
          <w:bCs/>
        </w:rPr>
        <w:t xml:space="preserve">3.3 Recommendation Data Flow</w:t>
      </w:r>
    </w:p>
    <w:p>
      <w:pPr>
        <w:spacing w:after="160" w:line="276"/>
      </w:pPr>
      <w:r>
        <w:t xml:space="preserve">All three surfaces funnel a user's request through the same four logical stages: match or infer a UseCase, score every Model against it, rank the results, and format the ranked output for that surface's UI. The heuristic fallback (Section 3.3, stage 2) is what lets the tool respond usefully even to free-text queries that don't exactly match one of the 37 curated use cases.</w:t>
      </w:r>
    </w:p>
    <w:p>
      <w:pPr>
        <w:spacing w:after="40" w:before="120"/>
        <w:jc w:val="center"/>
      </w:pPr>
      <w:r>
        <w:drawing>
          <wp:inline distT="0" distB="0" distL="0" distR="0">
            <wp:extent cx="3810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486275"/>
                    </a:xfrm>
                    <a:prstGeom prst="rect">
                      <a:avLst/>
                    </a:prstGeom>
                  </pic:spPr>
                </pic:pic>
              </a:graphicData>
            </a:graphic>
          </wp:inline>
        </w:drawing>
      </w:r>
    </w:p>
    <w:p>
      <w:pPr>
        <w:spacing w:after="260" w:before="80"/>
        <w:jc w:val="center"/>
      </w:pPr>
      <w:r>
        <w:rPr>
          <w:i/>
          <w:iCs/>
          <w:color w:val="5B6472"/>
          <w:sz w:val="18"/>
          <w:szCs w:val="18"/>
        </w:rPr>
        <w:t xml:space="preserve">Figure 3.1 — End-to-end recommendation pipeline, from free-text query to ranked output.</w:t>
      </w:r>
    </w:p>
    <w:p>
      <w:r>
        <w:br w:type="page"/>
      </w:r>
    </w:p>
    <w:p>
      <w:pPr>
        <w:pStyle w:val="Heading1"/>
        <w:spacing w:after="160" w:before="360"/>
      </w:pPr>
      <w:r>
        <w:rPr>
          <w:b/>
          <w:bCs/>
        </w:rPr>
        <w:t xml:space="preserve">4. Data Model</w:t>
      </w:r>
    </w:p>
    <w:p>
      <w:pPr>
        <w:pStyle w:val="Heading2"/>
        <w:spacing w:after="120" w:before="260"/>
      </w:pPr>
      <w:r>
        <w:rPr>
          <w:b/>
          <w:bCs/>
        </w:rPr>
        <w:t xml:space="preserve">4.1 Model Entity</w:t>
      </w:r>
    </w:p>
    <w:p>
      <w:pPr>
        <w:spacing w:after="160" w:line="276"/>
      </w:pPr>
      <w:r>
        <w:t xml:space="preserve">Every model in the database is one Model record with 19 fields covering pricing, capability, and provenance. blended_price() is a derived method — not a stored field — that applies Artificial Analysis's standard 7:2:1 cache-hit:input:output weighting to approximate realistic production traffic.</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1900"/>
        <w:gridCol w:w="1500"/>
        <w:gridCol w:w="5950"/>
      </w:tblGrid>
      <w:tr>
        <w:trPr>
          <w:cantSplit/>
          <w:tblHeader/>
        </w:trPr>
        <w:tc>
          <w:tcPr>
            <w:tcW w:type="dxa" w:w="1900"/>
            <w:shd w:fill="1E2761"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Type</w:t>
            </w:r>
          </w:p>
        </w:tc>
        <w:tc>
          <w:tcPr>
            <w:tcW w:type="dxa" w:w="5950"/>
            <w:shd w:fill="1E2761" w:color="auto" w:val="clear"/>
            <w:tcMar>
              <w:top w:type="dxa" w:w="60"/>
              <w:left w:type="dxa" w:w="90"/>
              <w:bottom w:type="dxa" w:w="60"/>
              <w:right w:type="dxa" w:w="90"/>
            </w:tcMar>
            <w:vAlign w:val="center"/>
          </w:tcPr>
          <w:p>
            <w:pPr>
              <w:jc w:val="left"/>
            </w:pPr>
            <w:r>
              <w:rPr>
                <w:b/>
                <w:bCs/>
                <w:color w:val="FFFFFF"/>
                <w:sz w:val="18"/>
                <w:szCs w:val="18"/>
              </w:rPr>
              <w:t xml:space="preserve">Description</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name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Display name, primary key for lookups</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vendor</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Vendor / lab name</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input_price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 per 1M input tokens</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output_price</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 per 1M output tokens</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cache_hit_price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 | None</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 per 1M cached input tokens, if published</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context</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int</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Maximum context window, tokens</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intelligence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int | None</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Artificial Analysis Intelligence Index score, or None if unpublished</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speed</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int</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Approx. output tokens/second</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ttft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Approx. time-to-first-token, seconds</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knowledge_cutoff</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Human-readable reliable knowledge cutoff date</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release_date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Human-readable GA release date</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eval_cost</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float | None</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 to run the full Intelligence Index suite once, if published</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reasoning</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Whether the model is reasoning-tuned</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vision</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Native image input support</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open_weight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Whether weights can be downloaded / self-hosted</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ocr_accuracy</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float | None</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Measured document/OCR accuracy %, if independently measured</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audio_input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Native audio understanding (not bolted-on transcription)</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video_input</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Native video / frame-motion understanding</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image_gen</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Vendor offers native or sibling image generation</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notes</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One-line vendor-level positioning note</w:t>
            </w:r>
          </w:p>
        </w:tc>
      </w:tr>
    </w:tbl>
    <w:p>
      <w:pPr>
        <w:spacing w:after="160"/>
      </w:pPr>
    </w:p>
    <w:p>
      <w:pPr>
        <w:pStyle w:val="Heading2"/>
        <w:spacing w:after="120" w:before="260"/>
      </w:pPr>
      <w:r>
        <w:rPr>
          <w:b/>
          <w:bCs/>
        </w:rPr>
        <w:t xml:space="preserve">4.2 UseCase Entity</w:t>
      </w:r>
    </w:p>
    <w:p>
      <w:pPr>
        <w:spacing w:after="160" w:line="276"/>
      </w:pPr>
      <w:r>
        <w:t xml:space="preserve">Every pre-built use case is scored once, ahead of time, on eight axes — five numeric (1–5 scale) and three boolean capability flags — plus a keyword list that lets free-text queries match it without an exact title match.</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1900"/>
        <w:gridCol w:w="1500"/>
        <w:gridCol w:w="5950"/>
      </w:tblGrid>
      <w:tr>
        <w:trPr>
          <w:cantSplit/>
          <w:tblHeader/>
        </w:trPr>
        <w:tc>
          <w:tcPr>
            <w:tcW w:type="dxa" w:w="1900"/>
            <w:shd w:fill="1E2761"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Type</w:t>
            </w:r>
          </w:p>
        </w:tc>
        <w:tc>
          <w:tcPr>
            <w:tcW w:type="dxa" w:w="5950"/>
            <w:shd w:fill="1E2761" w:color="auto" w:val="clear"/>
            <w:tcMar>
              <w:top w:type="dxa" w:w="60"/>
              <w:left w:type="dxa" w:w="90"/>
              <w:bottom w:type="dxa" w:w="60"/>
              <w:right w:type="dxa" w:w="90"/>
            </w:tcMar>
            <w:vAlign w:val="center"/>
          </w:tcPr>
          <w:p>
            <w:pPr>
              <w:jc w:val="left"/>
            </w:pPr>
            <w:r>
              <w:rPr>
                <w:b/>
                <w:bCs/>
                <w:color w:val="FFFFFF"/>
                <w:sz w:val="18"/>
                <w:szCs w:val="18"/>
              </w:rPr>
              <w:t xml:space="preserve">Description</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name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Display name, e.g. “FNOL triage”</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category</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str</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Business category, e.g. “Claims”, “Underwriting”, “Reinsurance”</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complexity</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int 1–5</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Simple lookup (1) → deep reasoning (5); drives the Intelligence Index target</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latency</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int 1–5</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Batch-tolerant (1) → real-time (5); drives the speed/TTFT weighting</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volume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int 1–5</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Low volume (1) → very high volume (5); drives cost weighting</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context</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int 1–5</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&lt;8K tokens (1) → 2M+ tokens (5); drives the hard context-window filter</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regulated</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Whether the workflow carries regulatory/compliance exposure</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vision</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Whether the task requires native image input</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open_weight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Whether self-hosting / data residency is required</w:t>
            </w:r>
          </w:p>
        </w:tc>
      </w:tr>
      <w:tr>
        <w:trPr>
          <w:cantSplit/>
        </w:trPr>
        <w:tc>
          <w:tcPr>
            <w:tcW w:type="dxa" w:w="19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audio / video / image_gen</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bool</w:t>
            </w:r>
          </w:p>
        </w:tc>
        <w:tc>
          <w:tcPr>
            <w:tcW w:type="dxa" w:w="59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Additional modality hard requirements, added for call-center, video-inspection, and image-generation use cases</w:t>
            </w:r>
          </w:p>
        </w:tc>
      </w:tr>
      <w:tr>
        <w:trPr>
          <w:cantSplit/>
        </w:trP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keywords</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list[str]</w:t>
            </w:r>
          </w:p>
        </w:tc>
        <w:tc>
          <w:tcPr>
            <w:tcW w:type="dxa" w:w="5950"/>
            <w:tcMar>
              <w:top w:type="dxa" w:w="60"/>
              <w:left w:type="dxa" w:w="90"/>
              <w:bottom w:type="dxa" w:w="60"/>
              <w:right w:type="dxa" w:w="90"/>
            </w:tcMar>
            <w:vAlign w:val="center"/>
          </w:tcPr>
          <w:p>
            <w:pPr>
              <w:jc w:val="left"/>
            </w:pPr>
            <w:r>
              <w:rPr>
                <w:b w:val="false"/>
                <w:bCs w:val="false"/>
                <w:color w:val="000000"/>
                <w:sz w:val="18"/>
                <w:szCs w:val="18"/>
              </w:rPr>
              <w:t xml:space="preserve">Synonyms used for free-text keyword matching (find_use_case())</w:t>
            </w:r>
          </w:p>
        </w:tc>
      </w:tr>
    </w:tbl>
    <w:p>
      <w:pPr>
        <w:spacing w:after="160"/>
      </w:pPr>
    </w:p>
    <w:p>
      <w:pPr>
        <w:pStyle w:val="Heading2"/>
        <w:spacing w:after="120" w:before="260"/>
      </w:pPr>
      <w:r>
        <w:rPr>
          <w:b/>
          <w:bCs/>
        </w:rPr>
        <w:t xml:space="preserve">4.3 PTUConfig Entity</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400"/>
        <w:gridCol w:w="1500"/>
        <w:gridCol w:w="5450"/>
      </w:tblGrid>
      <w:tr>
        <w:trPr>
          <w:cantSplit/>
          <w:tblHeader/>
        </w:trPr>
        <w:tc>
          <w:tcPr>
            <w:tcW w:type="dxa" w:w="2400"/>
            <w:shd w:fill="1E2761" w:color="auto" w:val="clear"/>
            <w:tcMar>
              <w:top w:type="dxa" w:w="60"/>
              <w:left w:type="dxa" w:w="90"/>
              <w:bottom w:type="dxa" w:w="60"/>
              <w:right w:type="dxa" w:w="90"/>
            </w:tcMar>
            <w:vAlign w:val="center"/>
          </w:tcPr>
          <w:p>
            <w:pPr>
              <w:jc w:val="left"/>
            </w:pPr>
            <w:r>
              <w:rPr>
                <w:b/>
                <w:bCs/>
                <w:color w:val="FFFFFF"/>
                <w:sz w:val="18"/>
                <w:szCs w:val="18"/>
              </w:rPr>
              <w:t xml:space="preserve">Field</w:t>
            </w:r>
          </w:p>
        </w:tc>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Type</w:t>
            </w:r>
          </w:p>
        </w:tc>
        <w:tc>
          <w:tcPr>
            <w:tcW w:type="dxa" w:w="5450"/>
            <w:shd w:fill="1E2761" w:color="auto" w:val="clear"/>
            <w:tcMar>
              <w:top w:type="dxa" w:w="60"/>
              <w:left w:type="dxa" w:w="90"/>
              <w:bottom w:type="dxa" w:w="60"/>
              <w:right w:type="dxa" w:w="90"/>
            </w:tcMar>
            <w:vAlign w:val="center"/>
          </w:tcPr>
          <w:p>
            <w:pPr>
              <w:jc w:val="left"/>
            </w:pPr>
            <w:r>
              <w:rPr>
                <w:b/>
                <w:bCs/>
                <w:color w:val="FFFFFF"/>
                <w:sz w:val="18"/>
                <w:szCs w:val="18"/>
              </w:rPr>
              <w:t xml:space="preserve">Description</w:t>
            </w:r>
          </w:p>
        </w:tc>
      </w:tr>
      <w:tr>
        <w:trPr>
          <w:cantSplit/>
        </w:trPr>
        <w:tc>
          <w:tcPr>
            <w:tcW w:type="dxa" w:w="2400"/>
            <w:tcMar>
              <w:top w:type="dxa" w:w="60"/>
              <w:left w:type="dxa" w:w="90"/>
              <w:bottom w:type="dxa" w:w="60"/>
              <w:right w:type="dxa" w:w="90"/>
            </w:tcMar>
            <w:vAlign w:val="center"/>
          </w:tcPr>
          <w:p>
            <w:pPr>
              <w:jc w:val="left"/>
            </w:pPr>
            <w:r>
              <w:rPr>
                <w:b w:val="false"/>
                <w:bCs w:val="false"/>
                <w:color w:val="000000"/>
                <w:sz w:val="18"/>
                <w:szCs w:val="18"/>
              </w:rPr>
              <w:t xml:space="preserve">ptus_available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450"/>
            <w:tcMar>
              <w:top w:type="dxa" w:w="60"/>
              <w:left w:type="dxa" w:w="90"/>
              <w:bottom w:type="dxa" w:w="60"/>
              <w:right w:type="dxa" w:w="90"/>
            </w:tcMar>
            <w:vAlign w:val="center"/>
          </w:tcPr>
          <w:p>
            <w:pPr>
              <w:jc w:val="left"/>
            </w:pPr>
            <w:r>
              <w:rPr>
                <w:b w:val="false"/>
                <w:bCs w:val="false"/>
                <w:color w:val="000000"/>
                <w:sz w:val="18"/>
                <w:szCs w:val="18"/>
              </w:rPr>
              <w:t xml:space="preserve">Number of PTUs the user has or is pricing out</w:t>
            </w:r>
          </w:p>
        </w:tc>
      </w:tr>
      <w:tr>
        <w:trPr>
          <w:cantSplit/>
        </w:trPr>
        <w:tc>
          <w:tcPr>
            <w:tcW w:type="dxa" w:w="24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ptu_hourly_cost</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 per PTU per hour — defaults by billing commitment, always overridable</w:t>
            </w:r>
          </w:p>
        </w:tc>
      </w:tr>
      <w:tr>
        <w:trPr>
          <w:cantSplit/>
        </w:trPr>
        <w:tc>
          <w:tcPr>
            <w:tcW w:type="dxa" w:w="2400"/>
            <w:tcMar>
              <w:top w:type="dxa" w:w="60"/>
              <w:left w:type="dxa" w:w="90"/>
              <w:bottom w:type="dxa" w:w="60"/>
              <w:right w:type="dxa" w:w="90"/>
            </w:tcMar>
            <w:vAlign w:val="center"/>
          </w:tcPr>
          <w:p>
            <w:pPr>
              <w:jc w:val="left"/>
            </w:pPr>
            <w:r>
              <w:rPr>
                <w:b w:val="false"/>
                <w:bCs w:val="false"/>
                <w:color w:val="000000"/>
                <w:sz w:val="18"/>
                <w:szCs w:val="18"/>
              </w:rPr>
              <w:t xml:space="preserve">tpm_per_ptu</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 | None</w:t>
            </w:r>
          </w:p>
        </w:tc>
        <w:tc>
          <w:tcPr>
            <w:tcW w:type="dxa" w:w="5450"/>
            <w:tcMar>
              <w:top w:type="dxa" w:w="60"/>
              <w:left w:type="dxa" w:w="90"/>
              <w:bottom w:type="dxa" w:w="60"/>
              <w:right w:type="dxa" w:w="90"/>
            </w:tcMar>
            <w:vAlign w:val="center"/>
          </w:tcPr>
          <w:p>
            <w:pPr>
              <w:jc w:val="left"/>
            </w:pPr>
            <w:r>
              <w:rPr>
                <w:b w:val="false"/>
                <w:bCs w:val="false"/>
                <w:color w:val="000000"/>
                <w:sz w:val="18"/>
                <w:szCs w:val="18"/>
              </w:rPr>
              <w:t xml:space="preserve">Tokens/minute one PTU delivers for this model; None → per-model planning default</w:t>
            </w:r>
          </w:p>
        </w:tc>
      </w:tr>
      <w:tr>
        <w:trPr>
          <w:cantSplit/>
        </w:trPr>
        <w:tc>
          <w:tcPr>
            <w:tcW w:type="dxa" w:w="24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hours_per_month</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float</w:t>
            </w:r>
          </w:p>
        </w:tc>
        <w:tc>
          <w:tcPr>
            <w:tcW w:type="dxa" w:w="5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Billing period assumption; defaults to 730 (24/7 monthly reservation)</w:t>
            </w:r>
          </w:p>
        </w:tc>
      </w:tr>
      <w:tr>
        <w:trPr>
          <w:cantSplit/>
        </w:trPr>
        <w:tc>
          <w:tcPr>
            <w:tcW w:type="dxa" w:w="2400"/>
            <w:tcMar>
              <w:top w:type="dxa" w:w="60"/>
              <w:left w:type="dxa" w:w="90"/>
              <w:bottom w:type="dxa" w:w="60"/>
              <w:right w:type="dxa" w:w="90"/>
            </w:tcMar>
            <w:vAlign w:val="center"/>
          </w:tcPr>
          <w:p>
            <w:pPr>
              <w:jc w:val="left"/>
            </w:pPr>
            <w:r>
              <w:rPr>
                <w:b w:val="false"/>
                <w:bCs w:val="false"/>
                <w:color w:val="000000"/>
                <w:sz w:val="18"/>
                <w:szCs w:val="18"/>
              </w:rPr>
              <w:t xml:space="preserve">output_weight</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float | None</w:t>
            </w:r>
          </w:p>
        </w:tc>
        <w:tc>
          <w:tcPr>
            <w:tcW w:type="dxa" w:w="5450"/>
            <w:tcMar>
              <w:top w:type="dxa" w:w="60"/>
              <w:left w:type="dxa" w:w="90"/>
              <w:bottom w:type="dxa" w:w="60"/>
              <w:right w:type="dxa" w:w="90"/>
            </w:tcMar>
            <w:vAlign w:val="center"/>
          </w:tcPr>
          <w:p>
            <w:pPr>
              <w:jc w:val="left"/>
            </w:pPr>
            <w:r>
              <w:rPr>
                <w:b w:val="false"/>
                <w:bCs w:val="false"/>
                <w:color w:val="000000"/>
                <w:sz w:val="18"/>
                <w:szCs w:val="18"/>
              </w:rPr>
              <w:t xml:space="preserve">Input-token-equivalents one output token consumes against PTU capacity; None → derived from the model's output:input price ratio</w:t>
            </w:r>
          </w:p>
        </w:tc>
      </w:tr>
    </w:tbl>
    <w:p>
      <w:pPr>
        <w:spacing w:after="200"/>
      </w:pPr>
    </w:p>
    <w:p>
      <w:pPr>
        <w:pStyle w:val="Heading2"/>
        <w:spacing w:after="120" w:before="260"/>
      </w:pPr>
      <w:r>
        <w:rPr>
          <w:b/>
          <w:bCs/>
        </w:rPr>
        <w:t xml:space="preserve">4.4 Model Database Snapshot</w:t>
      </w:r>
    </w:p>
    <w:p>
      <w:pPr>
        <w:spacing w:after="160" w:line="276"/>
      </w:pPr>
      <w:r>
        <w:t xml:space="preserve">The database currently holds 25 models across 12 vendors, plus a dedicated five-model Small Language Model (SLM) tier. All figures are sourced from vendor API pricing pages and the Artificial Analysis Intelligence Index, snapshotted June 2026 — treat as a point-in-time reference, not a live feed (see Section 11).</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1500"/>
        <w:gridCol w:w="1050"/>
        <w:gridCol w:w="750"/>
        <w:gridCol w:w="800"/>
        <w:gridCol w:w="600"/>
        <w:gridCol w:w="650"/>
        <w:gridCol w:w="600"/>
        <w:gridCol w:w="600"/>
        <w:gridCol w:w="700"/>
        <w:gridCol w:w="700"/>
        <w:gridCol w:w="700"/>
        <w:gridCol w:w="700"/>
      </w:tblGrid>
      <w:tr>
        <w:trPr>
          <w:cantSplit/>
          <w:tblHeader/>
        </w:trPr>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Model</w:t>
            </w:r>
          </w:p>
        </w:tc>
        <w:tc>
          <w:tcPr>
            <w:tcW w:type="dxa" w:w="1050"/>
            <w:shd w:fill="1E2761" w:color="auto" w:val="clear"/>
            <w:tcMar>
              <w:top w:type="dxa" w:w="60"/>
              <w:left w:type="dxa" w:w="90"/>
              <w:bottom w:type="dxa" w:w="60"/>
              <w:right w:type="dxa" w:w="90"/>
            </w:tcMar>
            <w:vAlign w:val="center"/>
          </w:tcPr>
          <w:p>
            <w:pPr>
              <w:jc w:val="left"/>
            </w:pPr>
            <w:r>
              <w:rPr>
                <w:b/>
                <w:bCs/>
                <w:color w:val="FFFFFF"/>
                <w:sz w:val="18"/>
                <w:szCs w:val="18"/>
              </w:rPr>
              <w:t xml:space="preserve">Vendor</w:t>
            </w:r>
          </w:p>
        </w:tc>
        <w:tc>
          <w:tcPr>
            <w:tcW w:type="dxa" w:w="750"/>
            <w:shd w:fill="1E2761" w:color="auto" w:val="clear"/>
            <w:tcMar>
              <w:top w:type="dxa" w:w="60"/>
              <w:left w:type="dxa" w:w="90"/>
              <w:bottom w:type="dxa" w:w="60"/>
              <w:right w:type="dxa" w:w="90"/>
            </w:tcMar>
            <w:vAlign w:val="center"/>
          </w:tcPr>
          <w:p>
            <w:pPr>
              <w:jc w:val="left"/>
            </w:pPr>
            <w:r>
              <w:rPr>
                <w:b/>
                <w:bCs/>
                <w:color w:val="FFFFFF"/>
                <w:sz w:val="18"/>
                <w:szCs w:val="18"/>
              </w:rPr>
              <w:t xml:space="preserve">In $/M</w:t>
            </w:r>
          </w:p>
        </w:tc>
        <w:tc>
          <w:tcPr>
            <w:tcW w:type="dxa" w:w="800"/>
            <w:shd w:fill="1E2761" w:color="auto" w:val="clear"/>
            <w:tcMar>
              <w:top w:type="dxa" w:w="60"/>
              <w:left w:type="dxa" w:w="90"/>
              <w:bottom w:type="dxa" w:w="60"/>
              <w:right w:type="dxa" w:w="90"/>
            </w:tcMar>
            <w:vAlign w:val="center"/>
          </w:tcPr>
          <w:p>
            <w:pPr>
              <w:jc w:val="left"/>
            </w:pPr>
            <w:r>
              <w:rPr>
                <w:b/>
                <w:bCs/>
                <w:color w:val="FFFFFF"/>
                <w:sz w:val="18"/>
                <w:szCs w:val="18"/>
              </w:rPr>
              <w:t xml:space="preserve">Out $/M</w:t>
            </w:r>
          </w:p>
        </w:tc>
        <w:tc>
          <w:tcPr>
            <w:tcW w:type="dxa" w:w="600"/>
            <w:shd w:fill="1E2761" w:color="auto" w:val="clear"/>
            <w:tcMar>
              <w:top w:type="dxa" w:w="60"/>
              <w:left w:type="dxa" w:w="90"/>
              <w:bottom w:type="dxa" w:w="60"/>
              <w:right w:type="dxa" w:w="90"/>
            </w:tcMar>
            <w:vAlign w:val="center"/>
          </w:tcPr>
          <w:p>
            <w:pPr>
              <w:jc w:val="left"/>
            </w:pPr>
            <w:r>
              <w:rPr>
                <w:b/>
                <w:bCs/>
                <w:color w:val="FFFFFF"/>
                <w:sz w:val="18"/>
                <w:szCs w:val="18"/>
              </w:rPr>
              <w:t xml:space="preserve">Ctx</w:t>
            </w:r>
          </w:p>
        </w:tc>
        <w:tc>
          <w:tcPr>
            <w:tcW w:type="dxa" w:w="650"/>
            <w:shd w:fill="1E2761" w:color="auto" w:val="clear"/>
            <w:tcMar>
              <w:top w:type="dxa" w:w="60"/>
              <w:left w:type="dxa" w:w="90"/>
              <w:bottom w:type="dxa" w:w="60"/>
              <w:right w:type="dxa" w:w="90"/>
            </w:tcMar>
            <w:vAlign w:val="center"/>
          </w:tcPr>
          <w:p>
            <w:pPr>
              <w:jc w:val="left"/>
            </w:pPr>
            <w:r>
              <w:rPr>
                <w:b/>
                <w:bCs/>
                <w:color w:val="FFFFFF"/>
                <w:sz w:val="18"/>
                <w:szCs w:val="18"/>
              </w:rPr>
              <w:t xml:space="preserve">Intel.</w:t>
            </w:r>
          </w:p>
        </w:tc>
        <w:tc>
          <w:tcPr>
            <w:tcW w:type="dxa" w:w="600"/>
            <w:shd w:fill="1E2761" w:color="auto" w:val="clear"/>
            <w:tcMar>
              <w:top w:type="dxa" w:w="60"/>
              <w:left w:type="dxa" w:w="90"/>
              <w:bottom w:type="dxa" w:w="60"/>
              <w:right w:type="dxa" w:w="90"/>
            </w:tcMar>
            <w:vAlign w:val="center"/>
          </w:tcPr>
          <w:p>
            <w:pPr>
              <w:jc w:val="left"/>
            </w:pPr>
            <w:r>
              <w:rPr>
                <w:b/>
                <w:bCs/>
                <w:color w:val="FFFFFF"/>
                <w:sz w:val="18"/>
                <w:szCs w:val="18"/>
              </w:rPr>
              <w:t xml:space="preserve">tok/s</w:t>
            </w:r>
          </w:p>
        </w:tc>
        <w:tc>
          <w:tcPr>
            <w:tcW w:type="dxa" w:w="600"/>
            <w:shd w:fill="1E2761" w:color="auto" w:val="clear"/>
            <w:tcMar>
              <w:top w:type="dxa" w:w="60"/>
              <w:left w:type="dxa" w:w="90"/>
              <w:bottom w:type="dxa" w:w="60"/>
              <w:right w:type="dxa" w:w="90"/>
            </w:tcMar>
            <w:vAlign w:val="center"/>
          </w:tcPr>
          <w:p>
            <w:pPr>
              <w:jc w:val="left"/>
            </w:pPr>
            <w:r>
              <w:rPr>
                <w:b/>
                <w:bCs/>
                <w:color w:val="FFFFFF"/>
                <w:sz w:val="18"/>
                <w:szCs w:val="18"/>
              </w:rPr>
              <w:t xml:space="preserve">TTFT</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Open</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Vision</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Audio</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Video</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Claude Haiku 4.5</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$1.00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$5.00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200K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30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120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0.8s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Claude Sonnet 4.6</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$3.00</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$15.00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42</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90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1.5s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Claude Opus 4.7</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$5.00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$25.00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54</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50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13.3s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GPT-5.4 mini</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$0.75</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$4.50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400K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155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0.66s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GPT-5.4</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$2.50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$15.00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1.1M</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51</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166</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2.5s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GPT-5.5</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$5.00</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$30.00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1.05M</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55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79</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5s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Gemini 3.1 Flash-Lite</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$0.25</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$1.50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25</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359</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0.5s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Gemini 3.1 Pro</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$2.00</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$12.00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2M</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46</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138</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2.6s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Llama 4 Scout</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$0.08</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$0.30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10M</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14</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140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Llama 4 Maverick</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$0.27</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$0.85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14</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110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DeepSeek V3.2</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DeepSeek</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$0.28</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$0.42</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25</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DeepSeek R1</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DeepSeek</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$0.55</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$2.19</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64K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40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90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1.8s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Mistral Large 3</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Mistral</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$0.50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$1.50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256K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32</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95</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1.1s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Phi-4</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Microsoft</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$0.13</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$0.50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16K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2.1s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Command A</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Cohere</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$2.50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$10.00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256K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8</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68</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1.6s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Command A+</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Cohere</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$2.50</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$10.00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200K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37</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201</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0.35s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Qwen3.7 Max</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Alibaba</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$2.50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$7.50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46</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200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2.6s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Grok 4.3</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xAI</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$1.25</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$2.50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1M</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38</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139</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16.6s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Nova Pro</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Amazon</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$0.80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$3.20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300K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13</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75</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1.5s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Nova Micro</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Amazon</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$0.04</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$0.14</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300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0.4s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Gemma 4 E4B</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$0.04</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$0.08</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15</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140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0.9s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Llama 3.2 3B</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$0.02</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$0.06</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150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0.6s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Qwen3.5 9B</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Alibaba</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$0.10</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$0.30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262K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32</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90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1.3s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Ministral 3 8B</w:t>
            </w:r>
          </w:p>
        </w:tc>
        <w:tc>
          <w:tcPr>
            <w:tcW w:type="dxa" w:w="10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Mistral</w:t>
            </w:r>
          </w:p>
        </w:tc>
        <w:tc>
          <w:tcPr>
            <w:tcW w:type="dxa" w:w="7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$0.10</w:t>
            </w:r>
          </w:p>
        </w:tc>
        <w:tc>
          <w:tcPr>
            <w:tcW w:type="dxa" w:w="8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$0.10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15</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110</w:t>
            </w:r>
          </w:p>
        </w:tc>
        <w:tc>
          <w:tcPr>
            <w:tcW w:type="dxa" w:w="600"/>
            <w:shd w:fill="F3F6FD" w:color="auto" w:val="clear"/>
            <w:tcMar>
              <w:top w:type="dxa" w:w="60"/>
              <w:left w:type="dxa" w:w="90"/>
              <w:bottom w:type="dxa" w:w="60"/>
              <w:right w:type="dxa" w:w="90"/>
            </w:tcMar>
            <w:vAlign w:val="center"/>
          </w:tcPr>
          <w:p>
            <w:pPr>
              <w:jc w:val="right"/>
            </w:pPr>
            <w:r>
              <w:rPr>
                <w:b w:val="false"/>
                <w:bCs w:val="false"/>
                <w:color w:val="000000"/>
                <w:sz w:val="18"/>
                <w:szCs w:val="18"/>
              </w:rPr>
              <w:t xml:space="preserve">1s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Granite 4.1 8B</w:t>
            </w:r>
          </w:p>
        </w:tc>
        <w:tc>
          <w:tcPr>
            <w:tcW w:type="dxa" w:w="1050"/>
            <w:tcMar>
              <w:top w:type="dxa" w:w="60"/>
              <w:left w:type="dxa" w:w="90"/>
              <w:bottom w:type="dxa" w:w="60"/>
              <w:right w:type="dxa" w:w="90"/>
            </w:tcMar>
            <w:vAlign w:val="center"/>
          </w:tcPr>
          <w:p>
            <w:pPr>
              <w:jc w:val="left"/>
            </w:pPr>
            <w:r>
              <w:rPr>
                <w:b w:val="false"/>
                <w:bCs w:val="false"/>
                <w:color w:val="000000"/>
                <w:sz w:val="18"/>
                <w:szCs w:val="18"/>
              </w:rPr>
              <w:t xml:space="preserve">IBM</w:t>
            </w:r>
          </w:p>
        </w:tc>
        <w:tc>
          <w:tcPr>
            <w:tcW w:type="dxa" w:w="750"/>
            <w:tcMar>
              <w:top w:type="dxa" w:w="60"/>
              <w:left w:type="dxa" w:w="90"/>
              <w:bottom w:type="dxa" w:w="60"/>
              <w:right w:type="dxa" w:w="90"/>
            </w:tcMar>
            <w:vAlign w:val="center"/>
          </w:tcPr>
          <w:p>
            <w:pPr>
              <w:jc w:val="right"/>
            </w:pPr>
            <w:r>
              <w:rPr>
                <w:b w:val="false"/>
                <w:bCs w:val="false"/>
                <w:color w:val="000000"/>
                <w:sz w:val="18"/>
                <w:szCs w:val="18"/>
              </w:rPr>
              <w:t xml:space="preserve">$0.05</w:t>
            </w:r>
          </w:p>
        </w:tc>
        <w:tc>
          <w:tcPr>
            <w:tcW w:type="dxa" w:w="800"/>
            <w:tcMar>
              <w:top w:type="dxa" w:w="60"/>
              <w:left w:type="dxa" w:w="90"/>
              <w:bottom w:type="dxa" w:w="60"/>
              <w:right w:type="dxa" w:w="90"/>
            </w:tcMar>
            <w:vAlign w:val="center"/>
          </w:tcPr>
          <w:p>
            <w:pPr>
              <w:jc w:val="right"/>
            </w:pPr>
            <w:r>
              <w:rPr>
                <w:b w:val="false"/>
                <w:bCs w:val="false"/>
                <w:color w:val="000000"/>
                <w:sz w:val="18"/>
                <w:szCs w:val="18"/>
              </w:rPr>
              <w:t xml:space="preserve">$0.10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128K</w:t>
            </w:r>
          </w:p>
        </w:tc>
        <w:tc>
          <w:tcPr>
            <w:tcW w:type="dxa" w:w="650"/>
            <w:tcMar>
              <w:top w:type="dxa" w:w="60"/>
              <w:left w:type="dxa" w:w="90"/>
              <w:bottom w:type="dxa" w:w="60"/>
              <w:right w:type="dxa" w:w="90"/>
            </w:tcMar>
            <w:vAlign w:val="center"/>
          </w:tcPr>
          <w:p>
            <w:pPr>
              <w:jc w:val="right"/>
            </w:pPr>
            <w:r>
              <w:rPr>
                <w:b w:val="false"/>
                <w:bCs w:val="false"/>
                <w:color w:val="000000"/>
                <w:sz w:val="18"/>
                <w:szCs w:val="18"/>
              </w:rPr>
              <w:t xml:space="preserve">12</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130</w:t>
            </w:r>
          </w:p>
        </w:tc>
        <w:tc>
          <w:tcPr>
            <w:tcW w:type="dxa" w:w="600"/>
            <w:tcMar>
              <w:top w:type="dxa" w:w="60"/>
              <w:left w:type="dxa" w:w="90"/>
              <w:bottom w:type="dxa" w:w="60"/>
              <w:right w:type="dxa" w:w="90"/>
            </w:tcMar>
            <w:vAlign w:val="center"/>
          </w:tcPr>
          <w:p>
            <w:pPr>
              <w:jc w:val="right"/>
            </w:pPr>
            <w:r>
              <w:rPr>
                <w:b w:val="false"/>
                <w:bCs w:val="false"/>
                <w:color w:val="000000"/>
                <w:sz w:val="18"/>
                <w:szCs w:val="18"/>
              </w:rPr>
              <w:t xml:space="preserve">0.8s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bl>
    <w:p>
      <w:pPr>
        <w:spacing w:after="260" w:before="80"/>
        <w:jc w:val="center"/>
      </w:pPr>
      <w:r>
        <w:rPr>
          <w:i/>
          <w:iCs/>
          <w:color w:val="5B6472"/>
          <w:sz w:val="18"/>
          <w:szCs w:val="18"/>
        </w:rPr>
        <w:t xml:space="preserve">Table 4.1 — Full 25-model database. Pricing per 1M tokens (USD). “Intel.” = Artificial Analysis Intelligence Index.</w:t>
      </w:r>
    </w:p>
    <w:p>
      <w:pPr>
        <w:spacing w:after="200"/>
      </w:pPr>
    </w:p>
    <w:p>
      <w:pPr>
        <w:pStyle w:val="Heading2"/>
        <w:spacing w:after="120" w:before="260"/>
      </w:pPr>
      <w:r>
        <w:rPr>
          <w:b/>
          <w:bCs/>
        </w:rPr>
        <w:t xml:space="preserve">4.5 Use Case Library Summary</w:t>
      </w:r>
    </w:p>
    <w:p>
      <w:pPr>
        <w:spacing w:after="160" w:line="276"/>
      </w:pPr>
      <w:r>
        <w:t xml:space="preserve">The 37 use cases span the following business categories (count per family shown). Every use case also carries a free-text keyword list so a query like “FNOL triage” or “claim intake” resolves to the same pre-scored record.</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7100"/>
        <w:gridCol w:w="2250"/>
      </w:tblGrid>
      <w:tr>
        <w:trPr>
          <w:cantSplit/>
          <w:tblHeader/>
        </w:trPr>
        <w:tc>
          <w:tcPr>
            <w:tcW w:type="dxa" w:w="7100"/>
            <w:shd w:fill="1E2761" w:color="auto" w:val="clear"/>
            <w:tcMar>
              <w:top w:type="dxa" w:w="60"/>
              <w:left w:type="dxa" w:w="90"/>
              <w:bottom w:type="dxa" w:w="60"/>
              <w:right w:type="dxa" w:w="90"/>
            </w:tcMar>
            <w:vAlign w:val="center"/>
          </w:tcPr>
          <w:p>
            <w:pPr>
              <w:jc w:val="left"/>
            </w:pPr>
            <w:r>
              <w:rPr>
                <w:b/>
                <w:bCs/>
                <w:color w:val="FFFFFF"/>
                <w:sz w:val="18"/>
                <w:szCs w:val="18"/>
              </w:rPr>
              <w:t xml:space="preserve">Category</w:t>
            </w:r>
          </w:p>
        </w:tc>
        <w:tc>
          <w:tcPr>
            <w:tcW w:type="dxa" w:w="2250"/>
            <w:shd w:fill="1E2761" w:color="auto" w:val="clear"/>
            <w:tcMar>
              <w:top w:type="dxa" w:w="60"/>
              <w:left w:type="dxa" w:w="90"/>
              <w:bottom w:type="dxa" w:w="60"/>
              <w:right w:type="dxa" w:w="90"/>
            </w:tcMar>
            <w:vAlign w:val="center"/>
          </w:tcPr>
          <w:p>
            <w:pPr>
              <w:jc w:val="left"/>
            </w:pPr>
            <w:r>
              <w:rPr>
                <w:b/>
                <w:bCs/>
                <w:color w:val="FFFFFF"/>
                <w:sz w:val="18"/>
                <w:szCs w:val="18"/>
              </w:rPr>
              <w:t xml:space="preserve">Use cases</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Underwriting</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4</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Claims / SIU</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2</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Distribution</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Life &amp; Health</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2</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Document processing</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Underwriting (Specialty)</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2</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ops</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Service</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Compliance</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Reinsurance</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Legal</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Underwriting leadership</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Pricing</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Actuarial</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Distribution / Retention</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Service / Retention</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Product</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Compliance / Actuarial</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 Distribution</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Distribution (Agency)</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(Simple risks)</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Service / Compliance</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Underwriting</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Claims / Life &amp; Health</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Marketing / Distribution</w:t>
            </w:r>
          </w:p>
        </w:tc>
        <w:tc>
          <w:tcPr>
            <w:tcW w:type="dxa" w:w="225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r>
      <w:tr>
        <w:trPr>
          <w:cantSplit/>
        </w:trPr>
        <w:tc>
          <w:tcPr>
            <w:tcW w:type="dxa" w:w="7100"/>
            <w:tcMar>
              <w:top w:type="dxa" w:w="60"/>
              <w:left w:type="dxa" w:w="90"/>
              <w:bottom w:type="dxa" w:w="60"/>
              <w:right w:type="dxa" w:w="90"/>
            </w:tcMar>
            <w:vAlign w:val="center"/>
          </w:tcPr>
          <w:p>
            <w:pPr>
              <w:jc w:val="left"/>
            </w:pPr>
            <w:r>
              <w:rPr>
                <w:b w:val="false"/>
                <w:bCs w:val="false"/>
                <w:color w:val="000000"/>
                <w:sz w:val="18"/>
                <w:szCs w:val="18"/>
              </w:rPr>
              <w:t xml:space="preserve">Operations / Marketing</w:t>
            </w:r>
          </w:p>
        </w:tc>
        <w:tc>
          <w:tcPr>
            <w:tcW w:type="dxa" w:w="2250"/>
            <w:tcMar>
              <w:top w:type="dxa" w:w="60"/>
              <w:left w:type="dxa" w:w="90"/>
              <w:bottom w:type="dxa" w:w="60"/>
              <w:right w:type="dxa" w:w="90"/>
            </w:tcMar>
            <w:vAlign w:val="center"/>
          </w:tcPr>
          <w:p>
            <w:pPr>
              <w:jc w:val="center"/>
            </w:pPr>
            <w:r>
              <w:rPr>
                <w:b w:val="false"/>
                <w:bCs w:val="false"/>
                <w:color w:val="000000"/>
                <w:sz w:val="18"/>
                <w:szCs w:val="18"/>
              </w:rPr>
              <w:t xml:space="preserve">1</w:t>
            </w:r>
          </w:p>
        </w:tc>
      </w:tr>
    </w:tbl>
    <w:p>
      <w:r>
        <w:br w:type="page"/>
      </w:r>
    </w:p>
    <w:p>
      <w:pPr>
        <w:pStyle w:val="Heading1"/>
        <w:spacing w:after="160" w:before="360"/>
      </w:pPr>
      <w:r>
        <w:rPr>
          <w:b/>
          <w:bCs/>
        </w:rPr>
        <w:t xml:space="preserve">5. Scoring Engine Design</w:t>
      </w:r>
    </w:p>
    <w:p>
      <w:pPr>
        <w:pStyle w:val="Heading2"/>
        <w:spacing w:after="120" w:before="260"/>
      </w:pPr>
      <w:r>
        <w:rPr>
          <w:b/>
          <w:bCs/>
        </w:rPr>
        <w:t xml:space="preserve">5.1 Overview &amp; Design Rationale</w:t>
      </w:r>
    </w:p>
    <w:p>
      <w:pPr>
        <w:spacing w:after="160" w:line="276"/>
      </w:pPr>
      <w:r>
        <w:t xml:space="preserve">score_model(model, use_case) returns a single real-valued score per model; rank_models(use_case) evaluates all 25 models and sorts descending. The score is a sum of ten independent adjustments — some continuous penalties/bonuses, some large fixed penalties that function as near-hard filters. The formula is intentionally asymmetric: getting a recommendation wrong in the direction of “too weak for the task” is penalized more heavily than “more capable than strictly necessary,” because a failed regulated workflow or a misread document costs far more than a slightly higher token bill.</w:t>
      </w:r>
    </w:p>
    <w:p>
      <w:pPr>
        <w:pStyle w:val="Heading2"/>
        <w:spacing w:after="120" w:before="260"/>
      </w:pPr>
      <w:r>
        <w:rPr>
          <w:b/>
          <w:bCs/>
        </w:rPr>
        <w:t xml:space="preserve">5.2 The Ten Scoring Factors</w:t>
      </w:r>
    </w:p>
    <w:p>
      <w:pPr>
        <w:pStyle w:val="Heading3"/>
        <w:spacing w:after="100" w:before="200"/>
      </w:pPr>
      <w:r>
        <w:rPr>
          <w:b/>
          <w:bCs/>
        </w:rPr>
        <w:t xml:space="preserve">1. Complexity → Intelligence target</w:t>
      </w:r>
    </w:p>
    <w:p>
      <w:pPr>
        <w:spacing w:after="60"/>
      </w:pPr>
      <w:r>
        <w:rPr>
          <w:rFonts w:ascii="Courier New" w:cs="Courier New" w:eastAsia="Courier New" w:hAnsi="Courier New"/>
          <w:color w:val="12193F"/>
          <w:sz w:val="18"/>
          <w:szCs w:val="18"/>
        </w:rPr>
        <w:t xml:space="preserve">target = INTEL_TARGET_BY_COMPLEXITY[use_case.complexity]  (15/25/35/45/55 for complexity 1–5)</w:t>
      </w:r>
    </w:p>
    <w:p>
      <w:pPr>
        <w:spacing w:after="60"/>
      </w:pPr>
      <w:r>
        <w:rPr>
          <w:rFonts w:ascii="Courier New" w:cs="Courier New" w:eastAsia="Courier New" w:hAnsi="Courier New"/>
          <w:color w:val="12193F"/>
          <w:sz w:val="18"/>
          <w:szCs w:val="18"/>
        </w:rPr>
        <w:t xml:space="preserve">score -= |model.intelligence − target| × 1.3</w:t>
      </w:r>
    </w:p>
    <w:p>
      <w:pPr>
        <w:spacing w:after="60"/>
      </w:pPr>
      <w:r>
        <w:rPr>
          <w:rFonts w:ascii="Courier New" w:cs="Courier New" w:eastAsia="Courier New" w:hAnsi="Courier New"/>
          <w:color w:val="12193F"/>
          <w:sz w:val="18"/>
          <w:szCs w:val="18"/>
        </w:rPr>
        <w:t xml:space="preserve">if model.intelligence &lt; target − 10: score −= 25 (additional under-provisioning penalty)</w:t>
      </w:r>
    </w:p>
    <w:p>
      <w:pPr>
        <w:pStyle w:val="Heading3"/>
        <w:spacing w:after="100" w:before="200"/>
      </w:pPr>
      <w:r>
        <w:rPr>
          <w:b/>
          <w:bCs/>
        </w:rPr>
        <w:t xml:space="preserve">2. Latency → speed &amp; TTFT</w:t>
      </w:r>
    </w:p>
    <w:p>
      <w:pPr>
        <w:spacing w:after="60"/>
      </w:pPr>
      <w:r>
        <w:rPr>
          <w:rFonts w:ascii="Courier New" w:cs="Courier New" w:eastAsia="Courier New" w:hAnsi="Courier New"/>
          <w:color w:val="12193F"/>
          <w:sz w:val="18"/>
          <w:szCs w:val="18"/>
        </w:rPr>
        <w:t xml:space="preserve">score -= model.ttft × 0.8  (baseline penalty at every latency level)</w:t>
      </w:r>
    </w:p>
    <w:p>
      <w:pPr>
        <w:spacing w:after="60"/>
      </w:pPr>
      <w:r>
        <w:rPr>
          <w:rFonts w:ascii="Courier New" w:cs="Courier New" w:eastAsia="Courier New" w:hAnsi="Courier New"/>
          <w:color w:val="12193F"/>
          <w:sz w:val="18"/>
          <w:szCs w:val="18"/>
        </w:rPr>
        <w:t xml:space="preserve">if use_case.latency ≥ 4: score += min(model.speed / 4, 40) − model.ttft × 3</w:t>
      </w:r>
    </w:p>
    <w:p>
      <w:pPr>
        <w:pStyle w:val="Heading3"/>
        <w:spacing w:after="100" w:before="200"/>
      </w:pPr>
      <w:r>
        <w:rPr>
          <w:b/>
          <w:bCs/>
        </w:rPr>
        <w:t xml:space="preserve">3. Volume → cost weighting</w:t>
      </w:r>
    </w:p>
    <w:p>
      <w:pPr>
        <w:spacing w:after="60"/>
      </w:pPr>
      <w:r>
        <w:rPr>
          <w:rFonts w:ascii="Courier New" w:cs="Courier New" w:eastAsia="Courier New" w:hAnsi="Courier New"/>
          <w:color w:val="12193F"/>
          <w:sz w:val="18"/>
          <w:szCs w:val="18"/>
        </w:rPr>
        <w:t xml:space="preserve">if use_case.volume ≥ 4: score -= (model.output_price / 2 + model.input_price) × 2.5</w:t>
      </w:r>
    </w:p>
    <w:p>
      <w:pPr>
        <w:pStyle w:val="Heading3"/>
        <w:spacing w:after="100" w:before="200"/>
      </w:pPr>
      <w:r>
        <w:rPr>
          <w:b/>
          <w:bCs/>
        </w:rPr>
        <w:t xml:space="preserve">4. Context → hard filter + headroom bonus</w:t>
      </w:r>
    </w:p>
    <w:p>
      <w:pPr>
        <w:spacing w:after="60"/>
      </w:pPr>
      <w:r>
        <w:rPr>
          <w:rFonts w:ascii="Courier New" w:cs="Courier New" w:eastAsia="Courier New" w:hAnsi="Courier New"/>
          <w:color w:val="12193F"/>
          <w:sz w:val="18"/>
          <w:szCs w:val="18"/>
        </w:rPr>
        <w:t xml:space="preserve">ctx_need = CONTEXT_FLOOR_BY_LEVEL[use_case.context]  (8K/32K/200K/1M/2M for context 1–5)</w:t>
      </w:r>
    </w:p>
    <w:p>
      <w:pPr>
        <w:spacing w:after="60"/>
      </w:pPr>
      <w:r>
        <w:rPr>
          <w:rFonts w:ascii="Courier New" w:cs="Courier New" w:eastAsia="Courier New" w:hAnsi="Courier New"/>
          <w:color w:val="12193F"/>
          <w:sz w:val="18"/>
          <w:szCs w:val="18"/>
        </w:rPr>
        <w:t xml:space="preserve">if model.context &lt; ctx_need: score -= 45  (near-disqualifying)</w:t>
      </w:r>
    </w:p>
    <w:p>
      <w:pPr>
        <w:spacing w:after="60"/>
      </w:pPr>
      <w:r>
        <w:rPr>
          <w:rFonts w:ascii="Courier New" w:cs="Courier New" w:eastAsia="Courier New" w:hAnsi="Courier New"/>
          <w:color w:val="12193F"/>
          <w:sz w:val="18"/>
          <w:szCs w:val="18"/>
        </w:rPr>
        <w:t xml:space="preserve">else: score += min((model.context − ctx_need) / 500,000, 6)</w:t>
      </w:r>
    </w:p>
    <w:p>
      <w:pPr>
        <w:pStyle w:val="Heading3"/>
        <w:spacing w:after="100" w:before="200"/>
      </w:pPr>
      <w:r>
        <w:rPr>
          <w:b/>
          <w:bCs/>
        </w:rPr>
        <w:t xml:space="preserve">5. Regulated workflow → soft penalty / Anthropic bonus</w:t>
      </w:r>
    </w:p>
    <w:p>
      <w:pPr>
        <w:spacing w:after="60"/>
      </w:pPr>
      <w:r>
        <w:rPr>
          <w:rFonts w:ascii="Courier New" w:cs="Courier New" w:eastAsia="Courier New" w:hAnsi="Courier New"/>
          <w:color w:val="12193F"/>
          <w:sz w:val="18"/>
          <w:szCs w:val="18"/>
        </w:rPr>
        <w:t xml:space="preserve">if regulated and not model.reasoning and complexity ≥ 3: score -= 10</w:t>
      </w:r>
    </w:p>
    <w:p>
      <w:pPr>
        <w:spacing w:after="60"/>
      </w:pPr>
      <w:r>
        <w:rPr>
          <w:rFonts w:ascii="Courier New" w:cs="Courier New" w:eastAsia="Courier New" w:hAnsi="Courier New"/>
          <w:color w:val="12193F"/>
          <w:sz w:val="18"/>
          <w:szCs w:val="18"/>
        </w:rPr>
        <w:t xml:space="preserve">if regulated and model.vendor == “Anthropic”: score += 6  (benchmarked low hallucination rate)</w:t>
      </w:r>
    </w:p>
    <w:p>
      <w:pPr>
        <w:pStyle w:val="Heading3"/>
        <w:spacing w:after="100" w:before="200"/>
      </w:pPr>
      <w:r>
        <w:rPr>
          <w:b/>
          <w:bCs/>
        </w:rPr>
        <w:t xml:space="preserve">6. Vision / OCR → hard filter + accuracy bonus</w:t>
      </w:r>
    </w:p>
    <w:p>
      <w:pPr>
        <w:spacing w:after="60"/>
      </w:pPr>
      <w:r>
        <w:rPr>
          <w:rFonts w:ascii="Courier New" w:cs="Courier New" w:eastAsia="Courier New" w:hAnsi="Courier New"/>
          <w:color w:val="12193F"/>
          <w:sz w:val="18"/>
          <w:szCs w:val="18"/>
        </w:rPr>
        <w:t xml:space="preserve">if use_case.vision and not model.vision: score -= 100  (disqualifying)</w:t>
      </w:r>
    </w:p>
    <w:p>
      <w:pPr>
        <w:spacing w:after="60"/>
      </w:pPr>
      <w:r>
        <w:rPr>
          <w:rFonts w:ascii="Courier New" w:cs="Courier New" w:eastAsia="Courier New" w:hAnsi="Courier New"/>
          <w:color w:val="12193F"/>
          <w:sz w:val="18"/>
          <w:szCs w:val="18"/>
        </w:rPr>
        <w:t xml:space="preserve">elif model.ocr_accuracy known: score += (ocr_accuracy − 85) × 2.2</w:t>
      </w:r>
    </w:p>
    <w:p>
      <w:pPr>
        <w:spacing w:after="60"/>
      </w:pPr>
      <w:r>
        <w:rPr>
          <w:rFonts w:ascii="Courier New" w:cs="Courier New" w:eastAsia="Courier New" w:hAnsi="Courier New"/>
          <w:color w:val="12193F"/>
          <w:sz w:val="18"/>
          <w:szCs w:val="18"/>
        </w:rPr>
        <w:t xml:space="preserve">else: score -= 6  (caution penalty for unpublished accuracy)</w:t>
      </w:r>
    </w:p>
    <w:p>
      <w:pPr>
        <w:pStyle w:val="Heading3"/>
        <w:spacing w:after="100" w:before="200"/>
      </w:pPr>
      <w:r>
        <w:rPr>
          <w:b/>
          <w:bCs/>
        </w:rPr>
        <w:t xml:space="preserve">7. Open weights → hard filter</w:t>
      </w:r>
    </w:p>
    <w:p>
      <w:pPr>
        <w:spacing w:after="60"/>
      </w:pPr>
      <w:r>
        <w:rPr>
          <w:rFonts w:ascii="Courier New" w:cs="Courier New" w:eastAsia="Courier New" w:hAnsi="Courier New"/>
          <w:color w:val="12193F"/>
          <w:sz w:val="18"/>
          <w:szCs w:val="18"/>
        </w:rPr>
        <w:t xml:space="preserve">if use_case.open_weight and not model.open_weight: score -= 60</w:t>
      </w:r>
    </w:p>
    <w:p>
      <w:pPr>
        <w:pStyle w:val="Heading3"/>
        <w:spacing w:after="100" w:before="200"/>
      </w:pPr>
      <w:r>
        <w:rPr>
          <w:b/>
          <w:bCs/>
        </w:rPr>
        <w:t xml:space="preserve">8. Audio → hard filter</w:t>
      </w:r>
    </w:p>
    <w:p>
      <w:pPr>
        <w:spacing w:after="60"/>
      </w:pPr>
      <w:r>
        <w:rPr>
          <w:rFonts w:ascii="Courier New" w:cs="Courier New" w:eastAsia="Courier New" w:hAnsi="Courier New"/>
          <w:color w:val="12193F"/>
          <w:sz w:val="18"/>
          <w:szCs w:val="18"/>
        </w:rPr>
        <w:t xml:space="preserve">if use_case.audio and not model.audio_input: score -= 120</w:t>
      </w:r>
    </w:p>
    <w:p>
      <w:pPr>
        <w:pStyle w:val="Heading3"/>
        <w:spacing w:after="100" w:before="200"/>
      </w:pPr>
      <w:r>
        <w:rPr>
          <w:b/>
          <w:bCs/>
        </w:rPr>
        <w:t xml:space="preserve">9. Video → hard filter</w:t>
      </w:r>
    </w:p>
    <w:p>
      <w:pPr>
        <w:spacing w:after="60"/>
      </w:pPr>
      <w:r>
        <w:rPr>
          <w:rFonts w:ascii="Courier New" w:cs="Courier New" w:eastAsia="Courier New" w:hAnsi="Courier New"/>
          <w:color w:val="12193F"/>
          <w:sz w:val="18"/>
          <w:szCs w:val="18"/>
        </w:rPr>
        <w:t xml:space="preserve">if use_case.video and not model.video_input: score -= 120</w:t>
      </w:r>
    </w:p>
    <w:p>
      <w:pPr>
        <w:pStyle w:val="Heading3"/>
        <w:spacing w:after="100" w:before="200"/>
      </w:pPr>
      <w:r>
        <w:rPr>
          <w:b/>
          <w:bCs/>
        </w:rPr>
        <w:t xml:space="preserve">10. Image generation → hard filter</w:t>
      </w:r>
    </w:p>
    <w:p>
      <w:pPr>
        <w:spacing w:after="60"/>
      </w:pPr>
      <w:r>
        <w:rPr>
          <w:rFonts w:ascii="Courier New" w:cs="Courier New" w:eastAsia="Courier New" w:hAnsi="Courier New"/>
          <w:color w:val="12193F"/>
          <w:sz w:val="18"/>
          <w:szCs w:val="18"/>
        </w:rPr>
        <w:t xml:space="preserve">if use_case.image_gen and not model.image_gen: score -= 80</w:t>
      </w:r>
    </w:p>
    <w:p>
      <w:pPr>
        <w:spacing w:after="120"/>
      </w:pPr>
    </w:p>
    <w:p>
      <w:pPr>
        <w:pStyle w:val="Heading2"/>
        <w:spacing w:after="120" w:before="260"/>
      </w:pPr>
      <w:r>
        <w:rPr>
          <w:b/>
          <w:bCs/>
        </w:rPr>
        <w:t xml:space="preserve">5.3 Hard Filters vs. Soft Penalties</w:t>
      </w:r>
    </w:p>
    <w:p>
      <w:pPr>
        <w:spacing w:after="160" w:line="276"/>
      </w:pPr>
      <w:r>
        <w:t xml:space="preserve">Factors 4 and 6–10 are treated as near-hard filters (single penalties of −45 to −120 points) because they represent capability gaps a model cannot compensate for on any other axis — a model either fits the required context window or it doesn't; either takes native audio input or it doesn't. Factors 1, 2, 3, and 5 are continuous soft adjustments that shape the ranking among otherwise-viable models.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600"/>
        <w:gridCol w:w="1600"/>
        <w:gridCol w:w="5150"/>
      </w:tblGrid>
      <w:tr>
        <w:trPr>
          <w:cantSplit/>
          <w:tblHeader/>
        </w:trPr>
        <w:tc>
          <w:tcPr>
            <w:tcW w:type="dxa" w:w="2600"/>
            <w:shd w:fill="1E2761" w:color="auto" w:val="clear"/>
            <w:tcMar>
              <w:top w:type="dxa" w:w="60"/>
              <w:left w:type="dxa" w:w="90"/>
              <w:bottom w:type="dxa" w:w="60"/>
              <w:right w:type="dxa" w:w="90"/>
            </w:tcMar>
            <w:vAlign w:val="center"/>
          </w:tcPr>
          <w:p>
            <w:pPr>
              <w:jc w:val="left"/>
            </w:pPr>
            <w:r>
              <w:rPr>
                <w:b/>
                <w:bCs/>
                <w:color w:val="FFFFFF"/>
                <w:sz w:val="18"/>
                <w:szCs w:val="18"/>
              </w:rPr>
              <w:t xml:space="preserve">Factor</w:t>
            </w:r>
          </w:p>
        </w:tc>
        <w:tc>
          <w:tcPr>
            <w:tcW w:type="dxa" w:w="1600"/>
            <w:shd w:fill="1E2761" w:color="auto" w:val="clear"/>
            <w:tcMar>
              <w:top w:type="dxa" w:w="60"/>
              <w:left w:type="dxa" w:w="90"/>
              <w:bottom w:type="dxa" w:w="60"/>
              <w:right w:type="dxa" w:w="90"/>
            </w:tcMar>
            <w:vAlign w:val="center"/>
          </w:tcPr>
          <w:p>
            <w:pPr>
              <w:jc w:val="left"/>
            </w:pPr>
            <w:r>
              <w:rPr>
                <w:b/>
                <w:bCs/>
                <w:color w:val="FFFFFF"/>
                <w:sz w:val="18"/>
                <w:szCs w:val="18"/>
              </w:rPr>
              <w:t xml:space="preserve">Type</w:t>
            </w:r>
          </w:p>
        </w:tc>
        <w:tc>
          <w:tcPr>
            <w:tcW w:type="dxa" w:w="5150"/>
            <w:shd w:fill="1E2761" w:color="auto" w:val="clear"/>
            <w:tcMar>
              <w:top w:type="dxa" w:w="60"/>
              <w:left w:type="dxa" w:w="90"/>
              <w:bottom w:type="dxa" w:w="60"/>
              <w:right w:type="dxa" w:w="90"/>
            </w:tcMar>
            <w:vAlign w:val="center"/>
          </w:tcPr>
          <w:p>
            <w:pPr>
              <w:jc w:val="left"/>
            </w:pPr>
            <w:r>
              <w:rPr>
                <w:b/>
                <w:bCs/>
                <w:color w:val="FFFFFF"/>
                <w:sz w:val="18"/>
                <w:szCs w:val="18"/>
              </w:rPr>
              <w:t xml:space="preserve">Rationale</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Context window (#4)</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Hard (−45)</w:t>
            </w:r>
          </w:p>
        </w:tc>
        <w:tc>
          <w:tcPr>
            <w:tcW w:type="dxa" w:w="5150"/>
            <w:tcMar>
              <w:top w:type="dxa" w:w="60"/>
              <w:left w:type="dxa" w:w="90"/>
              <w:bottom w:type="dxa" w:w="60"/>
              <w:right w:type="dxa" w:w="90"/>
            </w:tcMar>
            <w:vAlign w:val="center"/>
          </w:tcPr>
          <w:p>
            <w:pPr>
              <w:jc w:val="left"/>
            </w:pPr>
            <w:r>
              <w:rPr>
                <w:b w:val="false"/>
                <w:bCs w:val="false"/>
                <w:color w:val="000000"/>
                <w:sz w:val="18"/>
                <w:szCs w:val="18"/>
              </w:rPr>
              <w:t xml:space="preserve">No amount of prompt engineering fits a document into a window that's too small</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Vision (#6)</w:t>
            </w:r>
          </w:p>
        </w:tc>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Hard (−100)</w:t>
            </w:r>
          </w:p>
        </w:tc>
        <w:tc>
          <w:tcPr>
            <w:tcW w:type="dxa" w:w="5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 text-only model cannot process an image at all</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Open weights (#7)</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Hard (−60)</w:t>
            </w:r>
          </w:p>
        </w:tc>
        <w:tc>
          <w:tcPr>
            <w:tcW w:type="dxa" w:w="5150"/>
            <w:tcMar>
              <w:top w:type="dxa" w:w="60"/>
              <w:left w:type="dxa" w:w="90"/>
              <w:bottom w:type="dxa" w:w="60"/>
              <w:right w:type="dxa" w:w="90"/>
            </w:tcMar>
            <w:vAlign w:val="center"/>
          </w:tcPr>
          <w:p>
            <w:pPr>
              <w:jc w:val="left"/>
            </w:pPr>
            <w:r>
              <w:rPr>
                <w:b w:val="false"/>
                <w:bCs w:val="false"/>
                <w:color w:val="000000"/>
                <w:sz w:val="18"/>
                <w:szCs w:val="18"/>
              </w:rPr>
              <w:t xml:space="preserve">Self-hosting / data residency is a binary legal requirement, not a preference</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Audio (#8)</w:t>
            </w:r>
          </w:p>
        </w:tc>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Hard (−120)</w:t>
            </w:r>
          </w:p>
        </w:tc>
        <w:tc>
          <w:tcPr>
            <w:tcW w:type="dxa" w:w="5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Only a few models offer native audio understanding as of this snapshot</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Video (#9)</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Hard (−120)</w:t>
            </w:r>
          </w:p>
        </w:tc>
        <w:tc>
          <w:tcPr>
            <w:tcW w:type="dxa" w:w="5150"/>
            <w:tcMar>
              <w:top w:type="dxa" w:w="60"/>
              <w:left w:type="dxa" w:w="90"/>
              <w:bottom w:type="dxa" w:w="60"/>
              <w:right w:type="dxa" w:w="90"/>
            </w:tcMar>
            <w:vAlign w:val="center"/>
          </w:tcPr>
          <w:p>
            <w:pPr>
              <w:jc w:val="left"/>
            </w:pPr>
            <w:r>
              <w:rPr>
                <w:b w:val="false"/>
                <w:bCs w:val="false"/>
                <w:color w:val="000000"/>
                <w:sz w:val="18"/>
                <w:szCs w:val="18"/>
              </w:rPr>
              <w:t xml:space="preserve">Native video/frame-motion understanding is a rare capability gap, not a spectrum</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Image generation (#10)</w:t>
            </w:r>
          </w:p>
        </w:tc>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Hard (−80)</w:t>
            </w:r>
          </w:p>
        </w:tc>
        <w:tc>
          <w:tcPr>
            <w:tcW w:type="dxa" w:w="5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Generating an image is a different capability from reading one</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Intelligence fit (#1)</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Soft, asymmetric</w:t>
            </w:r>
          </w:p>
        </w:tc>
        <w:tc>
          <w:tcPr>
            <w:tcW w:type="dxa" w:w="5150"/>
            <w:tcMar>
              <w:top w:type="dxa" w:w="60"/>
              <w:left w:type="dxa" w:w="90"/>
              <w:bottom w:type="dxa" w:w="60"/>
              <w:right w:type="dxa" w:w="90"/>
            </w:tcMar>
            <w:vAlign w:val="center"/>
          </w:tcPr>
          <w:p>
            <w:pPr>
              <w:jc w:val="left"/>
            </w:pPr>
            <w:r>
              <w:rPr>
                <w:b w:val="false"/>
                <w:bCs w:val="false"/>
                <w:color w:val="000000"/>
                <w:sz w:val="18"/>
                <w:szCs w:val="18"/>
              </w:rPr>
              <w:t xml:space="preserve">Under-provisioning penalized 1.3x plus a −25 cliff; over-provisioning only costs headroom</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Latency (#2)</w:t>
            </w:r>
          </w:p>
        </w:tc>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Soft, tiered</w:t>
            </w:r>
          </w:p>
        </w:tc>
        <w:tc>
          <w:tcPr>
            <w:tcW w:type="dxa" w:w="5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 baseline TTFT tax applies everywhere; the speed bonus only activates at latency ≥ 4</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Volume/cost (#3)</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Soft, threshold</w:t>
            </w:r>
          </w:p>
        </w:tc>
        <w:tc>
          <w:tcPr>
            <w:tcW w:type="dxa" w:w="5150"/>
            <w:tcMar>
              <w:top w:type="dxa" w:w="60"/>
              <w:left w:type="dxa" w:w="90"/>
              <w:bottom w:type="dxa" w:w="60"/>
              <w:right w:type="dxa" w:w="90"/>
            </w:tcMar>
            <w:vAlign w:val="center"/>
          </w:tcPr>
          <w:p>
            <w:pPr>
              <w:jc w:val="left"/>
            </w:pPr>
            <w:r>
              <w:rPr>
                <w:b w:val="false"/>
                <w:bCs w:val="false"/>
                <w:color w:val="000000"/>
                <w:sz w:val="18"/>
                <w:szCs w:val="18"/>
              </w:rPr>
              <w:t xml:space="preserve">Only activates at volume ≥ 4, where price differences compound at scale</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Regulated (#5)</w:t>
            </w:r>
          </w:p>
        </w:tc>
        <w:tc>
          <w:tcPr>
            <w:tcW w:type="dxa" w:w="1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Soft, small</w:t>
            </w:r>
          </w:p>
        </w:tc>
        <w:tc>
          <w:tcPr>
            <w:tcW w:type="dxa" w:w="5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 modest nudge toward reasoning-tuned models and Anthropic, not a disqualifier</w:t>
            </w:r>
          </w:p>
        </w:tc>
      </w:tr>
    </w:tbl>
    <w:p>
      <w:pPr>
        <w:spacing w:after="160"/>
      </w:pPr>
    </w:p>
    <w:p>
      <w:pPr>
        <w:pStyle w:val="Heading2"/>
        <w:spacing w:after="120" w:before="260"/>
      </w:pPr>
      <w:r>
        <w:rPr>
          <w:b/>
          <w:bCs/>
        </w:rPr>
        <w:t xml:space="preserve">5.4 Worked Example: ACORD / Invoice OCR</w:t>
      </w:r>
    </w:p>
    <w:p>
      <w:pPr>
        <w:spacing w:after="160" w:line="276"/>
      </w:pPr>
      <w:r>
        <w:t xml:space="preserve">Use case profile: complexity 3, latency 3, volume 4, context 2, regulated = true, vision = true. This use case's vision hard-filter alone removes every non-vision model from serious contention; the volume-4 cost weighting then pulls the ranking toward the least expensive vision-capable models with strong measured OCR accuracy.</w:t>
      </w:r>
    </w:p>
    <w:tbl>
      <w:tblPr>
        <w:tblW w:type="dxa" w:w="9350"/>
        <w:tblBorders>
          <w:top w:val="single" w:color="1E2761" w:sz="8"/>
          <w:left w:val="single" w:color="D7DCE6" w:sz="2"/>
          <w:bottom w:val="single" w:color="D7DCE6" w:sz="2"/>
          <w:right w:val="single" w:color="D7DCE6" w:sz="2"/>
          <w:insideH w:val="single" w:color="auto" w:sz="4"/>
          <w:insideV w:val="single" w:color="auto" w:sz="4"/>
        </w:tblBorders>
      </w:tblPr>
      <w:tblGrid>
        <w:gridCol w:w="9350"/>
      </w:tblGrid>
      <w:tr>
        <w:tc>
          <w:tcPr>
            <w:shd w:fill="F3F6FD" w:color="auto" w:val="clear"/>
            <w:tcMar>
              <w:top w:type="dxa" w:w="160"/>
              <w:left w:type="dxa" w:w="220"/>
              <w:bottom w:type="dxa" w:w="160"/>
              <w:right w:type="dxa" w:w="220"/>
            </w:tcMar>
          </w:tcPr>
          <w:p>
            <w:pPr>
              <w:spacing w:after="80"/>
            </w:pPr>
            <w:r>
              <w:rPr>
                <w:b/>
                <w:bCs/>
                <w:color w:val="1E2761"/>
              </w:rPr>
              <w:t xml:space="preserve">Observed output (Decision Cockpit, Tab 05 comparison run)</w:t>
            </w:r>
          </w:p>
          <w:p>
            <w:r>
              <w:rPr>
                <w:sz w:val="20"/>
                <w:szCs w:val="20"/>
              </w:rPr>
              <w:t xml:space="preserve">Recommended: Claude Sonnet 4.6 (Anthropic) — Intelligence 42, $3.00/M in, $15.00/M out. Runner-up: Qwen3.5 9B (Alibaba) — Intelligence 32, $0.10/M in, $0.30/M out, 262K context. The top-5 ranked table further included GPT-5.4 mini, Gemini 3.1 Flash-Lite, and Claude Haiku 4.5, all penalized relative to Sonnet 4.6 primarily on the regulated-workflow and OCR-accuracy factors despite lower list price.</w:t>
            </w:r>
          </w:p>
        </w:tc>
      </w:tr>
    </w:tbl>
    <w:p>
      <w:pPr>
        <w:spacing w:after="160"/>
      </w:pPr>
    </w:p>
    <w:p>
      <w:pPr>
        <w:spacing w:after="160" w:line="276"/>
      </w:pPr>
      <w:r>
        <w:t xml:space="preserve">Runner-up explanation is generated automatically by explain_runner_up(): when the #1 and #2 models differ meaningfully in price or intelligence, the tool states the trade-off in one sentence (e.g. “Qwen3.5 9B is cheaper but scores lower on Intelligence Index”) so the recommendation is never a black box.</w:t>
      </w:r>
    </w:p>
    <w:p>
      <w:r>
        <w:br w:type="page"/>
      </w:r>
    </w:p>
    <w:p>
      <w:pPr>
        <w:pStyle w:val="Heading1"/>
        <w:spacing w:after="160" w:before="360"/>
      </w:pPr>
      <w:r>
        <w:rPr>
          <w:b/>
          <w:bCs/>
        </w:rPr>
        <w:t xml:space="preserve">6. PTU vs. PAYG Cost Calculator</w:t>
      </w:r>
    </w:p>
    <w:p>
      <w:pPr>
        <w:pStyle w:val="Heading2"/>
        <w:spacing w:after="120" w:before="260"/>
      </w:pPr>
      <w:r>
        <w:rPr>
          <w:b/>
          <w:bCs/>
        </w:rPr>
        <w:t xml:space="preserve">6.1 Business Problem</w:t>
      </w:r>
    </w:p>
    <w:p>
      <w:pPr>
        <w:spacing w:after="160" w:line="276"/>
      </w:pPr>
      <w:r>
        <w:t xml:space="preserve">Azure OpenAI (and a growing set of Foundry-hosted models) bills either per-token (PAYG) or via Provisioned Throughput Units (PTUs) — reserved capacity billed hourly regardless of usage. Whether PTU is cheaper depends entirely on volume and how much of the reserved capacity is actually used; Microsoft does not publish one universal number for the throughput a PTU delivers per model, its $/hour cost by commitment tier, or how heavily an output token consumes capacity versus an input token. The calculator turns these into explicit, overridable configuration values instead of hiding them.</w:t>
      </w:r>
    </w:p>
    <w:p>
      <w:pPr>
        <w:pStyle w:val="Heading2"/>
        <w:spacing w:after="120" w:before="260"/>
      </w:pPr>
      <w:r>
        <w:rPr>
          <w:b/>
          <w:bCs/>
        </w:rPr>
        <w:t xml:space="preserve">6.2 Formulas</w:t>
      </w:r>
    </w:p>
    <w:p>
      <w:pPr>
        <w:spacing w:after="40" w:before="120"/>
        <w:jc w:val="center"/>
      </w:pPr>
      <w:r>
        <w:drawing>
          <wp:inline distT="0" distB="0" distL="0" distR="0">
            <wp:extent cx="4191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5133975"/>
                    </a:xfrm>
                    <a:prstGeom prst="rect">
                      <a:avLst/>
                    </a:prstGeom>
                  </pic:spPr>
                </pic:pic>
              </a:graphicData>
            </a:graphic>
          </wp:inline>
        </w:drawing>
      </w:r>
    </w:p>
    <w:p>
      <w:pPr>
        <w:spacing w:after="260" w:before="80"/>
        <w:jc w:val="center"/>
      </w:pPr>
      <w:r>
        <w:rPr>
          <w:i/>
          <w:iCs/>
          <w:color w:val="5B6472"/>
          <w:sz w:val="18"/>
          <w:szCs w:val="18"/>
        </w:rPr>
        <w:t xml:space="preserve">Figure 6.1 — PTU vs. PAYG calculation pipeline: from raw inputs to a cheaper-option verdict.</w:t>
      </w:r>
    </w:p>
    <w:p>
      <w:pPr>
        <w:pStyle w:val="Heading2"/>
        <w:spacing w:after="120" w:before="260"/>
      </w:pPr>
      <w:r>
        <w:rPr>
          <w:b/>
          <w:bCs/>
        </w:rPr>
        <w:t xml:space="preserve">6.3 Configurable vs. Derived Parameters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200"/>
        <w:gridCol w:w="3600"/>
        <w:gridCol w:w="3550"/>
      </w:tblGrid>
      <w:tr>
        <w:trPr>
          <w:cantSplit/>
          <w:tblHeader/>
        </w:trPr>
        <w:tc>
          <w:tcPr>
            <w:tcW w:type="dxa" w:w="2200"/>
            <w:shd w:fill="1E2761" w:color="auto" w:val="clear"/>
            <w:tcMar>
              <w:top w:type="dxa" w:w="60"/>
              <w:left w:type="dxa" w:w="90"/>
              <w:bottom w:type="dxa" w:w="60"/>
              <w:right w:type="dxa" w:w="90"/>
            </w:tcMar>
            <w:vAlign w:val="center"/>
          </w:tcPr>
          <w:p>
            <w:pPr>
              <w:jc w:val="left"/>
            </w:pPr>
            <w:r>
              <w:rPr>
                <w:b/>
                <w:bCs/>
                <w:color w:val="FFFFFF"/>
                <w:sz w:val="18"/>
                <w:szCs w:val="18"/>
              </w:rPr>
              <w:t xml:space="preserve">Parameter</w:t>
            </w:r>
          </w:p>
        </w:tc>
        <w:tc>
          <w:tcPr>
            <w:tcW w:type="dxa" w:w="3600"/>
            <w:shd w:fill="1E2761" w:color="auto" w:val="clear"/>
            <w:tcMar>
              <w:top w:type="dxa" w:w="60"/>
              <w:left w:type="dxa" w:w="90"/>
              <w:bottom w:type="dxa" w:w="60"/>
              <w:right w:type="dxa" w:w="90"/>
            </w:tcMar>
            <w:vAlign w:val="center"/>
          </w:tcPr>
          <w:p>
            <w:pPr>
              <w:jc w:val="left"/>
            </w:pPr>
            <w:r>
              <w:rPr>
                <w:b/>
                <w:bCs/>
                <w:color w:val="FFFFFF"/>
                <w:sz w:val="18"/>
                <w:szCs w:val="18"/>
              </w:rPr>
              <w:t xml:space="preserve">Default source</w:t>
            </w:r>
          </w:p>
        </w:tc>
        <w:tc>
          <w:tcPr>
            <w:tcW w:type="dxa" w:w="3550"/>
            <w:shd w:fill="1E2761" w:color="auto" w:val="clear"/>
            <w:tcMar>
              <w:top w:type="dxa" w:w="60"/>
              <w:left w:type="dxa" w:w="90"/>
              <w:bottom w:type="dxa" w:w="60"/>
              <w:right w:type="dxa" w:w="90"/>
            </w:tcMar>
            <w:vAlign w:val="center"/>
          </w:tcPr>
          <w:p>
            <w:pPr>
              <w:jc w:val="left"/>
            </w:pPr>
            <w:r>
              <w:rPr>
                <w:b/>
                <w:bCs/>
                <w:color w:val="FFFFFF"/>
                <w:sz w:val="18"/>
                <w:szCs w:val="18"/>
              </w:rPr>
              <w:t xml:space="preserve">Override</w:t>
            </w:r>
          </w:p>
        </w:tc>
      </w:tr>
      <w:tr>
        <w:trPr>
          <w:cantSplit/>
        </w:trPr>
        <w:tc>
          <w:tcPr>
            <w:tcW w:type="dxa" w:w="2200"/>
            <w:tcMar>
              <w:top w:type="dxa" w:w="60"/>
              <w:left w:type="dxa" w:w="90"/>
              <w:bottom w:type="dxa" w:w="60"/>
              <w:right w:type="dxa" w:w="90"/>
            </w:tcMar>
            <w:vAlign w:val="center"/>
          </w:tcPr>
          <w:p>
            <w:pPr>
              <w:jc w:val="left"/>
            </w:pPr>
            <w:r>
              <w:rPr>
                <w:b w:val="false"/>
                <w:bCs w:val="false"/>
                <w:color w:val="000000"/>
                <w:sz w:val="18"/>
                <w:szCs w:val="18"/>
              </w:rPr>
              <w:t xml:space="preserve">ptu_hourly_cost</w:t>
            </w:r>
          </w:p>
        </w:tc>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PTU_COST_DEFAULTS by billing tier: hourly ≈$3.35, monthly reservation ≈$2.02, annual reservation ≈$1.31</w:t>
            </w:r>
          </w:p>
        </w:tc>
        <w:tc>
          <w:tcPr>
            <w:tcW w:type="dxa" w:w="3550"/>
            <w:tcMar>
              <w:top w:type="dxa" w:w="60"/>
              <w:left w:type="dxa" w:w="90"/>
              <w:bottom w:type="dxa" w:w="60"/>
              <w:right w:type="dxa" w:w="90"/>
            </w:tcMar>
            <w:vAlign w:val="center"/>
          </w:tcPr>
          <w:p>
            <w:pPr>
              <w:jc w:val="left"/>
            </w:pPr>
            <w:r>
              <w:rPr>
                <w:b w:val="false"/>
                <w:bCs w:val="false"/>
                <w:color w:val="000000"/>
                <w:sz w:val="18"/>
                <w:szCs w:val="18"/>
              </w:rPr>
              <w:t xml:space="preserve">--ptu-cost / manual entry</w:t>
            </w:r>
          </w:p>
        </w:tc>
      </w:tr>
      <w:tr>
        <w:trPr>
          <w:cantSplit/>
        </w:trPr>
        <w:tc>
          <w:tcPr>
            <w:tcW w:type="dxa" w:w="2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tpm_per_ptu</w:t>
            </w:r>
          </w:p>
        </w:tc>
        <w:tc>
          <w:tcPr>
            <w:tcW w:type="dxa" w:w="3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TPM_PER_PTU_DEFAULTS — a per-model planning estimate table (25 entries), fallback 2,500 TPM</w:t>
            </w:r>
          </w:p>
        </w:tc>
        <w:tc>
          <w:tcPr>
            <w:tcW w:type="dxa" w:w="3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--tpm-per-ptu / manual entry</w:t>
            </w:r>
          </w:p>
        </w:tc>
      </w:tr>
      <w:tr>
        <w:trPr>
          <w:cantSplit/>
        </w:trPr>
        <w:tc>
          <w:tcPr>
            <w:tcW w:type="dxa" w:w="2200"/>
            <w:tcMar>
              <w:top w:type="dxa" w:w="60"/>
              <w:left w:type="dxa" w:w="90"/>
              <w:bottom w:type="dxa" w:w="60"/>
              <w:right w:type="dxa" w:w="90"/>
            </w:tcMar>
            <w:vAlign w:val="center"/>
          </w:tcPr>
          <w:p>
            <w:pPr>
              <w:jc w:val="left"/>
            </w:pPr>
            <w:r>
              <w:rPr>
                <w:b w:val="false"/>
                <w:bCs w:val="false"/>
                <w:color w:val="000000"/>
                <w:sz w:val="18"/>
                <w:szCs w:val="18"/>
              </w:rPr>
              <w:t xml:space="preserve">output_weight</w:t>
            </w:r>
          </w:p>
        </w:tc>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Derived: model.output_price / model.input_price (falls back to 4.0 if input price is 0)</w:t>
            </w:r>
          </w:p>
        </w:tc>
        <w:tc>
          <w:tcPr>
            <w:tcW w:type="dxa" w:w="3550"/>
            <w:tcMar>
              <w:top w:type="dxa" w:w="60"/>
              <w:left w:type="dxa" w:w="90"/>
              <w:bottom w:type="dxa" w:w="60"/>
              <w:right w:type="dxa" w:w="90"/>
            </w:tcMar>
            <w:vAlign w:val="center"/>
          </w:tcPr>
          <w:p>
            <w:pPr>
              <w:jc w:val="left"/>
            </w:pPr>
            <w:r>
              <w:rPr>
                <w:b w:val="false"/>
                <w:bCs w:val="false"/>
                <w:color w:val="000000"/>
                <w:sz w:val="18"/>
                <w:szCs w:val="18"/>
              </w:rPr>
              <w:t xml:space="preserve">--output-weight / manual entry</w:t>
            </w:r>
          </w:p>
        </w:tc>
      </w:tr>
      <w:tr>
        <w:trPr>
          <w:cantSplit/>
        </w:trPr>
        <w:tc>
          <w:tcPr>
            <w:tcW w:type="dxa" w:w="2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hours_per_month</w:t>
            </w:r>
          </w:p>
        </w:tc>
        <w:tc>
          <w:tcPr>
            <w:tcW w:type="dxa" w:w="3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730.0 (24/7 monthly reservation assumption)</w:t>
            </w:r>
          </w:p>
        </w:tc>
        <w:tc>
          <w:tcPr>
            <w:tcW w:type="dxa" w:w="3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Not currently exposed as an override in the CLI flags</w:t>
            </w:r>
          </w:p>
        </w:tc>
      </w:tr>
    </w:tbl>
    <w:p>
      <w:pPr>
        <w:spacing w:after="160"/>
      </w:pPr>
    </w:p>
    <w:p>
      <w:pPr>
        <w:pStyle w:val="Heading2"/>
        <w:spacing w:after="120" w:before="260"/>
      </w:pPr>
      <w:r>
        <w:rPr>
          <w:b/>
          <w:bCs/>
        </w:rPr>
        <w:t xml:space="preserve">6.4 Interaction Modes &amp; Reference Output</w:t>
      </w:r>
    </w:p>
    <w:p>
      <w:pPr>
        <w:spacing w:after="160" w:line="276"/>
      </w:pPr>
      <w:r>
        <w:t xml:space="preserve">All three surfaces expose the same calculation through a different interaction style: the CLI offers a guided wizard (typing “ptu” in chat mode) or a one-line scriptable command (--ptu-model / --ptus / --monthly-tokens); the Decision Cockpit exposes it as a form-driven tab (Tab 05) plus a folded-in “What-if cost” panel on the Recommend tab; the web app exposes it as a manual-entry section on the same single page as the recommendation output.</w:t>
      </w:r>
    </w:p>
    <w:tbl>
      <w:tblPr>
        <w:tblW w:type="dxa" w:w="9350"/>
        <w:tblBorders>
          <w:top w:val="single" w:color="B8860B" w:sz="8"/>
          <w:left w:val="single" w:color="D7DCE6" w:sz="2"/>
          <w:bottom w:val="single" w:color="D7DCE6" w:sz="2"/>
          <w:right w:val="single" w:color="D7DCE6" w:sz="2"/>
          <w:insideH w:val="single" w:color="auto" w:sz="4"/>
          <w:insideV w:val="single" w:color="auto" w:sz="4"/>
        </w:tblBorders>
      </w:tblPr>
      <w:tblGrid>
        <w:gridCol w:w="9350"/>
      </w:tblGrid>
      <w:tr>
        <w:tc>
          <w:tcPr>
            <w:shd w:fill="FBF3E3" w:color="auto" w:val="clear"/>
            <w:tcMar>
              <w:top w:type="dxa" w:w="160"/>
              <w:left w:type="dxa" w:w="220"/>
              <w:bottom w:type="dxa" w:w="160"/>
              <w:right w:type="dxa" w:w="220"/>
            </w:tcMar>
          </w:tcPr>
          <w:p>
            <w:pPr>
              <w:spacing w:after="80"/>
            </w:pPr>
            <w:r>
              <w:rPr>
                <w:b/>
                <w:bCs/>
                <w:color w:val="B8860B"/>
              </w:rPr>
              <w:t xml:space="preserve">Observed output (Decision Cockpit, Tab 05, Claude Haiku 4.5, 10 PTUs, hourly billing)</w:t>
            </w:r>
          </w:p>
          <w:p>
            <w:r>
              <w:rPr>
                <w:sz w:val="20"/>
                <w:szCs w:val="20"/>
              </w:rPr>
              <w:t xml:space="preserve">60,000,000 input + 40,000,000 output monthly tokens → Required throughput 5,936 TPM against 25,000 TPM available (23.7% utilization; PTUs comfortably cover this volume). PTU monthly cost $24,455.00 versus PAYG monthly cost $260.00 — PAYG is cheaper by $24,195.00/month (98.9%) at this volume, illustrating that reserved capacity only pays off at sustained high utilization.</w:t>
            </w:r>
          </w:p>
        </w:tc>
      </w:tr>
    </w:tbl>
    <w:p>
      <w:pPr>
        <w:spacing w:after="160"/>
      </w:pPr>
    </w:p>
    <w:p>
      <w:pPr>
        <w:spacing w:after="160" w:line="276"/>
      </w:pPr>
      <w:r>
        <w:t xml:space="preserve">The zero-PTU edge case is handled explicitly: a configuration with 0 PTUs provides zero capacity, so the comparator forces “PAYG” as the only viable option rather than reporting a false “PTU wins” result from a division degenerate case.</w:t>
      </w:r>
    </w:p>
    <w:p>
      <w:r>
        <w:br w:type="page"/>
      </w:r>
    </w:p>
    <w:p>
      <w:pPr>
        <w:pStyle w:val="Heading1"/>
        <w:spacing w:after="160" w:before="360"/>
      </w:pPr>
      <w:r>
        <w:rPr>
          <w:b/>
          <w:bCs/>
        </w:rPr>
        <w:t xml:space="preserve">7. Surface 1 — Command-Line Tool Design</w:t>
      </w:r>
    </w:p>
    <w:p>
      <w:pPr>
        <w:pStyle w:val="Heading2"/>
        <w:spacing w:after="120" w:before="260"/>
      </w:pPr>
      <w:r>
        <w:rPr>
          <w:b/>
          <w:bCs/>
        </w:rPr>
        <w:t xml:space="preserve">7.1 Command Reference</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3200"/>
        <w:gridCol w:w="6150"/>
      </w:tblGrid>
      <w:tr>
        <w:trPr>
          <w:cantSplit/>
          <w:tblHeader/>
        </w:trPr>
        <w:tc>
          <w:tcPr>
            <w:tcW w:type="dxa" w:w="3200"/>
            <w:shd w:fill="1E2761" w:color="auto" w:val="clear"/>
            <w:tcMar>
              <w:top w:type="dxa" w:w="60"/>
              <w:left w:type="dxa" w:w="90"/>
              <w:bottom w:type="dxa" w:w="60"/>
              <w:right w:type="dxa" w:w="90"/>
            </w:tcMar>
            <w:vAlign w:val="center"/>
          </w:tcPr>
          <w:p>
            <w:pPr>
              <w:jc w:val="left"/>
            </w:pPr>
            <w:r>
              <w:rPr>
                <w:b/>
                <w:bCs/>
                <w:color w:val="FFFFFF"/>
                <w:sz w:val="18"/>
                <w:szCs w:val="18"/>
              </w:rPr>
              <w:t xml:space="preserve">Command / flag</w:t>
            </w:r>
          </w:p>
        </w:tc>
        <w:tc>
          <w:tcPr>
            <w:tcW w:type="dxa" w:w="6150"/>
            <w:shd w:fill="1E2761" w:color="auto" w:val="clear"/>
            <w:tcMar>
              <w:top w:type="dxa" w:w="60"/>
              <w:left w:type="dxa" w:w="90"/>
              <w:bottom w:type="dxa" w:w="60"/>
              <w:right w:type="dxa" w:w="90"/>
            </w:tcMar>
            <w:vAlign w:val="center"/>
          </w:tcPr>
          <w:p>
            <w:pPr>
              <w:jc w:val="left"/>
            </w:pPr>
            <w:r>
              <w:rPr>
                <w:b/>
                <w:bCs/>
                <w:color w:val="FFFFFF"/>
                <w:sz w:val="18"/>
                <w:szCs w:val="18"/>
              </w:rPr>
              <w:t xml:space="preserve">Purpose</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python model_advisor.py</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Launch interactive chat mode (REPL)</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python model_advisor.py "&lt;use case&gt;"</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One-shot recommendation for a single free-text query</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--list</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Print all 37 known use cases, grouped by category</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--models</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Print the full 25-model comparison table</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--top N</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Show top N ranked models instead of the default 5</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--explain ["Model name"]</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With a query: explain the top-recommended model. Alone or with --models: explain a named model's full parameter justification</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--ptu-model / --ptus / --monthly-tokens</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Required trio for a scriptable PTU vs. PAYG comparison (--monthly-tokens as INPUT:OUTPUT)</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--ptu-cost / --ptu-billing / --tpm-per-ptu / --output-weight</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Optional PTU parameter overrides; every one is individually labeled in the output as “(your value)” or “(planning default)”</w:t>
            </w:r>
          </w:p>
        </w:tc>
      </w:tr>
    </w:tbl>
    <w:p>
      <w:pPr>
        <w:spacing w:after="160"/>
      </w:pPr>
    </w:p>
    <w:p>
      <w:pPr>
        <w:pStyle w:val="Heading2"/>
        <w:spacing w:after="120" w:before="260"/>
      </w:pPr>
      <w:r>
        <w:rPr>
          <w:b/>
          <w:bCs/>
        </w:rPr>
        <w:t xml:space="preserve">7.2 Interactive Chat Mode</w:t>
      </w:r>
    </w:p>
    <w:p>
      <w:pPr>
        <w:spacing w:after="160" w:line="276"/>
      </w:pPr>
      <w:r>
        <w:t xml:space="preserve">run_chat() implements a simple REPL: a free-text line is treated as a use-case query unless it matches one of a small set of reserved commands.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600"/>
        <w:gridCol w:w="6750"/>
      </w:tblGrid>
      <w:tr>
        <w:trPr>
          <w:cantSplit/>
          <w:tblHeader/>
        </w:trPr>
        <w:tc>
          <w:tcPr>
            <w:tcW w:type="dxa" w:w="2600"/>
            <w:shd w:fill="1E2761" w:color="auto" w:val="clear"/>
            <w:tcMar>
              <w:top w:type="dxa" w:w="60"/>
              <w:left w:type="dxa" w:w="90"/>
              <w:bottom w:type="dxa" w:w="60"/>
              <w:right w:type="dxa" w:w="90"/>
            </w:tcMar>
            <w:vAlign w:val="center"/>
          </w:tcPr>
          <w:p>
            <w:pPr>
              <w:jc w:val="left"/>
            </w:pPr>
            <w:r>
              <w:rPr>
                <w:b/>
                <w:bCs/>
                <w:color w:val="FFFFFF"/>
                <w:sz w:val="18"/>
                <w:szCs w:val="18"/>
              </w:rPr>
              <w:t xml:space="preserve">Typed command</w:t>
            </w:r>
          </w:p>
        </w:tc>
        <w:tc>
          <w:tcPr>
            <w:tcW w:type="dxa" w:w="6750"/>
            <w:shd w:fill="1E2761" w:color="auto" w:val="clear"/>
            <w:tcMar>
              <w:top w:type="dxa" w:w="60"/>
              <w:left w:type="dxa" w:w="90"/>
              <w:bottom w:type="dxa" w:w="60"/>
              <w:right w:type="dxa" w:w="90"/>
            </w:tcMar>
            <w:vAlign w:val="center"/>
          </w:tcPr>
          <w:p>
            <w:pPr>
              <w:jc w:val="left"/>
            </w:pPr>
            <w:r>
              <w:rPr>
                <w:b/>
                <w:bCs/>
                <w:color w:val="FFFFFF"/>
                <w:sz w:val="18"/>
                <w:szCs w:val="18"/>
              </w:rPr>
              <w:t xml:space="preserve">Behavior</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list / use cases / usecases</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print_use_case_list()</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models / model table</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print_model_table()</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ptu / ptus / ptu calculator</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run_ptu_wizard() — step-by-step prompted PTU comparison</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explain &lt;model name&gt;</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print_explain_model() for that model</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&lt;query&gt; +explain</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Recommendation for &lt;query&gt; plus full justification for the top model</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help / ?</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Re-print the banner / usage summary</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quit / exit / q</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Exit the REPL</w:t>
            </w:r>
          </w:p>
        </w:tc>
      </w:tr>
    </w:tbl>
    <w:p>
      <w:pPr>
        <w:spacing w:after="160"/>
      </w:pPr>
    </w:p>
    <w:p>
      <w:pPr>
        <w:pStyle w:val="Heading2"/>
        <w:spacing w:after="120" w:before="260"/>
      </w:pPr>
      <w:r>
        <w:rPr>
          <w:b/>
          <w:bCs/>
        </w:rPr>
        <w:t xml:space="preserve">7.3 Output Formatting</w:t>
      </w:r>
    </w:p>
    <w:p>
      <w:pPr>
        <w:spacing w:after="160" w:line="276"/>
      </w:pPr>
      <w:r>
        <w:t xml:space="preserve">All monetary values are formatted through a single fmt_money() helper for consistency. print_recommendation() prints the top model's headline card (model, vendor, intelligence, input/output price), a one-line “why this model” summary, an optional runner-up trade-off explanation, and a Top-N ranked table; --explain additionally invokes print_model_justification(), which walks every one of the 19 Model fields and prints its justify() text — either a model-specific note from the JUSTIFICATIONS lookup table or a generic PARAM_FALLBACK_JUSTIFICATIONS explanation of why that parameter matters at all.</w:t>
      </w:r>
    </w:p>
    <w:p>
      <w:r>
        <w:br w:type="page"/>
      </w:r>
    </w:p>
    <w:p>
      <w:pPr>
        <w:pStyle w:val="Heading1"/>
        <w:spacing w:after="160" w:before="360"/>
      </w:pPr>
      <w:r>
        <w:rPr>
          <w:b/>
          <w:bCs/>
        </w:rPr>
        <w:t xml:space="preserve">8. Surface 2 — Browser Web App Design</w:t>
      </w:r>
    </w:p>
    <w:p>
      <w:pPr>
        <w:pStyle w:val="Heading2"/>
        <w:spacing w:after="120" w:before="260"/>
      </w:pPr>
      <w:r>
        <w:rPr>
          <w:b/>
          <w:bCs/>
        </w:rPr>
        <w:t xml:space="preserve">8.1 Single-File Architecture</w:t>
      </w:r>
    </w:p>
    <w:p>
      <w:pPr>
        <w:spacing w:after="160" w:line="276"/>
      </w:pPr>
      <w:r>
        <w:t xml:space="preserve">model_advisor_webapp.html is one self-contained file: CSS, HTML structure, and a &lt;script&gt; block embedding the full model and use-case database as a JSON literal (ADVISOR_DATA), followed by a second &lt;script&gt; block that re-implements scoreModel(), rankModels(), findUseCase(), guessUseCase(), and comparePtuVsPayg() in vanilla JavaScript. There are no build steps, no bundler, and no external script dependencies at runtime — the file can be opened directly from the local filesystem or hosted on any static server.</w:t>
      </w:r>
    </w:p>
    <w:p>
      <w:pPr>
        <w:pStyle w:val="Heading2"/>
        <w:spacing w:after="120" w:before="260"/>
      </w:pPr>
      <w:r>
        <w:rPr>
          <w:b/>
          <w:bCs/>
        </w:rPr>
        <w:t xml:space="preserve">8.2 UI Sections</w:t>
      </w:r>
    </w:p>
    <w:p>
      <w:pPr>
        <w:pStyle w:val="ListParagraph"/>
        <w:numPr>
          <w:ilvl w:val="0"/>
          <w:numId w:val="1"/>
        </w:numPr>
        <w:spacing w:after="90" w:line="264"/>
      </w:pPr>
      <w:r>
        <w:t xml:space="preserve">Describe the use case — free-text entry field with a live-updating ranked recommendation as the user types, backed by the same find/guess use-case logic as the CLI.</w:t>
      </w:r>
    </w:p>
    <w:p>
      <w:pPr>
        <w:pStyle w:val="ListParagraph"/>
        <w:numPr>
          <w:ilvl w:val="0"/>
          <w:numId w:val="1"/>
        </w:numPr>
        <w:spacing w:after="90" w:line="264"/>
      </w:pPr>
      <w:r>
        <w:t xml:space="preserve">PTU / PAYG cost estimator — manual-entry form for the same reserved-capacity math described in Section 6, rendered as live-updating result cards.</w:t>
      </w:r>
    </w:p>
    <w:p>
      <w:pPr>
        <w:pStyle w:val="ListParagraph"/>
        <w:numPr>
          <w:ilvl w:val="0"/>
          <w:numId w:val="1"/>
        </w:numPr>
        <w:spacing w:after="90" w:line="264"/>
      </w:pPr>
      <w:r>
        <w:t xml:space="preserve">Full comparison table — the entire 25-model database rendered as a sortable/filterable HTML table.</w:t>
      </w:r>
    </w:p>
    <w:p>
      <w:pPr>
        <w:pStyle w:val="Heading2"/>
        <w:spacing w:after="120" w:before="260"/>
      </w:pPr>
      <w:r>
        <w:rPr>
          <w:b/>
          <w:bCs/>
        </w:rPr>
        <w:t xml:space="preserve">8.3 Parity &amp; Maintenance Risk</w:t>
      </w:r>
    </w:p>
    <w:tbl>
      <w:tblPr>
        <w:tblW w:type="dxa" w:w="9350"/>
        <w:tblBorders>
          <w:top w:val="single" w:color="C0392B" w:sz="8"/>
          <w:left w:val="single" w:color="D7DCE6" w:sz="2"/>
          <w:bottom w:val="single" w:color="D7DCE6" w:sz="2"/>
          <w:right w:val="single" w:color="D7DCE6" w:sz="2"/>
          <w:insideH w:val="single" w:color="auto" w:sz="4"/>
          <w:insideV w:val="single" w:color="auto" w:sz="4"/>
        </w:tblBorders>
      </w:tblPr>
      <w:tblGrid>
        <w:gridCol w:w="9350"/>
      </w:tblGrid>
      <w:tr>
        <w:tc>
          <w:tcPr>
            <w:shd w:fill="FCEBEA" w:color="auto" w:val="clear"/>
            <w:tcMar>
              <w:top w:type="dxa" w:w="160"/>
              <w:left w:type="dxa" w:w="220"/>
              <w:bottom w:type="dxa" w:w="160"/>
              <w:right w:type="dxa" w:w="220"/>
            </w:tcMar>
          </w:tcPr>
          <w:p>
            <w:pPr>
              <w:spacing w:after="80"/>
            </w:pPr>
            <w:r>
              <w:rPr>
                <w:b/>
                <w:bCs/>
                <w:color w:val="C0392B"/>
              </w:rPr>
              <w:t xml:space="preserve">Architectural risk</w:t>
            </w:r>
          </w:p>
          <w:p>
            <w:r>
              <w:rPr>
                <w:sz w:val="20"/>
                <w:szCs w:val="20"/>
              </w:rPr>
              <w:t xml:space="preserve">The JavaScript scoring engine in model_advisor_webapp.html is a hand-maintained port of the Python scoring engine, not a shared library. Any change to score_model(), the INTEL_TARGET_BY_COMPLEXITY / CONTEXT_FLOOR_BY_LEVEL tables, or the PTU formulas in model_advisor.py must be manually mirrored in the corresponding JavaScript functions, or the web app and the CLI/Decision Cockpit will silently diverge and produce different recommendations for the same query. This is the single largest maintainability risk in the current architecture (see Section 11).</w:t>
            </w:r>
          </w:p>
        </w:tc>
      </w:tr>
    </w:tbl>
    <w:p>
      <w:r>
        <w:br w:type="page"/>
      </w:r>
    </w:p>
    <w:p>
      <w:pPr>
        <w:pStyle w:val="Heading1"/>
        <w:spacing w:after="160" w:before="360"/>
      </w:pPr>
      <w:r>
        <w:rPr>
          <w:b/>
          <w:bCs/>
        </w:rPr>
        <w:t xml:space="preserve">9. Surface 3 — Decision Cockpit (Streamlit) Design</w:t>
      </w:r>
    </w:p>
    <w:p>
      <w:pPr>
        <w:pStyle w:val="Heading2"/>
        <w:spacing w:after="120" w:before="260"/>
      </w:pPr>
      <w:r>
        <w:rPr>
          <w:b/>
          <w:bCs/>
        </w:rPr>
        <w:t xml:space="preserve">9.1 Overview</w:t>
      </w:r>
    </w:p>
    <w:p>
      <w:pPr>
        <w:spacing w:after="160" w:line="276"/>
      </w:pPr>
      <w:r>
        <w:t xml:space="preserve">The Decision Cockpit is a Streamlit application — “the same recommendation engine, the same PTU calculator, now in a Streamlit UI styled to match the HTML version” — built for stakeholders who want the full interactive experience without a terminal. It imports the Python core directly (no re-implementation, unlike the web app), and adds one capability the other two surfaces do not have: a multi-model, weighted, side-by-side Decision Cockpit comparison view. It is organized as six tabs.</w:t>
      </w:r>
    </w:p>
    <w:p>
      <w:pPr>
        <w:spacing w:after="40" w:before="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09750"/>
                    </a:xfrm>
                    <a:prstGeom prst="rect">
                      <a:avLst/>
                    </a:prstGeom>
                  </pic:spPr>
                </pic:pic>
              </a:graphicData>
            </a:graphic>
          </wp:inline>
        </w:drawing>
      </w:r>
    </w:p>
    <w:p>
      <w:pPr>
        <w:spacing w:after="260" w:before="80"/>
        <w:jc w:val="center"/>
      </w:pPr>
      <w:r>
        <w:rPr>
          <w:i/>
          <w:iCs/>
          <w:color w:val="5B6472"/>
          <w:sz w:val="18"/>
          <w:szCs w:val="18"/>
        </w:rPr>
        <w:t xml:space="preserve">Figure 9.1 — Decision Cockpit tab structure.</w:t>
      </w:r>
    </w:p>
    <w:p>
      <w:pPr>
        <w:pStyle w:val="Heading2"/>
        <w:spacing w:after="120" w:before="260"/>
      </w:pPr>
      <w:r>
        <w:rPr>
          <w:b/>
          <w:bCs/>
        </w:rPr>
        <w:t xml:space="preserve">9.2 Tab-by-Tab Design</w:t>
      </w:r>
    </w:p>
    <w:p>
      <w:pPr>
        <w:pStyle w:val="Heading3"/>
        <w:spacing w:after="100" w:before="200"/>
      </w:pPr>
      <w:r>
        <w:rPr>
          <w:b/>
          <w:bCs/>
        </w:rPr>
        <w:t xml:space="preserve">01 — Recommend</w:t>
      </w:r>
    </w:p>
    <w:p>
      <w:pPr>
        <w:spacing w:after="160" w:line="276"/>
      </w:pPr>
      <w:r>
        <w:t xml:space="preserve">Free-text use-case entry (with a “Pick from known use cases” expander), a Top-N results slider, a document-profile sub-form (PDF/DOC/OCR: document count, average pages, % scanned, primary task, latency expectation, regulated flag) that refines complexity/latency/volume/context scoring for document-heavy workloads, and an inline PTU/PAYG cost estimator that accepts a plain-English cost question plus key:value override lines.</w:t>
      </w:r>
    </w:p>
    <w:p>
      <w:pPr>
        <w:pStyle w:val="Heading3"/>
        <w:spacing w:after="100" w:before="200"/>
      </w:pPr>
      <w:r>
        <w:rPr>
          <w:b/>
          <w:bCs/>
        </w:rPr>
        <w:t xml:space="preserve">02 — Model Table</w:t>
      </w:r>
    </w:p>
    <w:p>
      <w:pPr>
        <w:spacing w:after="160" w:line="276"/>
      </w:pPr>
      <w:r>
        <w:t xml:space="preserve">The full 25-model database with filter controls for Vendor, Open weights, and Vision support; columns include blended price (7:2:1 weighting), context, Intelligence Index, speed, TTFT, and modality flags.</w:t>
      </w:r>
    </w:p>
    <w:p>
      <w:pPr>
        <w:pStyle w:val="Heading3"/>
        <w:spacing w:after="100" w:before="200"/>
      </w:pPr>
      <w:r>
        <w:rPr>
          <w:b/>
          <w:bCs/>
        </w:rPr>
        <w:t xml:space="preserve">03 — Use Cases</w:t>
      </w:r>
    </w:p>
    <w:p>
      <w:pPr>
        <w:spacing w:after="160" w:line="276"/>
      </w:pPr>
      <w:r>
        <w:t xml:space="preserve">A browsable, keyword-filterable list of all 37 known use cases grouped by category (Claims, Underwriting, Claims/SIU, Distribution, Underwriting ops, Service, Compliance, …), each expandable to show its full scoring profile.</w:t>
      </w:r>
    </w:p>
    <w:p>
      <w:pPr>
        <w:pStyle w:val="Heading3"/>
        <w:spacing w:after="100" w:before="200"/>
      </w:pPr>
      <w:r>
        <w:rPr>
          <w:b/>
          <w:bCs/>
        </w:rPr>
        <w:t xml:space="preserve">04 — Explain Model</w:t>
      </w:r>
    </w:p>
    <w:p>
      <w:pPr>
        <w:spacing w:after="160" w:line="276"/>
      </w:pPr>
      <w:r>
        <w:t xml:space="preserve">A per-model justification viewer: pick any of the 25 models to see vendor, release date, knowledge cutoff, open-weight status, and a plain-English justification for every one of its 19 parameters, plus an expandable benchmark-citations panel.</w:t>
      </w:r>
    </w:p>
    <w:p>
      <w:pPr>
        <w:pStyle w:val="Heading3"/>
        <w:spacing w:after="100" w:before="200"/>
      </w:pPr>
      <w:r>
        <w:rPr>
          <w:b/>
          <w:bCs/>
        </w:rPr>
        <w:t xml:space="preserve">05 — PTU vs PAYG</w:t>
      </w:r>
    </w:p>
    <w:p>
      <w:pPr>
        <w:spacing w:after="160" w:line="276"/>
      </w:pPr>
      <w:r>
        <w:t xml:space="preserve">A guided single-model calculator: choose the PTU hourly-cost method (planning default / derive from annual contract / derive from monthly contract / enter an exact rate), enter PTUs and monthly input/output tokens, and get required-vs-available TPM, utilization %, and a PTU-vs-PAYG monthly cost comparison card.</w:t>
      </w:r>
    </w:p>
    <w:p>
      <w:pPr>
        <w:pStyle w:val="Heading3"/>
        <w:spacing w:after="100" w:before="200"/>
      </w:pPr>
      <w:r>
        <w:rPr>
          <w:b/>
          <w:bCs/>
        </w:rPr>
        <w:t xml:space="preserve">06 — Decision Cockpit</w:t>
      </w:r>
    </w:p>
    <w:p>
      <w:pPr>
        <w:spacing w:after="160" w:line="276"/>
      </w:pPr>
      <w:r>
        <w:t xml:space="preserve">The multi-model business-decision view: pick any combination of models (e.g. GPT-5.4, GPT-5.4 mini, Claude Sonnet 4.6, Gemini 3.1 Pro, Qwen3.7 Max), set shared monthly volume and PTU assumptions, and adjust four weighting sliders — Quality %, Economics %, Latency %, Risk/Compliance % — to match organizational priorities. Produces a weighted-score ranking, a recommended model + best billing path + weighted score card, an auto-generated Executive Summary (cost advantage, quality trade-off, billing-path callouts), a full comparison table, and a CSV export.</w:t>
      </w:r>
    </w:p>
    <w:p>
      <w:pPr>
        <w:spacing w:after="120"/>
      </w:pPr>
    </w:p>
    <w:p>
      <w:pPr>
        <w:pStyle w:val="Heading2"/>
        <w:spacing w:after="120" w:before="260"/>
      </w:pPr>
      <w:r>
        <w:rPr>
          <w:b/>
          <w:bCs/>
        </w:rPr>
        <w:t xml:space="preserve">9.3 Observed Reference Output — Decision Cockpit Run</w:t>
      </w:r>
    </w:p>
    <w:p>
      <w:pPr>
        <w:spacing w:after="160" w:line="276"/>
      </w:pPr>
      <w:r>
        <w:t xml:space="preserve">Sample run comparing GPT-5.4, GPT-5.4 mini, Claude Sonnet 4.6, Gemini 3.1 Pro, and Qwen3.7 Max at 60M input / 40M output monthly tokens, hourly PTU billing, and weighting Quality 50% / Economics 30% / Latency 10% / Risk-Compliance 10%:</w:t>
      </w:r>
    </w:p>
    <w:tbl>
      <w:tblPr>
        <w:tblW w:type="dxa" w:w="8350"/>
        <w:tblBorders>
          <w:top w:val="single" w:color="AAB4C8" w:sz="4"/>
          <w:left w:val="single" w:color="AAB4C8" w:sz="4"/>
          <w:bottom w:val="single" w:color="AAB4C8" w:sz="4"/>
          <w:right w:val="single" w:color="AAB4C8" w:sz="4"/>
          <w:insideH w:val="single" w:color="D7DCE6" w:sz="2"/>
          <w:insideV w:val="single" w:color="D7DCE6" w:sz="2"/>
        </w:tblBorders>
      </w:tblPr>
      <w:tblGrid>
        <w:gridCol w:w="1500"/>
        <w:gridCol w:w="1100"/>
        <w:gridCol w:w="1350"/>
        <w:gridCol w:w="1500"/>
        <w:gridCol w:w="1450"/>
        <w:gridCol w:w="1450"/>
      </w:tblGrid>
      <w:tr>
        <w:trPr>
          <w:cantSplit/>
          <w:tblHeader/>
        </w:trPr>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Model</w:t>
            </w:r>
          </w:p>
        </w:tc>
        <w:tc>
          <w:tcPr>
            <w:tcW w:type="dxa" w:w="1100"/>
            <w:shd w:fill="1E2761" w:color="auto" w:val="clear"/>
            <w:tcMar>
              <w:top w:type="dxa" w:w="60"/>
              <w:left w:type="dxa" w:w="90"/>
              <w:bottom w:type="dxa" w:w="60"/>
              <w:right w:type="dxa" w:w="90"/>
            </w:tcMar>
            <w:vAlign w:val="center"/>
          </w:tcPr>
          <w:p>
            <w:pPr>
              <w:jc w:val="left"/>
            </w:pPr>
            <w:r>
              <w:rPr>
                <w:b/>
                <w:bCs/>
                <w:color w:val="FFFFFF"/>
                <w:sz w:val="18"/>
                <w:szCs w:val="18"/>
              </w:rPr>
              <w:t xml:space="preserve">Vendor</w:t>
            </w:r>
          </w:p>
        </w:tc>
        <w:tc>
          <w:tcPr>
            <w:tcW w:type="dxa" w:w="1350"/>
            <w:shd w:fill="1E2761" w:color="auto" w:val="clear"/>
            <w:tcMar>
              <w:top w:type="dxa" w:w="60"/>
              <w:left w:type="dxa" w:w="90"/>
              <w:bottom w:type="dxa" w:w="60"/>
              <w:right w:type="dxa" w:w="90"/>
            </w:tcMar>
            <w:vAlign w:val="center"/>
          </w:tcPr>
          <w:p>
            <w:pPr>
              <w:jc w:val="left"/>
            </w:pPr>
            <w:r>
              <w:rPr>
                <w:b/>
                <w:bCs/>
                <w:color w:val="FFFFFF"/>
                <w:sz w:val="18"/>
                <w:szCs w:val="18"/>
              </w:rPr>
              <w:t xml:space="preserve">PAYG $/mo</w:t>
            </w:r>
          </w:p>
        </w:tc>
        <w:tc>
          <w:tcPr>
            <w:tcW w:type="dxa" w:w="1500"/>
            <w:shd w:fill="1E2761" w:color="auto" w:val="clear"/>
            <w:tcMar>
              <w:top w:type="dxa" w:w="60"/>
              <w:left w:type="dxa" w:w="90"/>
              <w:bottom w:type="dxa" w:w="60"/>
              <w:right w:type="dxa" w:w="90"/>
            </w:tcMar>
            <w:vAlign w:val="center"/>
          </w:tcPr>
          <w:p>
            <w:pPr>
              <w:jc w:val="left"/>
            </w:pPr>
            <w:r>
              <w:rPr>
                <w:b/>
                <w:bCs/>
                <w:color w:val="FFFFFF"/>
                <w:sz w:val="18"/>
                <w:szCs w:val="18"/>
              </w:rPr>
              <w:t xml:space="preserve">Required TPM</w:t>
            </w:r>
          </w:p>
        </w:tc>
        <w:tc>
          <w:tcPr>
            <w:tcW w:type="dxa" w:w="1450"/>
            <w:shd w:fill="1E2761" w:color="auto" w:val="clear"/>
            <w:tcMar>
              <w:top w:type="dxa" w:w="60"/>
              <w:left w:type="dxa" w:w="90"/>
              <w:bottom w:type="dxa" w:w="60"/>
              <w:right w:type="dxa" w:w="90"/>
            </w:tcMar>
            <w:vAlign w:val="center"/>
          </w:tcPr>
          <w:p>
            <w:pPr>
              <w:jc w:val="left"/>
            </w:pPr>
            <w:r>
              <w:rPr>
                <w:b/>
                <w:bCs/>
                <w:color w:val="FFFFFF"/>
                <w:sz w:val="18"/>
                <w:szCs w:val="18"/>
              </w:rPr>
              <w:t xml:space="preserve">Utilization</w:t>
            </w:r>
          </w:p>
        </w:tc>
        <w:tc>
          <w:tcPr>
            <w:tcW w:type="dxa" w:w="1450"/>
            <w:shd w:fill="1E2761" w:color="auto" w:val="clear"/>
            <w:tcMar>
              <w:top w:type="dxa" w:w="60"/>
              <w:left w:type="dxa" w:w="90"/>
              <w:bottom w:type="dxa" w:w="60"/>
              <w:right w:type="dxa" w:w="90"/>
            </w:tcMar>
            <w:vAlign w:val="center"/>
          </w:tcPr>
          <w:p>
            <w:pPr>
              <w:jc w:val="left"/>
            </w:pPr>
            <w:r>
              <w:rPr>
                <w:b/>
                <w:bCs/>
                <w:color w:val="FFFFFF"/>
                <w:sz w:val="18"/>
                <w:szCs w:val="18"/>
              </w:rPr>
              <w:t xml:space="preserve">Cheaper billing</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GPT-5.4 mini</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1350"/>
            <w:tcMar>
              <w:top w:type="dxa" w:w="60"/>
              <w:left w:type="dxa" w:w="90"/>
              <w:bottom w:type="dxa" w:w="60"/>
              <w:right w:type="dxa" w:w="90"/>
            </w:tcMar>
            <w:vAlign w:val="center"/>
          </w:tcPr>
          <w:p>
            <w:pPr>
              <w:jc w:val="left"/>
            </w:pPr>
            <w:r>
              <w:rPr>
                <w:b w:val="false"/>
                <w:bCs w:val="false"/>
                <w:color w:val="000000"/>
                <w:sz w:val="18"/>
                <w:szCs w:val="18"/>
              </w:rPr>
              <w:t xml:space="preserve">$225.00</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6,849</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4.6%</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PAYG</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Qwen3.7 Max</w:t>
            </w:r>
          </w:p>
        </w:tc>
        <w:tc>
          <w:tcPr>
            <w:tcW w:type="dxa" w:w="1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Alibaba</w:t>
            </w:r>
          </w:p>
        </w:tc>
        <w:tc>
          <w:tcPr>
            <w:tcW w:type="dxa" w:w="13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$450.00</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4,110</w:t>
            </w:r>
          </w:p>
        </w:tc>
        <w:tc>
          <w:tcPr>
            <w:tcW w:type="dxa" w:w="1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3.7%</w:t>
            </w:r>
          </w:p>
        </w:tc>
        <w:tc>
          <w:tcPr>
            <w:tcW w:type="dxa" w:w="1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PAYG</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GPT-5.4</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1350"/>
            <w:tcMar>
              <w:top w:type="dxa" w:w="60"/>
              <w:left w:type="dxa" w:w="90"/>
              <w:bottom w:type="dxa" w:w="60"/>
              <w:right w:type="dxa" w:w="90"/>
            </w:tcMar>
            <w:vAlign w:val="center"/>
          </w:tcPr>
          <w:p>
            <w:pPr>
              <w:jc w:val="left"/>
            </w:pPr>
            <w:r>
              <w:rPr>
                <w:b w:val="false"/>
                <w:bCs w:val="false"/>
                <w:color w:val="000000"/>
                <w:sz w:val="18"/>
                <w:szCs w:val="18"/>
              </w:rPr>
              <w:t xml:space="preserve">$650.00</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5,936</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4.7%</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PAYG</w:t>
            </w:r>
          </w:p>
        </w:tc>
      </w:tr>
      <w:tr>
        <w:trPr>
          <w:cantSplit/>
        </w:trPr>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Gemini 3.1 Pro</w:t>
            </w:r>
          </w:p>
        </w:tc>
        <w:tc>
          <w:tcPr>
            <w:tcW w:type="dxa" w:w="11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13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$600.00</w:t>
            </w:r>
          </w:p>
        </w:tc>
        <w:tc>
          <w:tcPr>
            <w:tcW w:type="dxa" w:w="15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6,849</w:t>
            </w:r>
          </w:p>
        </w:tc>
        <w:tc>
          <w:tcPr>
            <w:tcW w:type="dxa" w:w="1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6.2%</w:t>
            </w:r>
          </w:p>
        </w:tc>
        <w:tc>
          <w:tcPr>
            <w:tcW w:type="dxa" w:w="1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PAYG</w:t>
            </w:r>
          </w:p>
        </w:tc>
      </w:tr>
      <w:tr>
        <w:trPr>
          <w:cantSplit/>
        </w:trPr>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Claude Sonnet 4.6</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1350"/>
            <w:tcMar>
              <w:top w:type="dxa" w:w="60"/>
              <w:left w:type="dxa" w:w="90"/>
              <w:bottom w:type="dxa" w:w="60"/>
              <w:right w:type="dxa" w:w="90"/>
            </w:tcMar>
            <w:vAlign w:val="center"/>
          </w:tcPr>
          <w:p>
            <w:pPr>
              <w:jc w:val="left"/>
            </w:pPr>
            <w:r>
              <w:rPr>
                <w:b w:val="false"/>
                <w:bCs w:val="false"/>
                <w:color w:val="000000"/>
                <w:sz w:val="18"/>
                <w:szCs w:val="18"/>
              </w:rPr>
              <w:t xml:space="preserve">$780.00</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5,936</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5.9%</w:t>
            </w:r>
          </w:p>
        </w:tc>
        <w:tc>
          <w:tcPr>
            <w:tcW w:type="dxa" w:w="1450"/>
            <w:tcMar>
              <w:top w:type="dxa" w:w="60"/>
              <w:left w:type="dxa" w:w="90"/>
              <w:bottom w:type="dxa" w:w="60"/>
              <w:right w:type="dxa" w:w="90"/>
            </w:tcMar>
            <w:vAlign w:val="center"/>
          </w:tcPr>
          <w:p>
            <w:pPr>
              <w:jc w:val="left"/>
            </w:pPr>
            <w:r>
              <w:rPr>
                <w:b w:val="false"/>
                <w:bCs w:val="false"/>
                <w:color w:val="000000"/>
                <w:sz w:val="18"/>
                <w:szCs w:val="18"/>
              </w:rPr>
              <w:t xml:space="preserve">PAYG</w:t>
            </w:r>
          </w:p>
        </w:tc>
      </w:tr>
    </w:tbl>
    <w:p>
      <w:pPr>
        <w:spacing w:after="160"/>
      </w:pPr>
    </w:p>
    <w:tbl>
      <w:tblPr>
        <w:tblW w:type="dxa" w:w="9350"/>
        <w:tblBorders>
          <w:top w:val="single" w:color="1E2761" w:sz="8"/>
          <w:left w:val="single" w:color="D7DCE6" w:sz="2"/>
          <w:bottom w:val="single" w:color="D7DCE6" w:sz="2"/>
          <w:right w:val="single" w:color="D7DCE6" w:sz="2"/>
          <w:insideH w:val="single" w:color="auto" w:sz="4"/>
          <w:insideV w:val="single" w:color="auto" w:sz="4"/>
        </w:tblBorders>
      </w:tblPr>
      <w:tblGrid>
        <w:gridCol w:w="9350"/>
      </w:tblGrid>
      <w:tr>
        <w:tc>
          <w:tcPr>
            <w:shd w:fill="F3F6FD" w:color="auto" w:val="clear"/>
            <w:tcMar>
              <w:top w:type="dxa" w:w="160"/>
              <w:left w:type="dxa" w:w="220"/>
              <w:bottom w:type="dxa" w:w="160"/>
              <w:right w:type="dxa" w:w="220"/>
            </w:tcMar>
          </w:tcPr>
          <w:p>
            <w:pPr>
              <w:spacing w:after="80"/>
            </w:pPr>
            <w:r>
              <w:rPr>
                <w:b/>
                <w:bCs/>
                <w:color w:val="1E2761"/>
              </w:rPr>
              <w:t xml:space="preserve">Result</w:t>
            </w:r>
          </w:p>
          <w:p>
            <w:r>
              <w:rPr>
                <w:sz w:val="20"/>
                <w:szCs w:val="20"/>
              </w:rPr>
              <w:t xml:space="preserve">Recommended for rollout: GPT-5.4 mini, best billing path PAYG, weighted score 82.9. Executive summary auto-text: “GPT-5.4 mini is ~$2,700.00 cheaper per year than Qwen3.7 Max under current assumptions; highest quality in this set is GPT-5.4 (+20.0 points) but it did not win overall after cost/latency/risk weighting; PAYG is cheaper for the winner at current traffic assumptions (PTU utilization 4.6%).”</w:t>
            </w:r>
          </w:p>
        </w:tc>
      </w:tr>
    </w:tbl>
    <w:p>
      <w:r>
        <w:br w:type="page"/>
      </w:r>
    </w:p>
    <w:p>
      <w:pPr>
        <w:pStyle w:val="Heading1"/>
        <w:spacing w:after="160" w:before="360"/>
      </w:pPr>
      <w:r>
        <w:rPr>
          <w:b/>
          <w:bCs/>
        </w:rPr>
        <w:t xml:space="preserve">10. Non-Functional Requirements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600"/>
        <w:gridCol w:w="6750"/>
      </w:tblGrid>
      <w:tr>
        <w:trPr>
          <w:cantSplit/>
          <w:tblHeader/>
        </w:trPr>
        <w:tc>
          <w:tcPr>
            <w:tcW w:type="dxa" w:w="2600"/>
            <w:shd w:fill="1E2761" w:color="auto" w:val="clear"/>
            <w:tcMar>
              <w:top w:type="dxa" w:w="60"/>
              <w:left w:type="dxa" w:w="90"/>
              <w:bottom w:type="dxa" w:w="60"/>
              <w:right w:type="dxa" w:w="90"/>
            </w:tcMar>
            <w:vAlign w:val="center"/>
          </w:tcPr>
          <w:p>
            <w:pPr>
              <w:jc w:val="left"/>
            </w:pPr>
            <w:r>
              <w:rPr>
                <w:b/>
                <w:bCs/>
                <w:color w:val="FFFFFF"/>
                <w:sz w:val="18"/>
                <w:szCs w:val="18"/>
              </w:rPr>
              <w:t xml:space="preserve">Requirement</w:t>
            </w:r>
          </w:p>
        </w:tc>
        <w:tc>
          <w:tcPr>
            <w:tcW w:type="dxa" w:w="6750"/>
            <w:shd w:fill="1E2761" w:color="auto" w:val="clear"/>
            <w:tcMar>
              <w:top w:type="dxa" w:w="60"/>
              <w:left w:type="dxa" w:w="90"/>
              <w:bottom w:type="dxa" w:w="60"/>
              <w:right w:type="dxa" w:w="90"/>
            </w:tcMar>
            <w:vAlign w:val="center"/>
          </w:tcPr>
          <w:p>
            <w:pPr>
              <w:jc w:val="left"/>
            </w:pPr>
            <w:r>
              <w:rPr>
                <w:b/>
                <w:bCs/>
                <w:color w:val="FFFFFF"/>
                <w:sz w:val="18"/>
                <w:szCs w:val="18"/>
              </w:rPr>
              <w:t xml:space="preserve">How it is met</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Zero mandatory dependencies (core/CLI)</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model_advisor.py uses only the Python standard library (sys, re, textwrap, argparse, dataclasses, typing) — no pip install required</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Cross-platform portability</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Python 3.9+ on macOS, Windows, and Linux; the web app runs in any modern browser with no install</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Transparency of assumptions</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Every non-vendor-published figure is labeled “(planning default — verify with Azure's own calculator)” vs. “(your value)” in every surface's output</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Extensibility</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Adding a model or use case is a pure data change (one more Model(...) or UseCase(...) entry); the scoring engine requires no code change to accommodate new records</w:t>
            </w:r>
          </w:p>
        </w:tc>
      </w:tr>
      <w:tr>
        <w:trPr>
          <w:cantSplit/>
        </w:trP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Deterministic, explainable output</w:t>
            </w:r>
          </w:p>
        </w:tc>
        <w:tc>
          <w:tcPr>
            <w:tcW w:type="dxa" w:w="6750"/>
            <w:tcMar>
              <w:top w:type="dxa" w:w="60"/>
              <w:left w:type="dxa" w:w="90"/>
              <w:bottom w:type="dxa" w:w="60"/>
              <w:right w:type="dxa" w:w="90"/>
            </w:tcMar>
            <w:vAlign w:val="center"/>
          </w:tcPr>
          <w:p>
            <w:pPr>
              <w:jc w:val="left"/>
            </w:pPr>
            <w:r>
              <w:rPr>
                <w:b w:val="false"/>
                <w:bCs w:val="false"/>
                <w:color w:val="000000"/>
                <w:sz w:val="18"/>
                <w:szCs w:val="18"/>
              </w:rPr>
              <w:t xml:space="preserve">score_model() is a pure function with no randomness; --explain / Tab 04 exposes the justification behind every parameter used in scoring</w:t>
            </w:r>
          </w:p>
        </w:tc>
      </w:tr>
      <w:tr>
        <w:trPr>
          <w:cantSplit/>
        </w:trPr>
        <w:tc>
          <w:tcPr>
            <w:tcW w:type="dxa" w:w="26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Data currency</w:t>
            </w:r>
          </w:p>
        </w:tc>
        <w:tc>
          <w:tcPr>
            <w:tcW w:type="dxa" w:w="6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Explicitly snapshotted “accessed June 2026”; the system does not claim to be a live pricing feed (see Section 11)</w:t>
            </w:r>
          </w:p>
        </w:tc>
      </w:tr>
    </w:tbl>
    <w:p>
      <w:r>
        <w:br w:type="page"/>
      </w:r>
    </w:p>
    <w:p>
      <w:pPr>
        <w:pStyle w:val="Heading1"/>
        <w:spacing w:after="160" w:before="360"/>
      </w:pPr>
      <w:r>
        <w:rPr>
          <w:b/>
          <w:bCs/>
        </w:rPr>
        <w:t xml:space="preserve">11. Known Limitations &amp; Risks</w:t>
      </w:r>
    </w:p>
    <w:p>
      <w:pPr>
        <w:pStyle w:val="ListParagraph"/>
        <w:numPr>
          <w:ilvl w:val="0"/>
          <w:numId w:val="1"/>
        </w:numPr>
        <w:spacing w:after="90" w:line="264"/>
      </w:pPr>
      <w:r>
        <w:t xml:space="preserve">Point-in-time data snapshot: all pricing, context, and benchmark figures are accurate as of June 2026 and are not live-updated; vendor pricing and model line-ups change frequently and this database requires a periodic manual refresh cycle.</w:t>
      </w:r>
    </w:p>
    <w:p>
      <w:pPr>
        <w:pStyle w:val="ListParagraph"/>
        <w:numPr>
          <w:ilvl w:val="0"/>
          <w:numId w:val="1"/>
        </w:numPr>
        <w:spacing w:after="90" w:line="264"/>
      </w:pPr>
      <w:r>
        <w:t xml:space="preserve">JavaScript / Python scoring parity risk: the web app's scoring engine is a hand-maintained duplicate of the Python core (Section 8.3) — the single largest architectural maintenance risk identified in this design.</w:t>
      </w:r>
    </w:p>
    <w:p>
      <w:pPr>
        <w:pStyle w:val="ListParagraph"/>
        <w:numPr>
          <w:ilvl w:val="0"/>
          <w:numId w:val="1"/>
        </w:numPr>
        <w:spacing w:after="90" w:line="264"/>
      </w:pPr>
      <w:r>
        <w:t xml:space="preserve">Unpublished figures marked, not estimated: several fields (DeepSeek/Mistral/Qwen/Grok knowledge cutoffs; eval cost for most models) are not independently published by their vendors and are explicitly marked as such rather than silently guessed.</w:t>
      </w:r>
    </w:p>
    <w:p>
      <w:pPr>
        <w:pStyle w:val="ListParagraph"/>
        <w:numPr>
          <w:ilvl w:val="0"/>
          <w:numId w:val="1"/>
        </w:numPr>
        <w:spacing w:after="90" w:line="264"/>
      </w:pPr>
      <w:r>
        <w:t xml:space="preserve">Free-text fallback is heuristic: queries that don't match a known use case fall through to guess_use_case_from_description(), a keyword-based heuristic — users are advised to check the printed profile or use --list / Tab 03 to find the closest pre-built match.</w:t>
      </w:r>
    </w:p>
    <w:p>
      <w:pPr>
        <w:pStyle w:val="ListParagraph"/>
        <w:numPr>
          <w:ilvl w:val="0"/>
          <w:numId w:val="1"/>
        </w:numPr>
        <w:spacing w:after="90" w:line="264"/>
      </w:pPr>
      <w:r>
        <w:t xml:space="preserve">PTU planning constants are estimates: $/PTU/hour, tokens-per-minute-per-PTU, and the output-token capacity weight are not published by Azure as universal constants; defaults are rough planning estimates that must be verified against Azure's own capacity calculator before budget commitment.</w:t>
      </w:r>
    </w:p>
    <w:p>
      <w:pPr>
        <w:pStyle w:val="ListParagraph"/>
        <w:numPr>
          <w:ilvl w:val="0"/>
          <w:numId w:val="1"/>
        </w:numPr>
        <w:spacing w:after="90" w:line="264"/>
      </w:pPr>
      <w:r>
        <w:t xml:space="preserve">Recommendations are a starting hypothesis: outputs are derived from published benchmarks, not a controlled internal evaluation on the requesting organization's own documents and traffic — validation before vendor commitment is expected.</w:t>
      </w:r>
    </w:p>
    <w:p>
      <w:r>
        <w:br w:type="page"/>
      </w:r>
    </w:p>
    <w:p>
      <w:pPr>
        <w:pStyle w:val="Heading1"/>
        <w:spacing w:after="160" w:before="360"/>
      </w:pPr>
      <w:r>
        <w:rPr>
          <w:b/>
          <w:bCs/>
        </w:rPr>
        <w:t xml:space="preserve">12. Companion Deliverables &amp; Traceability</w:t>
      </w:r>
    </w:p>
    <w:p>
      <w:pPr>
        <w:spacing w:after="160" w:line="276"/>
      </w:pPr>
      <w:r>
        <w:t xml:space="preserve">This design document is one of four artifacts sharing the same model database and scoring logic:</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3200"/>
        <w:gridCol w:w="6150"/>
      </w:tblGrid>
      <w:tr>
        <w:trPr>
          <w:cantSplit/>
          <w:tblHeader/>
        </w:trPr>
        <w:tc>
          <w:tcPr>
            <w:tcW w:type="dxa" w:w="3200"/>
            <w:shd w:fill="1E2761" w:color="auto" w:val="clear"/>
            <w:tcMar>
              <w:top w:type="dxa" w:w="60"/>
              <w:left w:type="dxa" w:w="90"/>
              <w:bottom w:type="dxa" w:w="60"/>
              <w:right w:type="dxa" w:w="90"/>
            </w:tcMar>
            <w:vAlign w:val="center"/>
          </w:tcPr>
          <w:p>
            <w:pPr>
              <w:jc w:val="left"/>
            </w:pPr>
            <w:r>
              <w:rPr>
                <w:b/>
                <w:bCs/>
                <w:color w:val="FFFFFF"/>
                <w:sz w:val="18"/>
                <w:szCs w:val="18"/>
              </w:rPr>
              <w:t xml:space="preserve">Artifact</w:t>
            </w:r>
          </w:p>
        </w:tc>
        <w:tc>
          <w:tcPr>
            <w:tcW w:type="dxa" w:w="6150"/>
            <w:shd w:fill="1E2761" w:color="auto" w:val="clear"/>
            <w:tcMar>
              <w:top w:type="dxa" w:w="60"/>
              <w:left w:type="dxa" w:w="90"/>
              <w:bottom w:type="dxa" w:w="60"/>
              <w:right w:type="dxa" w:w="90"/>
            </w:tcMar>
            <w:vAlign w:val="center"/>
          </w:tcPr>
          <w:p>
            <w:pPr>
              <w:jc w:val="left"/>
            </w:pPr>
            <w:r>
              <w:rPr>
                <w:b/>
                <w:bCs/>
                <w:color w:val="FFFFFF"/>
                <w:sz w:val="18"/>
                <w:szCs w:val="18"/>
              </w:rPr>
              <w:t xml:space="preserve">Purpose</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model_advisor.py</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Zero-dependency CLI — authoritative implementation of the scoring and PTU logic</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model_advisor_webapp.html</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Self-contained offline browser app; JavaScript port of the same logic</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Decision Cockpit (Streamlit)</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Hosted multi-tab business application; imports the Python core directly and adds multi-model weighted comparison</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Cross_Vendor_Model_Comparison_Insurance_Recommendations.pptx</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Full slide deck, including a per-use-case Model-to-Use-Case Map</w:t>
            </w:r>
          </w:p>
        </w:tc>
      </w:tr>
      <w:tr>
        <w:trPr>
          <w:cantSplit/>
        </w:trPr>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Model_Parameter_Reference_Justified.docx</w:t>
            </w:r>
          </w:p>
        </w:tc>
        <w:tc>
          <w:tcPr>
            <w:tcW w:type="dxa" w:w="6150"/>
            <w:tcMar>
              <w:top w:type="dxa" w:w="60"/>
              <w:left w:type="dxa" w:w="90"/>
              <w:bottom w:type="dxa" w:w="60"/>
              <w:right w:type="dxa" w:w="90"/>
            </w:tcMar>
            <w:vAlign w:val="center"/>
          </w:tcPr>
          <w:p>
            <w:pPr>
              <w:jc w:val="left"/>
            </w:pPr>
            <w:r>
              <w:rPr>
                <w:b w:val="false"/>
                <w:bCs w:val="false"/>
                <w:color w:val="000000"/>
                <w:sz w:val="18"/>
                <w:szCs w:val="18"/>
              </w:rPr>
              <w:t xml:space="preserve">34-page reference document with the full parameter table and per-model justification for every value</w:t>
            </w:r>
          </w:p>
        </w:tc>
      </w:tr>
      <w:tr>
        <w:trPr>
          <w:cantSplit/>
        </w:trPr>
        <w:tc>
          <w:tcPr>
            <w:tcW w:type="dxa" w:w="32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Model Advisor — Architecture Overview (this document's companion deck)</w:t>
            </w:r>
          </w:p>
        </w:tc>
        <w:tc>
          <w:tcPr>
            <w:tcW w:type="dxa" w:w="61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Executive-level walkthrough of this same architecture, for stakeholder presentation</w:t>
            </w:r>
          </w:p>
        </w:tc>
      </w:tr>
    </w:tbl>
    <w:p>
      <w:r>
        <w:br w:type="page"/>
      </w:r>
    </w:p>
    <w:p>
      <w:pPr>
        <w:pStyle w:val="Heading1"/>
        <w:spacing w:after="160" w:before="360"/>
      </w:pPr>
      <w:r>
        <w:rPr>
          <w:b/>
          <w:bCs/>
        </w:rPr>
        <w:t xml:space="preserve">13. Appendix</w:t>
      </w:r>
    </w:p>
    <w:p>
      <w:pPr>
        <w:pStyle w:val="Heading2"/>
        <w:spacing w:after="120" w:before="260"/>
      </w:pPr>
      <w:r>
        <w:rPr>
          <w:b/>
          <w:bCs/>
        </w:rPr>
        <w:t xml:space="preserve">A. Model Release Dates &amp; Knowledge Cutoffs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2000"/>
        <w:gridCol w:w="1300"/>
        <w:gridCol w:w="3300"/>
        <w:gridCol w:w="2750"/>
      </w:tblGrid>
      <w:tr>
        <w:trPr>
          <w:cantSplit/>
          <w:tblHeader/>
        </w:trPr>
        <w:tc>
          <w:tcPr>
            <w:tcW w:type="dxa" w:w="2000"/>
            <w:shd w:fill="1E2761" w:color="auto" w:val="clear"/>
            <w:tcMar>
              <w:top w:type="dxa" w:w="60"/>
              <w:left w:type="dxa" w:w="90"/>
              <w:bottom w:type="dxa" w:w="60"/>
              <w:right w:type="dxa" w:w="90"/>
            </w:tcMar>
            <w:vAlign w:val="center"/>
          </w:tcPr>
          <w:p>
            <w:pPr>
              <w:jc w:val="left"/>
            </w:pPr>
            <w:r>
              <w:rPr>
                <w:b/>
                <w:bCs/>
                <w:color w:val="FFFFFF"/>
                <w:sz w:val="18"/>
                <w:szCs w:val="18"/>
              </w:rPr>
              <w:t xml:space="preserve">Model</w:t>
            </w:r>
          </w:p>
        </w:tc>
        <w:tc>
          <w:tcPr>
            <w:tcW w:type="dxa" w:w="1300"/>
            <w:shd w:fill="1E2761" w:color="auto" w:val="clear"/>
            <w:tcMar>
              <w:top w:type="dxa" w:w="60"/>
              <w:left w:type="dxa" w:w="90"/>
              <w:bottom w:type="dxa" w:w="60"/>
              <w:right w:type="dxa" w:w="90"/>
            </w:tcMar>
            <w:vAlign w:val="center"/>
          </w:tcPr>
          <w:p>
            <w:pPr>
              <w:jc w:val="left"/>
            </w:pPr>
            <w:r>
              <w:rPr>
                <w:b/>
                <w:bCs/>
                <w:color w:val="FFFFFF"/>
                <w:sz w:val="18"/>
                <w:szCs w:val="18"/>
              </w:rPr>
              <w:t xml:space="preserve">Vendor</w:t>
            </w:r>
          </w:p>
        </w:tc>
        <w:tc>
          <w:tcPr>
            <w:tcW w:type="dxa" w:w="3300"/>
            <w:shd w:fill="1E2761" w:color="auto" w:val="clear"/>
            <w:tcMar>
              <w:top w:type="dxa" w:w="60"/>
              <w:left w:type="dxa" w:w="90"/>
              <w:bottom w:type="dxa" w:w="60"/>
              <w:right w:type="dxa" w:w="90"/>
            </w:tcMar>
            <w:vAlign w:val="center"/>
          </w:tcPr>
          <w:p>
            <w:pPr>
              <w:jc w:val="left"/>
            </w:pPr>
            <w:r>
              <w:rPr>
                <w:b/>
                <w:bCs/>
                <w:color w:val="FFFFFF"/>
                <w:sz w:val="18"/>
                <w:szCs w:val="18"/>
              </w:rPr>
              <w:t xml:space="preserve">Knowledge cutoff</w:t>
            </w:r>
          </w:p>
        </w:tc>
        <w:tc>
          <w:tcPr>
            <w:tcW w:type="dxa" w:w="2750"/>
            <w:shd w:fill="1E2761" w:color="auto" w:val="clear"/>
            <w:tcMar>
              <w:top w:type="dxa" w:w="60"/>
              <w:left w:type="dxa" w:w="90"/>
              <w:bottom w:type="dxa" w:w="60"/>
              <w:right w:type="dxa" w:w="90"/>
            </w:tcMar>
            <w:vAlign w:val="center"/>
          </w:tcPr>
          <w:p>
            <w:pPr>
              <w:jc w:val="left"/>
            </w:pPr>
            <w:r>
              <w:rPr>
                <w:b/>
                <w:bCs/>
                <w:color w:val="FFFFFF"/>
                <w:sz w:val="18"/>
                <w:szCs w:val="18"/>
              </w:rPr>
              <w:t xml:space="preserve">Release date</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Claude Haiku 4.5</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February 2025</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October 15, 2025</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Claude Sonnet 4.6</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August 2025</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February 17,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Claude Opus 4.7</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Anthropic</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January 2026</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April 16,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GPT-5.4 mini</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August 2025 (est., family-aligned)</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March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GPT-5.4</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August 31, 2025</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March 5,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GPT-5.5</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OpenAI</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December 1, 2025</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April 23,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Gemini 3.1 Flash-Lite</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January 2025</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March 4,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Gemini 3.1 Pro</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January 2025</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March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Llama 4 Scout</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August 2024</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April 5,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Llama 4 Maverick</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August 2024</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April 5,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DeepSeek V3.2</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DeepSeek</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2024-2025 (exact date not separately published by DeepSeek)</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December 2025</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DeepSeek R1</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DeepSeek</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2024-2025 (exact date not separately published by DeepSeek)</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January 2025 (original R1); ongoing point releases since</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Mistral Large 3</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Mistral</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Mid-2025 (exact date not separately published by Mistral)</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December 2025</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Phi-4</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Microsoft</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June 2024</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January 10, 2025</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Command A</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Cohere</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June 1, 2024</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2025</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Command A+</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Cohere</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April 1, 2025</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May 20,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Qwen3.7 Max</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Alibaba</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2025 (exact date not separately published by Alibaba)</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May 19,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Grok 4.3</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xAI</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Not independently confirmed</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April 30, 2026</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Nova Pro</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Amazon</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December 2024</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December 2024</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Nova Micro</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Amazon</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December 2024</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December 2024</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Gemma 4 E4B</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Google</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January 2025</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April 2,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Llama 3.2 3B</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Meta</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December 2023</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September 25, 2024</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Qwen3.5 9B</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Alibaba</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2025 (exact date not separately published by Alibaba)</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March 2026</w:t>
            </w:r>
          </w:p>
        </w:tc>
      </w:tr>
      <w:tr>
        <w:trPr>
          <w:cantSplit/>
        </w:trPr>
        <w:tc>
          <w:tcPr>
            <w:tcW w:type="dxa" w:w="20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Ministral 3 8B</w:t>
            </w:r>
          </w:p>
        </w:tc>
        <w:tc>
          <w:tcPr>
            <w:tcW w:type="dxa" w:w="1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Mistral</w:t>
            </w:r>
          </w:p>
        </w:tc>
        <w:tc>
          <w:tcPr>
            <w:tcW w:type="dxa" w:w="33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Late 2025 (exact date not separately published by Mistral)</w:t>
            </w:r>
          </w:p>
        </w:tc>
        <w:tc>
          <w:tcPr>
            <w:tcW w:type="dxa" w:w="27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December 2025</w:t>
            </w:r>
          </w:p>
        </w:tc>
      </w:tr>
      <w:tr>
        <w:trPr>
          <w:cantSplit/>
        </w:trPr>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Granite 4.1 8B</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IBM</w:t>
            </w:r>
          </w:p>
        </w:tc>
        <w:tc>
          <w:tcPr>
            <w:tcW w:type="dxa" w:w="3300"/>
            <w:tcMar>
              <w:top w:type="dxa" w:w="60"/>
              <w:left w:type="dxa" w:w="90"/>
              <w:bottom w:type="dxa" w:w="60"/>
              <w:right w:type="dxa" w:w="90"/>
            </w:tcMar>
            <w:vAlign w:val="center"/>
          </w:tcPr>
          <w:p>
            <w:pPr>
              <w:jc w:val="left"/>
            </w:pPr>
            <w:r>
              <w:rPr>
                <w:b w:val="false"/>
                <w:bCs w:val="false"/>
                <w:color w:val="000000"/>
                <w:sz w:val="18"/>
                <w:szCs w:val="18"/>
              </w:rPr>
              <w:t xml:space="preserve">2025 (exact date not separately published by IBM)</w:t>
            </w:r>
          </w:p>
        </w:tc>
        <w:tc>
          <w:tcPr>
            <w:tcW w:type="dxa" w:w="2750"/>
            <w:tcMar>
              <w:top w:type="dxa" w:w="60"/>
              <w:left w:type="dxa" w:w="90"/>
              <w:bottom w:type="dxa" w:w="60"/>
              <w:right w:type="dxa" w:w="90"/>
            </w:tcMar>
            <w:vAlign w:val="center"/>
          </w:tcPr>
          <w:p>
            <w:pPr>
              <w:jc w:val="left"/>
            </w:pPr>
            <w:r>
              <w:rPr>
                <w:b w:val="false"/>
                <w:bCs w:val="false"/>
                <w:color w:val="000000"/>
                <w:sz w:val="18"/>
                <w:szCs w:val="18"/>
              </w:rPr>
              <w:t xml:space="preserve">April 2026</w:t>
            </w:r>
          </w:p>
        </w:tc>
      </w:tr>
    </w:tbl>
    <w:p>
      <w:pPr>
        <w:spacing w:after="200"/>
      </w:pPr>
    </w:p>
    <w:p>
      <w:pPr>
        <w:pStyle w:val="Heading2"/>
        <w:spacing w:after="120" w:before="260"/>
      </w:pPr>
      <w:r>
        <w:rPr>
          <w:b/>
          <w:bCs/>
        </w:rPr>
        <w:t xml:space="preserve">B. PTU Planning Defaults — Billing Commitment Tiers</w:t>
      </w:r>
    </w:p>
    <w:tbl>
      <w:tblPr>
        <w:tblW w:type="dxa" w:w="9350"/>
        <w:tblBorders>
          <w:top w:val="single" w:color="AAB4C8" w:sz="4"/>
          <w:left w:val="single" w:color="AAB4C8" w:sz="4"/>
          <w:bottom w:val="single" w:color="AAB4C8" w:sz="4"/>
          <w:right w:val="single" w:color="AAB4C8" w:sz="4"/>
          <w:insideH w:val="single" w:color="D7DCE6" w:sz="2"/>
          <w:insideV w:val="single" w:color="D7DCE6" w:sz="2"/>
        </w:tblBorders>
      </w:tblPr>
      <w:tblGrid>
        <w:gridCol w:w="4650"/>
        <w:gridCol w:w="4700"/>
      </w:tblGrid>
      <w:tr>
        <w:trPr>
          <w:cantSplit/>
          <w:tblHeader/>
        </w:trPr>
        <w:tc>
          <w:tcPr>
            <w:tcW w:type="dxa" w:w="4650"/>
            <w:shd w:fill="1E2761" w:color="auto" w:val="clear"/>
            <w:tcMar>
              <w:top w:type="dxa" w:w="60"/>
              <w:left w:type="dxa" w:w="90"/>
              <w:bottom w:type="dxa" w:w="60"/>
              <w:right w:type="dxa" w:w="90"/>
            </w:tcMar>
            <w:vAlign w:val="center"/>
          </w:tcPr>
          <w:p>
            <w:pPr>
              <w:jc w:val="left"/>
            </w:pPr>
            <w:r>
              <w:rPr>
                <w:b/>
                <w:bCs/>
                <w:color w:val="FFFFFF"/>
                <w:sz w:val="18"/>
                <w:szCs w:val="18"/>
              </w:rPr>
              <w:t xml:space="preserve">Billing commitment</w:t>
            </w:r>
          </w:p>
        </w:tc>
        <w:tc>
          <w:tcPr>
            <w:tcW w:type="dxa" w:w="4700"/>
            <w:shd w:fill="1E2761" w:color="auto" w:val="clear"/>
            <w:tcMar>
              <w:top w:type="dxa" w:w="60"/>
              <w:left w:type="dxa" w:w="90"/>
              <w:bottom w:type="dxa" w:w="60"/>
              <w:right w:type="dxa" w:w="90"/>
            </w:tcMar>
            <w:vAlign w:val="center"/>
          </w:tcPr>
          <w:p>
            <w:pPr>
              <w:jc w:val="left"/>
            </w:pPr>
            <w:r>
              <w:rPr>
                <w:b/>
                <w:bCs/>
                <w:color w:val="FFFFFF"/>
                <w:sz w:val="18"/>
                <w:szCs w:val="18"/>
              </w:rPr>
              <w:t xml:space="preserve">$ / PTU / hour (planning default)</w:t>
            </w:r>
          </w:p>
        </w:tc>
      </w:tr>
      <w:tr>
        <w:trPr>
          <w:cantSplit/>
        </w:trPr>
        <w:tc>
          <w:tcPr>
            <w:tcW w:type="dxa" w:w="4650"/>
            <w:tcMar>
              <w:top w:type="dxa" w:w="60"/>
              <w:left w:type="dxa" w:w="90"/>
              <w:bottom w:type="dxa" w:w="60"/>
              <w:right w:type="dxa" w:w="90"/>
            </w:tcMar>
            <w:vAlign w:val="center"/>
          </w:tcPr>
          <w:p>
            <w:pPr>
              <w:jc w:val="left"/>
            </w:pPr>
            <w:r>
              <w:rPr>
                <w:b w:val="false"/>
                <w:bCs w:val="false"/>
                <w:color w:val="000000"/>
                <w:sz w:val="18"/>
                <w:szCs w:val="18"/>
              </w:rPr>
              <w:t xml:space="preserve">Hourly (on-demand)</w:t>
            </w:r>
          </w:p>
        </w:tc>
        <w:tc>
          <w:tcPr>
            <w:tcW w:type="dxa" w:w="4700"/>
            <w:tcMar>
              <w:top w:type="dxa" w:w="60"/>
              <w:left w:type="dxa" w:w="90"/>
              <w:bottom w:type="dxa" w:w="60"/>
              <w:right w:type="dxa" w:w="90"/>
            </w:tcMar>
            <w:vAlign w:val="center"/>
          </w:tcPr>
          <w:p>
            <w:pPr>
              <w:jc w:val="left"/>
            </w:pPr>
            <w:r>
              <w:rPr>
                <w:b w:val="false"/>
                <w:bCs w:val="false"/>
                <w:color w:val="000000"/>
                <w:sz w:val="18"/>
                <w:szCs w:val="18"/>
              </w:rPr>
              <w:t xml:space="preserve">$3.35</w:t>
            </w:r>
          </w:p>
        </w:tc>
      </w:tr>
      <w:tr>
        <w:trPr>
          <w:cantSplit/>
        </w:trPr>
        <w:tc>
          <w:tcPr>
            <w:tcW w:type="dxa" w:w="46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Monthly reservation</w:t>
            </w:r>
          </w:p>
        </w:tc>
        <w:tc>
          <w:tcPr>
            <w:tcW w:type="dxa" w:w="470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$2.02  (≈30–40% discount vs. hourly, reported)</w:t>
            </w:r>
          </w:p>
        </w:tc>
      </w:tr>
      <w:tr>
        <w:trPr>
          <w:cantSplit/>
        </w:trPr>
        <w:tc>
          <w:tcPr>
            <w:tcW w:type="dxa" w:w="4650"/>
            <w:tcMar>
              <w:top w:type="dxa" w:w="60"/>
              <w:left w:type="dxa" w:w="90"/>
              <w:bottom w:type="dxa" w:w="60"/>
              <w:right w:type="dxa" w:w="90"/>
            </w:tcMar>
            <w:vAlign w:val="center"/>
          </w:tcPr>
          <w:p>
            <w:pPr>
              <w:jc w:val="left"/>
            </w:pPr>
            <w:r>
              <w:rPr>
                <w:b w:val="false"/>
                <w:bCs w:val="false"/>
                <w:color w:val="000000"/>
                <w:sz w:val="18"/>
                <w:szCs w:val="18"/>
              </w:rPr>
              <w:t xml:space="preserve">Annual reservation</w:t>
            </w:r>
          </w:p>
        </w:tc>
        <w:tc>
          <w:tcPr>
            <w:tcW w:type="dxa" w:w="4700"/>
            <w:tcMar>
              <w:top w:type="dxa" w:w="60"/>
              <w:left w:type="dxa" w:w="90"/>
              <w:bottom w:type="dxa" w:w="60"/>
              <w:right w:type="dxa" w:w="90"/>
            </w:tcMar>
            <w:vAlign w:val="center"/>
          </w:tcPr>
          <w:p>
            <w:pPr>
              <w:jc w:val="left"/>
            </w:pPr>
            <w:r>
              <w:rPr>
                <w:b w:val="false"/>
                <w:bCs w:val="false"/>
                <w:color w:val="000000"/>
                <w:sz w:val="18"/>
                <w:szCs w:val="18"/>
              </w:rPr>
              <w:t xml:space="preserve">$1.31  (≈60–70% discount vs. hourly, reported)</w:t>
            </w:r>
          </w:p>
        </w:tc>
      </w:tr>
    </w:tbl>
    <w:p>
      <w:pPr>
        <w:spacing w:after="200"/>
      </w:pPr>
    </w:p>
    <w:p>
      <w:pPr>
        <w:pStyle w:val="Heading2"/>
        <w:spacing w:after="120" w:before="260"/>
      </w:pPr>
      <w:r>
        <w:rPr>
          <w:b/>
          <w:bCs/>
        </w:rPr>
        <w:t xml:space="preserve">C. Full Use-Case Category Index</w:t>
      </w:r>
    </w:p>
    <w:p>
      <w:pPr>
        <w:spacing w:after="160" w:line="276"/>
      </w:pPr>
      <w:r>
        <w:t xml:space="preserve">All 37 use cases with their scoring profile (Complexity / Latency / Volume / Context, each 1–5) and key capability flags.</w:t>
      </w:r>
    </w:p>
    <w:tbl>
      <w:tblPr>
        <w:tblW w:type="dxa" w:w="8300"/>
        <w:tblBorders>
          <w:top w:val="single" w:color="AAB4C8" w:sz="4"/>
          <w:left w:val="single" w:color="AAB4C8" w:sz="4"/>
          <w:bottom w:val="single" w:color="AAB4C8" w:sz="4"/>
          <w:right w:val="single" w:color="AAB4C8" w:sz="4"/>
          <w:insideH w:val="single" w:color="D7DCE6" w:sz="2"/>
          <w:insideV w:val="single" w:color="D7DCE6" w:sz="2"/>
        </w:tblBorders>
      </w:tblPr>
      <w:tblGrid>
        <w:gridCol w:w="2450"/>
        <w:gridCol w:w="1550"/>
        <w:gridCol w:w="500"/>
        <w:gridCol w:w="500"/>
        <w:gridCol w:w="500"/>
        <w:gridCol w:w="500"/>
        <w:gridCol w:w="700"/>
        <w:gridCol w:w="900"/>
        <w:gridCol w:w="700"/>
      </w:tblGrid>
      <w:tr>
        <w:trPr>
          <w:cantSplit/>
          <w:tblHeader/>
        </w:trPr>
        <w:tc>
          <w:tcPr>
            <w:tcW w:type="dxa" w:w="2450"/>
            <w:shd w:fill="1E2761" w:color="auto" w:val="clear"/>
            <w:tcMar>
              <w:top w:type="dxa" w:w="60"/>
              <w:left w:type="dxa" w:w="90"/>
              <w:bottom w:type="dxa" w:w="60"/>
              <w:right w:type="dxa" w:w="90"/>
            </w:tcMar>
            <w:vAlign w:val="center"/>
          </w:tcPr>
          <w:p>
            <w:pPr>
              <w:jc w:val="left"/>
            </w:pPr>
            <w:r>
              <w:rPr>
                <w:b/>
                <w:bCs/>
                <w:color w:val="FFFFFF"/>
                <w:sz w:val="18"/>
                <w:szCs w:val="18"/>
              </w:rPr>
              <w:t xml:space="preserve">Use case</w:t>
            </w:r>
          </w:p>
        </w:tc>
        <w:tc>
          <w:tcPr>
            <w:tcW w:type="dxa" w:w="1550"/>
            <w:shd w:fill="1E2761" w:color="auto" w:val="clear"/>
            <w:tcMar>
              <w:top w:type="dxa" w:w="60"/>
              <w:left w:type="dxa" w:w="90"/>
              <w:bottom w:type="dxa" w:w="60"/>
              <w:right w:type="dxa" w:w="90"/>
            </w:tcMar>
            <w:vAlign w:val="center"/>
          </w:tcPr>
          <w:p>
            <w:pPr>
              <w:jc w:val="left"/>
            </w:pPr>
            <w:r>
              <w:rPr>
                <w:b/>
                <w:bCs/>
                <w:color w:val="FFFFFF"/>
                <w:sz w:val="18"/>
                <w:szCs w:val="18"/>
              </w:rPr>
              <w:t xml:space="preserve">Category</w:t>
            </w:r>
          </w:p>
        </w:tc>
        <w:tc>
          <w:tcPr>
            <w:tcW w:type="dxa" w:w="500"/>
            <w:shd w:fill="1E2761" w:color="auto" w:val="clear"/>
            <w:tcMar>
              <w:top w:type="dxa" w:w="60"/>
              <w:left w:type="dxa" w:w="90"/>
              <w:bottom w:type="dxa" w:w="60"/>
              <w:right w:type="dxa" w:w="90"/>
            </w:tcMar>
            <w:vAlign w:val="center"/>
          </w:tcPr>
          <w:p>
            <w:pPr>
              <w:jc w:val="left"/>
            </w:pPr>
            <w:r>
              <w:rPr>
                <w:b/>
                <w:bCs/>
                <w:color w:val="FFFFFF"/>
                <w:sz w:val="18"/>
                <w:szCs w:val="18"/>
              </w:rPr>
              <w:t xml:space="preserve">Cx</w:t>
            </w:r>
          </w:p>
        </w:tc>
        <w:tc>
          <w:tcPr>
            <w:tcW w:type="dxa" w:w="500"/>
            <w:shd w:fill="1E2761" w:color="auto" w:val="clear"/>
            <w:tcMar>
              <w:top w:type="dxa" w:w="60"/>
              <w:left w:type="dxa" w:w="90"/>
              <w:bottom w:type="dxa" w:w="60"/>
              <w:right w:type="dxa" w:w="90"/>
            </w:tcMar>
            <w:vAlign w:val="center"/>
          </w:tcPr>
          <w:p>
            <w:pPr>
              <w:jc w:val="left"/>
            </w:pPr>
            <w:r>
              <w:rPr>
                <w:b/>
                <w:bCs/>
                <w:color w:val="FFFFFF"/>
                <w:sz w:val="18"/>
                <w:szCs w:val="18"/>
              </w:rPr>
              <w:t xml:space="preserve">Lt</w:t>
            </w:r>
          </w:p>
        </w:tc>
        <w:tc>
          <w:tcPr>
            <w:tcW w:type="dxa" w:w="500"/>
            <w:shd w:fill="1E2761" w:color="auto" w:val="clear"/>
            <w:tcMar>
              <w:top w:type="dxa" w:w="60"/>
              <w:left w:type="dxa" w:w="90"/>
              <w:bottom w:type="dxa" w:w="60"/>
              <w:right w:type="dxa" w:w="90"/>
            </w:tcMar>
            <w:vAlign w:val="center"/>
          </w:tcPr>
          <w:p>
            <w:pPr>
              <w:jc w:val="left"/>
            </w:pPr>
            <w:r>
              <w:rPr>
                <w:b/>
                <w:bCs/>
                <w:color w:val="FFFFFF"/>
                <w:sz w:val="18"/>
                <w:szCs w:val="18"/>
              </w:rPr>
              <w:t xml:space="preserve">Vol</w:t>
            </w:r>
          </w:p>
        </w:tc>
        <w:tc>
          <w:tcPr>
            <w:tcW w:type="dxa" w:w="500"/>
            <w:shd w:fill="1E2761" w:color="auto" w:val="clear"/>
            <w:tcMar>
              <w:top w:type="dxa" w:w="60"/>
              <w:left w:type="dxa" w:w="90"/>
              <w:bottom w:type="dxa" w:w="60"/>
              <w:right w:type="dxa" w:w="90"/>
            </w:tcMar>
            <w:vAlign w:val="center"/>
          </w:tcPr>
          <w:p>
            <w:pPr>
              <w:jc w:val="left"/>
            </w:pPr>
            <w:r>
              <w:rPr>
                <w:b/>
                <w:bCs/>
                <w:color w:val="FFFFFF"/>
                <w:sz w:val="18"/>
                <w:szCs w:val="18"/>
              </w:rPr>
              <w:t xml:space="preserve">Ctx</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Reg.</w:t>
            </w:r>
          </w:p>
        </w:tc>
        <w:tc>
          <w:tcPr>
            <w:tcW w:type="dxa" w:w="900"/>
            <w:shd w:fill="1E2761" w:color="auto" w:val="clear"/>
            <w:tcMar>
              <w:top w:type="dxa" w:w="60"/>
              <w:left w:type="dxa" w:w="90"/>
              <w:bottom w:type="dxa" w:w="60"/>
              <w:right w:type="dxa" w:w="90"/>
            </w:tcMar>
            <w:vAlign w:val="center"/>
          </w:tcPr>
          <w:p>
            <w:pPr>
              <w:jc w:val="left"/>
            </w:pPr>
            <w:r>
              <w:rPr>
                <w:b/>
                <w:bCs/>
                <w:color w:val="FFFFFF"/>
                <w:sz w:val="18"/>
                <w:szCs w:val="18"/>
              </w:rPr>
              <w:t xml:space="preserve">Modal.</w:t>
            </w:r>
          </w:p>
        </w:tc>
        <w:tc>
          <w:tcPr>
            <w:tcW w:type="dxa" w:w="700"/>
            <w:shd w:fill="1E2761" w:color="auto" w:val="clear"/>
            <w:tcMar>
              <w:top w:type="dxa" w:w="60"/>
              <w:left w:type="dxa" w:w="90"/>
              <w:bottom w:type="dxa" w:w="60"/>
              <w:right w:type="dxa" w:w="90"/>
            </w:tcMar>
            <w:vAlign w:val="center"/>
          </w:tcPr>
          <w:p>
            <w:pPr>
              <w:jc w:val="left"/>
            </w:pPr>
            <w:r>
              <w:rPr>
                <w:b/>
                <w:bCs/>
                <w:color w:val="FFFFFF"/>
                <w:sz w:val="18"/>
                <w:szCs w:val="18"/>
              </w:rPr>
              <w:t xml:space="preserve">Open</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FNOL triage</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Claims</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document review</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Commercial submission triage</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Fraud ring detection</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SIU</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Claims document brief</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Claims</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Policy comparison (broker)</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Distribution</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Renewal data reconstruction</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 ops</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Producer / agent copilot</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Distribution</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Customer self-service chat</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Service</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Regulatory filing review</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Compliance</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Reinsurance treaty analysis</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Reinsurance</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guideline Q&amp;A</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Accelerated life underwriting</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Life &amp; Health</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Protective value / mortality analysis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Life &amp; Health</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Subrogation &amp; litigation correspondence</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Claims / Legal</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Property risk modeling (imagery)</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Portfolio appetite summarization</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 leadership</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ACORD / invoice OCR</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Document processing</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Policy document digitization</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Document processing</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 packet synthesis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Telematics-based dynamic pricing</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Pricing</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Actuarial experience studies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Actuarial</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Propensity to buy / renew / lapse</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Distribution / Retention</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Renewal letter &amp; coverage-gap generation</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Service / Retention</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Parametric claims triggers</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Claims / Product</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Algorithmic bias / discrimination testing</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Compliance / Actuarial</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AI/cyber liability underwriting</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 (Specialty)</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Specialty risk engineering reports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Underwriting (Specialty)</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Predictive win-rate quoting</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 / Distribution</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Cross-sell / next-best-product</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Distribution (Agency)</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Agentic quote-and-bind work cells</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Underwriting (Simple risks)</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5</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Synthetic media detection in claims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SIU</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Call center voice transcription &amp; QA</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Service / Compliance</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3</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Video-based property/vehicle inspection</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Claims / Underwriting</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Telehealth / virtual claims consultation analysis</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Claims / Life &amp; Health</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4</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Marketing image generation for campaigns</w:t>
            </w:r>
          </w:p>
        </w:tc>
        <w:tc>
          <w:tcPr>
            <w:tcW w:type="dxa" w:w="1550"/>
            <w:shd w:fill="F3F6FD" w:color="auto" w:val="clear"/>
            <w:tcMar>
              <w:top w:type="dxa" w:w="60"/>
              <w:left w:type="dxa" w:w="90"/>
              <w:bottom w:type="dxa" w:w="60"/>
              <w:right w:type="dxa" w:w="90"/>
            </w:tcMar>
            <w:vAlign w:val="center"/>
          </w:tcPr>
          <w:p>
            <w:pPr>
              <w:jc w:val="left"/>
            </w:pPr>
            <w:r>
              <w:rPr>
                <w:b w:val="false"/>
                <w:bCs w:val="false"/>
                <w:color w:val="000000"/>
                <w:sz w:val="18"/>
                <w:szCs w:val="18"/>
              </w:rPr>
              <w:t xml:space="preserve">Marketing / Distribution</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2</w:t>
            </w:r>
          </w:p>
        </w:tc>
        <w:tc>
          <w:tcPr>
            <w:tcW w:type="dxa" w:w="5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shd w:fill="F3F6FD" w:color="auto" w:val="clear"/>
            <w:tcMar>
              <w:top w:type="dxa" w:w="60"/>
              <w:left w:type="dxa" w:w="90"/>
              <w:bottom w:type="dxa" w:w="60"/>
              <w:right w:type="dxa" w:w="90"/>
            </w:tcMar>
            <w:vAlign w:val="center"/>
          </w:tcPr>
          <w:p>
            <w:pPr>
              <w:jc w:val="center"/>
            </w:pPr>
            <w:r>
              <w:rPr>
                <w:b w:val="false"/>
                <w:bCs w:val="false"/>
                <w:color w:val="000000"/>
                <w:sz w:val="18"/>
                <w:szCs w:val="18"/>
              </w:rPr>
              <w:t xml:space="preserve">—</w:t>
            </w:r>
          </w:p>
        </w:tc>
      </w:tr>
      <w:tr>
        <w:trPr>
          <w:cantSplit/>
        </w:trPr>
        <w:tc>
          <w:tcPr>
            <w:tcW w:type="dxa" w:w="2450"/>
            <w:tcMar>
              <w:top w:type="dxa" w:w="60"/>
              <w:left w:type="dxa" w:w="90"/>
              <w:bottom w:type="dxa" w:w="60"/>
              <w:right w:type="dxa" w:w="90"/>
            </w:tcMar>
            <w:vAlign w:val="center"/>
          </w:tcPr>
          <w:p>
            <w:pPr>
              <w:jc w:val="left"/>
            </w:pPr>
            <w:r>
              <w:rPr>
                <w:b w:val="false"/>
                <w:bCs w:val="false"/>
                <w:color w:val="000000"/>
                <w:sz w:val="18"/>
                <w:szCs w:val="18"/>
              </w:rPr>
              <w:t xml:space="preserve">Branch/claims-center signage and document mockups</w:t>
            </w:r>
          </w:p>
        </w:tc>
        <w:tc>
          <w:tcPr>
            <w:tcW w:type="dxa" w:w="1550"/>
            <w:tcMar>
              <w:top w:type="dxa" w:w="60"/>
              <w:left w:type="dxa" w:w="90"/>
              <w:bottom w:type="dxa" w:w="60"/>
              <w:right w:type="dxa" w:w="90"/>
            </w:tcMar>
            <w:vAlign w:val="center"/>
          </w:tcPr>
          <w:p>
            <w:pPr>
              <w:jc w:val="left"/>
            </w:pPr>
            <w:r>
              <w:rPr>
                <w:b w:val="false"/>
                <w:bCs w:val="false"/>
                <w:color w:val="000000"/>
                <w:sz w:val="18"/>
                <w:szCs w:val="18"/>
              </w:rPr>
              <w:t xml:space="preserve">Operations / Marketing</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500"/>
            <w:tcMar>
              <w:top w:type="dxa" w:w="60"/>
              <w:left w:type="dxa" w:w="90"/>
              <w:bottom w:type="dxa" w:w="60"/>
              <w:right w:type="dxa" w:w="90"/>
            </w:tcMar>
            <w:vAlign w:val="center"/>
          </w:tcPr>
          <w:p>
            <w:pPr>
              <w:jc w:val="center"/>
            </w:pPr>
            <w:r>
              <w:rPr>
                <w:b w:val="false"/>
                <w:bCs w:val="false"/>
                <w:color w:val="000000"/>
                <w:sz w:val="18"/>
                <w:szCs w:val="18"/>
              </w:rPr>
              <w:t xml:space="preserve">1</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c>
          <w:tcPr>
            <w:tcW w:type="dxa" w:w="900"/>
            <w:tcMar>
              <w:top w:type="dxa" w:w="60"/>
              <w:left w:type="dxa" w:w="90"/>
              <w:bottom w:type="dxa" w:w="60"/>
              <w:right w:type="dxa" w:w="90"/>
            </w:tcMar>
            <w:vAlign w:val="center"/>
          </w:tcPr>
          <w:p>
            <w:pPr>
              <w:jc w:val="center"/>
            </w:pPr>
            <w:r>
              <w:rPr>
                <w:b w:val="false"/>
                <w:bCs w:val="false"/>
                <w:color w:val="000000"/>
                <w:sz w:val="18"/>
                <w:szCs w:val="18"/>
              </w:rPr>
              <w:t xml:space="preserve">Yes</w:t>
            </w:r>
          </w:p>
        </w:tc>
        <w:tc>
          <w:tcPr>
            <w:tcW w:type="dxa" w:w="700"/>
            <w:tcMar>
              <w:top w:type="dxa" w:w="60"/>
              <w:left w:type="dxa" w:w="90"/>
              <w:bottom w:type="dxa" w:w="60"/>
              <w:right w:type="dxa" w:w="90"/>
            </w:tcMar>
            <w:vAlign w:val="center"/>
          </w:tcPr>
          <w:p>
            <w:pPr>
              <w:jc w:val="center"/>
            </w:pPr>
            <w:r>
              <w:rPr>
                <w:b w:val="false"/>
                <w:bCs w:val="false"/>
                <w:color w:val="000000"/>
                <w:sz w:val="18"/>
                <w:szCs w:val="18"/>
              </w:rPr>
              <w:t xml:space="preserve">—</w:t>
            </w:r>
          </w:p>
        </w:tc>
      </w:tr>
    </w:tbl>
    <w:p>
      <w:pPr>
        <w:spacing w:after="260" w:before="80"/>
        <w:jc w:val="center"/>
      </w:pPr>
      <w:r>
        <w:rPr>
          <w:i/>
          <w:iCs/>
          <w:color w:val="5B6472"/>
          <w:sz w:val="18"/>
          <w:szCs w:val="18"/>
        </w:rPr>
        <w:t xml:space="preserve">Cx = Complexity, Lt = Latency, Vol = Volume, Ctx = Context, Reg. = Regulated, Modal. = requires vision/audio/video/image-gen, Open = requires open weights.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6" w:sz="4" w:space="4"/>
      </w:pBdr>
      <w:tabs>
        <w:tab w:val="right" w:pos="9026"/>
      </w:tabs>
    </w:pPr>
    <w:r>
      <w:rPr>
        <w:color w:val="5B6472"/>
        <w:sz w:val="16"/>
        <w:szCs w:val="16"/>
      </w:rPr>
      <w:t xml:space="preserve">Model Advisor — Detailed Design Document</w:t>
    </w:r>
    <w:r>
      <w:rPr>
        <w:color w:val="5B6472"/>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ADCFC" w:sz="6" w:space="6"/>
      </w:pBdr>
      <w:spacing w:after="160" w:before="320"/>
    </w:pPr>
    <w:rPr>
      <w:rFonts w:ascii="Cambria" w:cs="Cambria" w:eastAsia="Cambria" w:hAnsi="Cambria"/>
      <w:b/>
      <w:bCs/>
      <w:color w:val="1E2761"/>
      <w:sz w:val="30"/>
      <w:szCs w:val="30"/>
    </w:rPr>
  </w:style>
  <w:style w:type="paragraph" w:styleId="Heading2">
    <w:name w:val="Heading 2"/>
    <w:basedOn w:val="Normal"/>
    <w:next w:val="Normal"/>
    <w:qFormat/>
    <w:pPr>
      <w:spacing w:after="120" w:before="260"/>
    </w:pPr>
    <w:rPr>
      <w:rFonts w:ascii="Cambria" w:cs="Cambria" w:eastAsia="Cambria" w:hAnsi="Cambria"/>
      <w:b/>
      <w:bCs/>
      <w:color w:val="12193F"/>
      <w:sz w:val="25"/>
      <w:szCs w:val="25"/>
    </w:rPr>
  </w:style>
  <w:style w:type="paragraph" w:styleId="Heading3">
    <w:name w:val="Heading 3"/>
    <w:basedOn w:val="Normal"/>
    <w:next w:val="Normal"/>
    <w:qFormat/>
    <w:pPr>
      <w:spacing w:after="90" w:before="180"/>
    </w:pPr>
    <w:rPr>
      <w:b/>
      <w:bCs/>
      <w:i/>
      <w:iCs/>
      <w:color w:val="1219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a415be3b6917dff5ba02524927f71c80940268.png"/><Relationship Id="rId10" Type="http://schemas.openxmlformats.org/officeDocument/2006/relationships/image" Target="media/52fcf40d088f86eb5aab69c9aca4b50e8ba49bbd.png"/><Relationship Id="rId11" Type="http://schemas.openxmlformats.org/officeDocument/2006/relationships/image" Target="media/d1b46d968e964cc0adc2b3bbcdd709de08359849.png"/><Relationship Id="rId12" Type="http://schemas.openxmlformats.org/officeDocument/2006/relationships/image" Target="media/b87948d78f2fd4e897bbda6dd399759e5e91f1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2026-07-12T05:10:46.467Z</dcterms:created>
  <dcterms:modified xsi:type="dcterms:W3CDTF">2026-07-12T05:10:46.468Z</dcterms:modified>
</cp:coreProperties>
</file>

<file path=docProps/custom.xml><?xml version="1.0" encoding="utf-8"?>
<Properties xmlns="http://schemas.openxmlformats.org/officeDocument/2006/custom-properties" xmlns:vt="http://schemas.openxmlformats.org/officeDocument/2006/docPropsVTypes"/>
</file>