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ORIZIA BANQUE — document fictif (corpus de démonstration)</w:t>
            </w:r>
          </w:p>
        </w:tc>
      </w:tr>
      <w:tr>
        <w:tc>
          <w:tcPr>
            <w:tcW w:type="dxa" w:w="8640"/>
          </w:tcPr>
          <w:p>
            <w:r>
              <w:t>Référence : PRJ-CREDIFAST-CH</w:t>
            </w:r>
          </w:p>
        </w:tc>
      </w:tr>
      <w:tr>
        <w:tc>
          <w:tcPr>
            <w:tcW w:type="dxa" w:w="8640"/>
          </w:tcPr>
          <w:p>
            <w:r>
              <w:t>Version : 1.0</w:t>
            </w:r>
          </w:p>
        </w:tc>
      </w:tr>
      <w:tr>
        <w:tc>
          <w:tcPr>
            <w:tcW w:type="dxa" w:w="8640"/>
          </w:tcPr>
          <w:p>
            <w:r>
              <w:t>Date : 20/11/2023</w:t>
            </w:r>
          </w:p>
        </w:tc>
      </w:tr>
      <w:tr>
        <w:tc>
          <w:tcPr>
            <w:tcW w:type="dxa" w:w="8640"/>
          </w:tcPr>
          <w:p>
            <w:r>
              <w:t>Direction propriétaire : Direction Organisation et Transformation</w:t>
            </w:r>
          </w:p>
        </w:tc>
      </w:tr>
      <w:tr>
        <w:tc>
          <w:tcPr>
            <w:tcW w:type="dxa" w:w="8640"/>
          </w:tcPr>
          <w:p>
            <w:r>
              <w:t>Rédacteur : Amine Kettani</w:t>
            </w:r>
          </w:p>
        </w:tc>
      </w:tr>
      <w:tr>
        <w:tc>
          <w:tcPr>
            <w:tcW w:type="dxa" w:w="8640"/>
          </w:tcPr>
          <w:p>
            <w:r>
              <w:t>Classification : Interne</w:t>
            </w:r>
          </w:p>
        </w:tc>
      </w:tr>
      <w:tr>
        <w:tc>
          <w:tcPr>
            <w:tcW w:type="dxa" w:w="8640"/>
          </w:tcPr>
          <w:p>
            <w:r>
              <w:t>Diffusion : Tous collaborateurs</w:t>
            </w:r>
          </w:p>
        </w:tc>
      </w:tr>
    </w:tbl>
    <w:p/>
    <w:p>
      <w:pPr>
        <w:pStyle w:val="Heading1"/>
      </w:pPr>
      <w:r>
        <w:t>Charte du projet CrediFast</w:t>
      </w:r>
    </w:p>
    <w:p>
      <w:pPr>
        <w:pStyle w:val="Heading2"/>
      </w:pPr>
      <w:r>
        <w:t>1. Contexte</w:t>
      </w:r>
    </w:p>
    <w:p>
      <w:r>
        <w:t>Le délai moyen de réponse à une demande de crédit à la consommation est de 9 jours ouvrés. Les clients attendent une réponse de principe immédiate. Le processus actuel comporte de nombreuses ressaisies entre l'agence et le back-office.</w:t>
      </w:r>
    </w:p>
    <w:p>
      <w:pPr>
        <w:pStyle w:val="Heading2"/>
      </w:pPr>
      <w:r>
        <w:t>2. Objectifs</w:t>
      </w:r>
    </w:p>
    <w:p>
      <w:pPr>
        <w:pStyle w:val="ListBullet"/>
      </w:pPr>
      <w:r>
        <w:t>Ramener le délai de réponse de principe à moins de 24 heures.</w:t>
      </w:r>
    </w:p>
    <w:p>
      <w:pPr>
        <w:pStyle w:val="ListBullet"/>
      </w:pPr>
      <w:r>
        <w:t>Mettre en place un nouveau moteur de scoring, CrediScore, intégré au parcours.</w:t>
      </w:r>
    </w:p>
    <w:p>
      <w:pPr>
        <w:pStyle w:val="ListBullet"/>
      </w:pPr>
      <w:r>
        <w:t>Réviser la procédure d'octroi de crédit PRC-CRD-002 en conséquence.</w:t>
      </w:r>
    </w:p>
    <w:p>
      <w:pPr>
        <w:pStyle w:val="Heading2"/>
      </w:pPr>
      <w:r>
        <w:t>3. Règles métier de référence</w:t>
      </w:r>
    </w:p>
    <w:p>
      <w:r>
        <w:t>À la date de la présente charte, le taux d'endettement est plafonné à 33 % des revenus nets. Le projet devra étudier, avec la Direction des Risques, l'opportunité d'un relèvement de ce seuil pour certains profils.</w:t>
      </w:r>
    </w:p>
    <w:p>
      <w:pPr>
        <w:pStyle w:val="Heading2"/>
      </w:pPr>
      <w:r>
        <w:t>4. Gouvernance</w:t>
      </w:r>
    </w:p>
    <w:p>
      <w:pPr>
        <w:pStyle w:val="ListBullet"/>
      </w:pPr>
      <w:r>
        <w:t>Sponsor : M. Rachid Bennani, Directeur des Opérations.</w:t>
      </w:r>
    </w:p>
    <w:p>
      <w:pPr>
        <w:pStyle w:val="ListBullet"/>
      </w:pPr>
      <w:r>
        <w:t>Chef de projet : M. Amine Kettani, consultant organisation senior à la DOT, spécialiste de la modélisation des processus.</w:t>
      </w:r>
    </w:p>
    <w:p>
      <w:pPr>
        <w:pStyle w:val="ListBullet"/>
      </w:pPr>
      <w:r>
        <w:t>Équipe projet : M. Mehdi Alaoui, expert en risque de crédit ; Mme Hajar Ouazzani, back-office crédits ; M. Hamza Squalli, data scientist chargé du modèle de scoring.</w:t>
      </w:r>
    </w:p>
    <w:p>
      <w:pPr>
        <w:pStyle w:val="Heading2"/>
      </w:pPr>
      <w:r>
        <w:t>5. Dépendances</w:t>
      </w:r>
    </w:p>
    <w:p>
      <w:r>
        <w:t>Le projet CrediFast dépend du programme Horizon Data : les variables comportementales du futur moteur de scoring proviendront de la plateforme de données.</w:t>
      </w:r>
    </w:p>
    <w:p>
      <w:pPr>
        <w:pStyle w:val="Heading2"/>
      </w:pPr>
      <w:r>
        <w:t>6. Calendrier</w:t>
      </w:r>
    </w:p>
    <w:p>
      <w:r>
        <w:t>Lancement en janvier 2024, mise en production prévue au premier semestre 2025.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Charte du projet CrediFast — Digitalisation de l'octroi de crédit</dc:title>
  <dc:subject>PRJ-CREDIFAST-CH</dc:subject>
  <dc:creator>Amine Kettani</dc:creator>
  <cp:keywords>Interne</cp:keywords>
  <dc:description>generated by python-docx</dc:description>
  <cp:lastModifiedBy>Amine Kettani</cp:lastModifiedBy>
  <cp:revision>1</cp:revision>
  <dcterms:created xsi:type="dcterms:W3CDTF">2023-11-20T09:00:00Z</dcterms:created>
  <dcterms:modified xsi:type="dcterms:W3CDTF">2023-11-20T09:00:00Z</dcterms:modified>
  <cp:category/>
</cp:coreProperties>
</file>