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PRC-CRD-002</w:t>
            </w:r>
          </w:p>
        </w:tc>
      </w:tr>
      <w:tr>
        <w:tc>
          <w:tcPr>
            <w:tcW w:type="dxa" w:w="8640"/>
          </w:tcPr>
          <w:p>
            <w:r>
              <w:t>Version : 3.0</w:t>
            </w:r>
          </w:p>
        </w:tc>
      </w:tr>
      <w:tr>
        <w:tc>
          <w:tcPr>
            <w:tcW w:type="dxa" w:w="8640"/>
          </w:tcPr>
          <w:p>
            <w:r>
              <w:t>Date : 02/06/2025</w:t>
            </w:r>
          </w:p>
        </w:tc>
      </w:tr>
      <w:tr>
        <w:tc>
          <w:tcPr>
            <w:tcW w:type="dxa" w:w="8640"/>
          </w:tcPr>
          <w:p>
            <w:r>
              <w:t>Direction propriétaire : Service Back-Office Crédits</w:t>
            </w:r>
          </w:p>
        </w:tc>
      </w:tr>
      <w:tr>
        <w:tc>
          <w:tcPr>
            <w:tcW w:type="dxa" w:w="8640"/>
          </w:tcPr>
          <w:p>
            <w:r>
              <w:t>Rédacteur : Hajar Ouazzani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Procédure d'octroi de crédit aux particuliers</w:t>
      </w:r>
    </w:p>
    <w:p>
      <w:pPr>
        <w:pStyle w:val="Heading2"/>
      </w:pPr>
      <w:r>
        <w:t>1. Objet</w:t>
      </w:r>
    </w:p>
    <w:p>
      <w:r>
        <w:t>La présente procédure décrit le circuit d'instruction, de décision et de mise en place des crédits à la consommation et des crédits immobiliers accordés aux particuliers. Elle est placée sous la responsabilité du Service Back-Office Crédits, rattaché à la Direction des Opérations. Mme Hajar Ouazzani, responsable du Service Back-Office Crédits, en est la propriétaire.</w:t>
      </w:r>
    </w:p>
    <w:p>
      <w:r>
        <w:t>La version 3.0 intègre les évolutions du parcours digitalisé mis en œuvre par le projet CrediFast.</w:t>
      </w:r>
    </w:p>
    <w:p>
      <w:pPr>
        <w:pStyle w:val="Heading2"/>
      </w:pPr>
      <w:r>
        <w:t>2. Prérequis</w:t>
      </w:r>
    </w:p>
    <w:p>
      <w:r>
        <w:t>Aucune demande de crédit ne peut être instruite si le dossier de connaissance client n'est pas complet et à jour, conformément à la procédure PRC-KYC-001.</w:t>
      </w:r>
    </w:p>
    <w:p>
      <w:pPr>
        <w:pStyle w:val="Heading2"/>
      </w:pPr>
      <w:r>
        <w:t>3. Instruction</w:t>
      </w:r>
    </w:p>
    <w:p>
      <w:r>
        <w:t>Le conseiller saisit la demande dans CoreNova. Le dossier est ensuite transmis au moteur CrediScore, qui calcule un score de crédit à partir des revenus, des charges et de l'historique bancaire du client. Les pièces justificatives (bulletins de salaire, avis d'imposition) sont archivées dans DocuFlow.</w:t>
      </w:r>
    </w:p>
    <w:p>
      <w:pPr>
        <w:pStyle w:val="Heading2"/>
      </w:pPr>
      <w:r>
        <w:t>4. Règles de décision</w:t>
      </w:r>
    </w:p>
    <w:p>
      <w:pPr>
        <w:pStyle w:val="ListBullet"/>
      </w:pPr>
      <w:r>
        <w:t>Le taux d'endettement du client, après octroi, ne doit pas dépasser 40 % de ses revenus nets.</w:t>
      </w:r>
    </w:p>
    <w:p>
      <w:pPr>
        <w:pStyle w:val="ListBullet"/>
      </w:pPr>
      <w:r>
        <w:t>Un score de crédit inférieur à 450 entraîne un refus automatique, sauf dérogation.</w:t>
      </w:r>
    </w:p>
    <w:p>
      <w:pPr>
        <w:pStyle w:val="ListBullet"/>
      </w:pPr>
      <w:r>
        <w:t>Les dérogations sont examinées par le Pôle Risque de Crédit, rattaché à la Direction des Risques. M. Mehdi Alaoui, analyste senior au sein du Pôle Risque de Crédit, instruit les dossiers dérogatoires.</w:t>
      </w:r>
    </w:p>
    <w:p>
      <w:pPr>
        <w:pStyle w:val="Heading2"/>
      </w:pPr>
      <w:r>
        <w:t>5. Délégations de pouvoir</w:t>
      </w:r>
    </w:p>
    <w:p>
      <w:r>
        <w:t>Les montants accordés respectent la grille de délégation de pouvoir en vigueur :</w:t>
      </w:r>
    </w:p>
    <w:p>
      <w:pPr>
        <w:pStyle w:val="ListBullet"/>
      </w:pPr>
      <w:r>
        <w:t>jusqu'à 200 000 MAD : directeur d'agence ;</w:t>
      </w:r>
    </w:p>
    <w:p>
      <w:pPr>
        <w:pStyle w:val="ListBullet"/>
      </w:pPr>
      <w:r>
        <w:t>de 200 000 à 1 000 000 MAD : comité de crédit régional ;</w:t>
      </w:r>
    </w:p>
    <w:p>
      <w:pPr>
        <w:pStyle w:val="ListBullet"/>
      </w:pPr>
      <w:r>
        <w:t>au-delà : comité de crédit central présidé par le Directeur des Opérations, M. Rachid Bennani.</w:t>
      </w:r>
    </w:p>
    <w:p>
      <w:pPr>
        <w:pStyle w:val="Heading2"/>
      </w:pPr>
      <w:r>
        <w:t>6. Mise en place</w:t>
      </w:r>
    </w:p>
    <w:p>
      <w:r>
        <w:t>Après décision favorable, le Service Back-Office Crédits vérifie la conformité du dossier, édite le contrat et procède au décaissement dans CoreNova.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d'octroi de crédit aux particuliers</dc:title>
  <dc:subject>PRC-CRD-002</dc:subject>
  <dc:creator>Hajar Ouazzani</dc:creator>
  <cp:keywords>Interne</cp:keywords>
  <dc:description>generated by python-docx</dc:description>
  <cp:lastModifiedBy>Hajar Ouazzani</cp:lastModifiedBy>
  <cp:revision>1</cp:revision>
  <dcterms:created xsi:type="dcterms:W3CDTF">2025-06-02T09:00:00Z</dcterms:created>
  <dcterms:modified xsi:type="dcterms:W3CDTF">2025-06-02T09:00:00Z</dcterms:modified>
  <cp:category/>
</cp:coreProperties>
</file>