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ORIZIA BANQUE — document fictif (corpus de démonstration)</w:t>
            </w:r>
          </w:p>
        </w:tc>
      </w:tr>
      <w:tr>
        <w:tc>
          <w:tcPr>
            <w:tcW w:type="dxa" w:w="8640"/>
          </w:tcPr>
          <w:p>
            <w:r>
              <w:t>Référence : PRC-DOC-008</w:t>
            </w:r>
          </w:p>
        </w:tc>
      </w:tr>
      <w:tr>
        <w:tc>
          <w:tcPr>
            <w:tcW w:type="dxa" w:w="8640"/>
          </w:tcPr>
          <w:p>
            <w:r>
              <w:t>Version : 1.0</w:t>
            </w:r>
          </w:p>
        </w:tc>
      </w:tr>
      <w:tr>
        <w:tc>
          <w:tcPr>
            <w:tcW w:type="dxa" w:w="8640"/>
          </w:tcPr>
          <w:p>
            <w:r>
              <w:t>Date : 30/01/2024</w:t>
            </w:r>
          </w:p>
        </w:tc>
      </w:tr>
      <w:tr>
        <w:tc>
          <w:tcPr>
            <w:tcW w:type="dxa" w:w="8640"/>
          </w:tcPr>
          <w:p>
            <w:r>
              <w:t>Direction propriétaire : Direction Organisation et Transformation</w:t>
            </w:r>
          </w:p>
        </w:tc>
      </w:tr>
      <w:tr>
        <w:tc>
          <w:tcPr>
            <w:tcW w:type="dxa" w:w="8640"/>
          </w:tcPr>
          <w:p>
            <w:r>
              <w:t>Rédacteur : Zineb Filali</w:t>
            </w:r>
          </w:p>
        </w:tc>
      </w:tr>
      <w:tr>
        <w:tc>
          <w:tcPr>
            <w:tcW w:type="dxa" w:w="8640"/>
          </w:tcPr>
          <w:p>
            <w:r>
              <w:t>Classification : Interne</w:t>
            </w:r>
          </w:p>
        </w:tc>
      </w:tr>
      <w:tr>
        <w:tc>
          <w:tcPr>
            <w:tcW w:type="dxa" w:w="8640"/>
          </w:tcPr>
          <w:p>
            <w:r>
              <w:t>Diffusion : Tous collaborateurs</w:t>
            </w:r>
          </w:p>
        </w:tc>
      </w:tr>
    </w:tbl>
    <w:p/>
    <w:p>
      <w:pPr>
        <w:pStyle w:val="Heading1"/>
      </w:pPr>
      <w:r>
        <w:t>Procédure de gestion documentaire</w:t>
      </w:r>
    </w:p>
    <w:p>
      <w:pPr>
        <w:pStyle w:val="Heading2"/>
      </w:pPr>
      <w:r>
        <w:t>1. Objet</w:t>
      </w:r>
    </w:p>
    <w:p>
      <w:r>
        <w:t>La présente procédure définit le cycle de vie des documents normatifs de la banque : procédures, modes opératoires, notes de service et politiques. Elle est portée par la Direction Organisation et Transformation (DOT). Mme Zineb Filali, consultante organisation à la DOT et référente en gouvernance documentaire, en est la propriétaire.</w:t>
      </w:r>
    </w:p>
    <w:p>
      <w:pPr>
        <w:pStyle w:val="Heading2"/>
      </w:pPr>
      <w:r>
        <w:t>2. Référentiel documentaire</w:t>
      </w:r>
    </w:p>
    <w:p>
      <w:r>
        <w:t>Tous les documents normatifs sont publiés dans la GED DocuFlow. Mme Zineb Filali est également l'administratrice fonctionnelle de DocuFlow : elle gère l'arborescence, les profils de publication et les règles d'archivage.</w:t>
      </w:r>
    </w:p>
    <w:p>
      <w:pPr>
        <w:pStyle w:val="Heading2"/>
      </w:pPr>
      <w:r>
        <w:t>3. Cycle de validation</w:t>
      </w:r>
    </w:p>
    <w:p>
      <w:r>
        <w:t>Chaque document suit le cycle de validation suivant :</w:t>
      </w:r>
    </w:p>
    <w:p>
      <w:pPr>
        <w:pStyle w:val="ListNumber"/>
      </w:pPr>
      <w:r>
        <w:t>rédaction par le propriétaire métier, avec l'appui d'un consultant de la DOT ;</w:t>
      </w:r>
    </w:p>
    <w:p>
      <w:pPr>
        <w:pStyle w:val="ListNumber"/>
      </w:pPr>
      <w:r>
        <w:t>relecture croisée par les directions impactées ;</w:t>
      </w:r>
    </w:p>
    <w:p>
      <w:pPr>
        <w:pStyle w:val="ListNumber"/>
      </w:pPr>
      <w:r>
        <w:t>avis de conformité de la Direction Juridique lorsque le document a une portée réglementaire ;</w:t>
      </w:r>
    </w:p>
    <w:p>
      <w:pPr>
        <w:pStyle w:val="ListNumber"/>
      </w:pPr>
      <w:r>
        <w:t>validation par le directeur propriétaire ;</w:t>
      </w:r>
    </w:p>
    <w:p>
      <w:pPr>
        <w:pStyle w:val="ListNumber"/>
      </w:pPr>
      <w:r>
        <w:t>publication dans DocuFlow et diffusion.</w:t>
      </w:r>
    </w:p>
    <w:p>
      <w:pPr>
        <w:pStyle w:val="Heading2"/>
      </w:pPr>
      <w:r>
        <w:t>4. Versionnement</w:t>
      </w:r>
    </w:p>
    <w:p>
      <w:r>
        <w:t>Toute modification substantielle donne lieu à une nouvelle version majeure. La version précédente est archivée et reste consultable par l'Audit Interne.</w:t>
      </w:r>
    </w:p>
    <w:p>
      <w:pPr>
        <w:pStyle w:val="Heading2"/>
      </w:pPr>
      <w:r>
        <w:t>5. Revue</w:t>
      </w:r>
    </w:p>
    <w:p>
      <w:r>
        <w:t>Chaque procédure fait l'objet d'une revue au minimum tous les deux 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 gestion documentaire</dc:title>
  <dc:subject>PRC-DOC-008</dc:subject>
  <dc:creator>Zineb Filali</dc:creator>
  <cp:keywords>Interne</cp:keywords>
  <dc:description>generated by python-docx</dc:description>
  <cp:lastModifiedBy>Zineb Filali</cp:lastModifiedBy>
  <cp:revision>1</cp:revision>
  <dcterms:created xsi:type="dcterms:W3CDTF">2024-01-30T09:00:00Z</dcterms:created>
  <dcterms:modified xsi:type="dcterms:W3CDTF">2024-01-30T09:00:00Z</dcterms:modified>
  <cp:category/>
</cp:coreProperties>
</file>