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BC" w:rsidRDefault="009175F1" w:rsidP="009175F1">
      <w:pPr>
        <w:rPr>
          <w:color w:val="1F497D"/>
        </w:rPr>
      </w:pPr>
      <w:r>
        <w:rPr>
          <w:color w:val="1F497D"/>
        </w:rPr>
        <w:t xml:space="preserve">Readmission to hospital within weeks of discharge </w:t>
      </w:r>
      <w:r w:rsidR="00A709D3">
        <w:rPr>
          <w:color w:val="1F497D"/>
        </w:rPr>
        <w:t xml:space="preserve">can signal </w:t>
      </w:r>
      <w:r w:rsidR="00EC6117">
        <w:rPr>
          <w:color w:val="1F497D"/>
        </w:rPr>
        <w:t>deficits in</w:t>
      </w:r>
      <w:r w:rsidR="00DF4ED7">
        <w:rPr>
          <w:color w:val="1F497D"/>
        </w:rPr>
        <w:t xml:space="preserve"> care quality </w:t>
      </w:r>
      <w:r w:rsidR="00EC6117">
        <w:rPr>
          <w:color w:val="1F497D"/>
        </w:rPr>
        <w:t>and cost efficiency</w:t>
      </w:r>
      <w:r>
        <w:rPr>
          <w:color w:val="1F497D"/>
        </w:rPr>
        <w:t xml:space="preserve">. It may indicate a failure in a patient’s </w:t>
      </w:r>
      <w:r w:rsidR="00DB3A5A">
        <w:rPr>
          <w:color w:val="1F497D"/>
        </w:rPr>
        <w:t>treatment plan</w:t>
      </w:r>
      <w:r w:rsidR="005D03D5">
        <w:rPr>
          <w:color w:val="1F497D"/>
        </w:rPr>
        <w:t xml:space="preserve"> </w:t>
      </w:r>
      <w:r w:rsidR="00D43F3B">
        <w:rPr>
          <w:color w:val="1F497D"/>
        </w:rPr>
        <w:t xml:space="preserve">either </w:t>
      </w:r>
      <w:r w:rsidR="005D03D5">
        <w:rPr>
          <w:color w:val="1F497D"/>
        </w:rPr>
        <w:t xml:space="preserve">during </w:t>
      </w:r>
      <w:r w:rsidR="00D43F3B">
        <w:rPr>
          <w:color w:val="1F497D"/>
        </w:rPr>
        <w:t>or</w:t>
      </w:r>
      <w:r w:rsidR="005D03D5">
        <w:rPr>
          <w:color w:val="1F497D"/>
        </w:rPr>
        <w:t xml:space="preserve"> after their initial hospitalization</w:t>
      </w:r>
      <w:r>
        <w:rPr>
          <w:color w:val="1F497D"/>
        </w:rPr>
        <w:t xml:space="preserve">. </w:t>
      </w:r>
      <w:r w:rsidR="00A26D8A">
        <w:rPr>
          <w:color w:val="1F497D"/>
        </w:rPr>
        <w:t>It exposes frail patients</w:t>
      </w:r>
      <w:r w:rsidR="00D43F3B">
        <w:rPr>
          <w:color w:val="1F497D"/>
        </w:rPr>
        <w:t xml:space="preserve"> </w:t>
      </w:r>
      <w:r>
        <w:rPr>
          <w:color w:val="1F497D"/>
        </w:rPr>
        <w:t xml:space="preserve">to hospital acquired </w:t>
      </w:r>
      <w:r w:rsidR="00A26D8A">
        <w:rPr>
          <w:color w:val="1F497D"/>
        </w:rPr>
        <w:t>infections</w:t>
      </w:r>
      <w:r w:rsidR="00D43F3B">
        <w:rPr>
          <w:color w:val="1F497D"/>
        </w:rPr>
        <w:t xml:space="preserve"> for longer period</w:t>
      </w:r>
      <w:r w:rsidR="00DB3A5A">
        <w:rPr>
          <w:color w:val="1F497D"/>
        </w:rPr>
        <w:t>s</w:t>
      </w:r>
      <w:r w:rsidR="00D43F3B">
        <w:rPr>
          <w:color w:val="1F497D"/>
        </w:rPr>
        <w:t xml:space="preserve"> of time</w:t>
      </w:r>
      <w:r w:rsidR="00A26D8A">
        <w:rPr>
          <w:color w:val="1F497D"/>
        </w:rPr>
        <w:t xml:space="preserve">. </w:t>
      </w:r>
      <w:r w:rsidR="00D43F3B">
        <w:rPr>
          <w:color w:val="1F497D"/>
        </w:rPr>
        <w:t>It</w:t>
      </w:r>
      <w:r w:rsidR="00A26D8A">
        <w:rPr>
          <w:color w:val="1F497D"/>
        </w:rPr>
        <w:t xml:space="preserve"> </w:t>
      </w:r>
      <w:r w:rsidR="00DB3A5A">
        <w:rPr>
          <w:color w:val="1F497D"/>
        </w:rPr>
        <w:t>is expensive and wasteful</w:t>
      </w:r>
      <w:r w:rsidR="00D43F3B">
        <w:rPr>
          <w:color w:val="1F497D"/>
        </w:rPr>
        <w:t>, especially w</w:t>
      </w:r>
      <w:r w:rsidR="00D43F3B">
        <w:rPr>
          <w:color w:val="1F497D"/>
        </w:rPr>
        <w:t xml:space="preserve">hen </w:t>
      </w:r>
      <w:r w:rsidR="00D43F3B">
        <w:rPr>
          <w:color w:val="1F497D"/>
        </w:rPr>
        <w:t xml:space="preserve">an opportunity </w:t>
      </w:r>
      <w:r w:rsidR="00DB3A5A">
        <w:rPr>
          <w:color w:val="1F497D"/>
        </w:rPr>
        <w:t>is</w:t>
      </w:r>
      <w:r w:rsidR="00D43F3B">
        <w:rPr>
          <w:color w:val="1F497D"/>
        </w:rPr>
        <w:t xml:space="preserve"> missed to address </w:t>
      </w:r>
      <w:r w:rsidR="00D43F3B">
        <w:rPr>
          <w:color w:val="1F497D"/>
        </w:rPr>
        <w:t xml:space="preserve">patients’ needs </w:t>
      </w:r>
      <w:r w:rsidR="00D43F3B">
        <w:rPr>
          <w:color w:val="1F497D"/>
        </w:rPr>
        <w:t>through</w:t>
      </w:r>
      <w:r w:rsidR="00D43F3B">
        <w:rPr>
          <w:color w:val="1F497D"/>
        </w:rPr>
        <w:t xml:space="preserve"> timely outpatient or deescalated care</w:t>
      </w:r>
      <w:r w:rsidR="00DE4310">
        <w:rPr>
          <w:color w:val="1F497D"/>
        </w:rPr>
        <w:t xml:space="preserve">. </w:t>
      </w:r>
      <w:r w:rsidR="00DB3A5A">
        <w:rPr>
          <w:color w:val="1F497D"/>
        </w:rPr>
        <w:t>Finally, it</w:t>
      </w:r>
      <w:r w:rsidR="00D43F3B">
        <w:rPr>
          <w:color w:val="1F497D"/>
        </w:rPr>
        <w:t xml:space="preserve"> frustrates patients who prefer to be home. </w:t>
      </w:r>
      <w:r w:rsidR="005F5F3F">
        <w:rPr>
          <w:color w:val="1F497D"/>
        </w:rPr>
        <w:t xml:space="preserve">Accordingly, accrediting organizations use readmission rates </w:t>
      </w:r>
      <w:r w:rsidR="00DB3A5A">
        <w:rPr>
          <w:color w:val="1F497D"/>
        </w:rPr>
        <w:t xml:space="preserve">as a </w:t>
      </w:r>
      <w:r w:rsidR="005F5F3F">
        <w:rPr>
          <w:color w:val="1F497D"/>
        </w:rPr>
        <w:t xml:space="preserve">measure </w:t>
      </w:r>
      <w:r w:rsidR="00DB3A5A">
        <w:rPr>
          <w:color w:val="1F497D"/>
        </w:rPr>
        <w:t xml:space="preserve">of </w:t>
      </w:r>
      <w:r w:rsidR="005F5F3F">
        <w:rPr>
          <w:color w:val="1F497D"/>
        </w:rPr>
        <w:t xml:space="preserve">the quality </w:t>
      </w:r>
      <w:r w:rsidR="00DB3A5A">
        <w:rPr>
          <w:color w:val="1F497D"/>
        </w:rPr>
        <w:t xml:space="preserve">of the services that insurance companies like L.A. Care render </w:t>
      </w:r>
      <w:r w:rsidR="005C4CD8">
        <w:rPr>
          <w:color w:val="1F497D"/>
        </w:rPr>
        <w:t xml:space="preserve">to </w:t>
      </w:r>
      <w:r w:rsidR="00DB3A5A">
        <w:rPr>
          <w:color w:val="1F497D"/>
        </w:rPr>
        <w:t>their members</w:t>
      </w:r>
      <w:r w:rsidR="00EE25ED">
        <w:rPr>
          <w:color w:val="1F497D"/>
        </w:rPr>
        <w:t xml:space="preserve">. </w:t>
      </w:r>
      <w:r w:rsidR="00DB3A5A">
        <w:rPr>
          <w:color w:val="1F497D"/>
        </w:rPr>
        <w:t>L.A. Care</w:t>
      </w:r>
      <w:r w:rsidR="005F5F3F">
        <w:rPr>
          <w:color w:val="1F497D"/>
        </w:rPr>
        <w:t xml:space="preserve"> </w:t>
      </w:r>
      <w:r w:rsidR="005F5F3F">
        <w:rPr>
          <w:color w:val="1F497D"/>
        </w:rPr>
        <w:t xml:space="preserve">in turn </w:t>
      </w:r>
      <w:r w:rsidR="005F5F3F">
        <w:rPr>
          <w:color w:val="1F497D"/>
        </w:rPr>
        <w:t>monitor</w:t>
      </w:r>
      <w:r w:rsidR="00DB3A5A">
        <w:rPr>
          <w:color w:val="1F497D"/>
        </w:rPr>
        <w:t>s</w:t>
      </w:r>
      <w:r w:rsidR="005F5F3F">
        <w:rPr>
          <w:color w:val="1F497D"/>
        </w:rPr>
        <w:t xml:space="preserve"> the readmission rates of the PPGs and hospitals </w:t>
      </w:r>
      <w:r w:rsidR="00DE3E90">
        <w:rPr>
          <w:color w:val="1F497D"/>
        </w:rPr>
        <w:t>within</w:t>
      </w:r>
      <w:r w:rsidR="005F5F3F">
        <w:rPr>
          <w:color w:val="1F497D"/>
        </w:rPr>
        <w:t xml:space="preserve"> </w:t>
      </w:r>
      <w:r w:rsidR="005C4CD8">
        <w:rPr>
          <w:color w:val="1F497D"/>
        </w:rPr>
        <w:t>it</w:t>
      </w:r>
      <w:r w:rsidR="005F5F3F">
        <w:rPr>
          <w:color w:val="1F497D"/>
        </w:rPr>
        <w:t xml:space="preserve"> network. </w:t>
      </w:r>
    </w:p>
    <w:p w:rsidR="00DE4310" w:rsidRDefault="00DE4310" w:rsidP="009175F1">
      <w:pPr>
        <w:rPr>
          <w:color w:val="1F497D"/>
        </w:rPr>
      </w:pPr>
    </w:p>
    <w:p w:rsidR="00C100AF" w:rsidRDefault="005C4CD8" w:rsidP="009175F1">
      <w:pPr>
        <w:rPr>
          <w:color w:val="1F497D"/>
        </w:rPr>
      </w:pPr>
      <w:r>
        <w:rPr>
          <w:color w:val="1F497D"/>
        </w:rPr>
        <w:t>We have</w:t>
      </w:r>
      <w:r w:rsidR="00EE25ED">
        <w:rPr>
          <w:color w:val="1F497D"/>
        </w:rPr>
        <w:t xml:space="preserve"> the means </w:t>
      </w:r>
      <w:r w:rsidR="00DE3E90">
        <w:rPr>
          <w:color w:val="1F497D"/>
        </w:rPr>
        <w:t>to reduce readmission rates</w:t>
      </w:r>
      <w:r w:rsidR="003F6D88">
        <w:rPr>
          <w:color w:val="1F497D"/>
        </w:rPr>
        <w:t xml:space="preserve"> here at L.A. Care</w:t>
      </w:r>
      <w:bookmarkStart w:id="0" w:name="_GoBack"/>
      <w:bookmarkEnd w:id="0"/>
      <w:r w:rsidR="005B1082">
        <w:rPr>
          <w:color w:val="1F497D"/>
        </w:rPr>
        <w:t xml:space="preserve">. </w:t>
      </w:r>
      <w:r w:rsidR="00F81DA4">
        <w:rPr>
          <w:color w:val="1F497D"/>
        </w:rPr>
        <w:t>Our</w:t>
      </w:r>
      <w:r w:rsidR="00DE3E90">
        <w:rPr>
          <w:color w:val="1F497D"/>
        </w:rPr>
        <w:t xml:space="preserve"> Care Management professionals within Utilization Management </w:t>
      </w:r>
      <w:r w:rsidR="00C100AF">
        <w:rPr>
          <w:color w:val="1F497D"/>
        </w:rPr>
        <w:t xml:space="preserve">(UM) </w:t>
      </w:r>
      <w:r w:rsidR="00DE3E90">
        <w:rPr>
          <w:color w:val="1F497D"/>
        </w:rPr>
        <w:t xml:space="preserve">and Care Management </w:t>
      </w:r>
      <w:r w:rsidR="00C100AF">
        <w:rPr>
          <w:color w:val="1F497D"/>
        </w:rPr>
        <w:t xml:space="preserve">(CM) </w:t>
      </w:r>
      <w:r w:rsidR="00EE25ED">
        <w:rPr>
          <w:color w:val="1F497D"/>
        </w:rPr>
        <w:t xml:space="preserve">routinely </w:t>
      </w:r>
      <w:r w:rsidR="00DE3E90">
        <w:rPr>
          <w:color w:val="1F497D"/>
        </w:rPr>
        <w:t xml:space="preserve">reach out to members </w:t>
      </w:r>
      <w:r w:rsidR="00C100AF">
        <w:rPr>
          <w:color w:val="1F497D"/>
        </w:rPr>
        <w:t>and</w:t>
      </w:r>
      <w:r w:rsidR="00DE3E90">
        <w:rPr>
          <w:color w:val="1F497D"/>
        </w:rPr>
        <w:t xml:space="preserve"> provide them with information, resources and support </w:t>
      </w:r>
      <w:r w:rsidR="00CA4305">
        <w:rPr>
          <w:color w:val="1F497D"/>
        </w:rPr>
        <w:t xml:space="preserve">to help them stay </w:t>
      </w:r>
      <w:r w:rsidR="00DE3E90">
        <w:rPr>
          <w:color w:val="1F497D"/>
        </w:rPr>
        <w:t xml:space="preserve">out of the hospital. </w:t>
      </w:r>
      <w:r w:rsidR="00CA4305">
        <w:rPr>
          <w:color w:val="1F497D"/>
        </w:rPr>
        <w:t xml:space="preserve">They identify the members who need this assistance through </w:t>
      </w:r>
      <w:r w:rsidR="00CB3BAD">
        <w:rPr>
          <w:color w:val="1F497D"/>
        </w:rPr>
        <w:t xml:space="preserve">professional </w:t>
      </w:r>
      <w:r w:rsidR="00CA4305">
        <w:rPr>
          <w:color w:val="1F497D"/>
        </w:rPr>
        <w:t xml:space="preserve">referrals, self-referrals, and the Health Risk Assessment (HRA) survey which is administered to a subset of the membership. </w:t>
      </w:r>
      <w:r w:rsidR="00C100AF">
        <w:rPr>
          <w:color w:val="1F497D"/>
        </w:rPr>
        <w:t>UM and CM have</w:t>
      </w:r>
      <w:r w:rsidR="00DE3E90">
        <w:rPr>
          <w:color w:val="1F497D"/>
        </w:rPr>
        <w:t xml:space="preserve"> asked EDSA’s Data Science Initiative </w:t>
      </w:r>
      <w:r w:rsidR="000B6843">
        <w:rPr>
          <w:color w:val="1F497D"/>
        </w:rPr>
        <w:t xml:space="preserve">(DSI) </w:t>
      </w:r>
      <w:r w:rsidR="00DE3E90">
        <w:rPr>
          <w:color w:val="1F497D"/>
        </w:rPr>
        <w:t xml:space="preserve">for a new tool </w:t>
      </w:r>
      <w:r w:rsidR="00EE25ED">
        <w:rPr>
          <w:color w:val="1F497D"/>
        </w:rPr>
        <w:t xml:space="preserve">that will </w:t>
      </w:r>
      <w:r w:rsidR="00B42145">
        <w:rPr>
          <w:color w:val="1F497D"/>
        </w:rPr>
        <w:t xml:space="preserve">calculate </w:t>
      </w:r>
      <w:r w:rsidR="00CB3BAD">
        <w:rPr>
          <w:color w:val="1F497D"/>
        </w:rPr>
        <w:t>every hospitalized member’s</w:t>
      </w:r>
      <w:r w:rsidR="00DE3E90">
        <w:rPr>
          <w:color w:val="1F497D"/>
        </w:rPr>
        <w:t xml:space="preserve"> risk </w:t>
      </w:r>
      <w:r w:rsidR="00DE3E90">
        <w:rPr>
          <w:color w:val="1F497D"/>
        </w:rPr>
        <w:t xml:space="preserve">of readmission. </w:t>
      </w:r>
    </w:p>
    <w:p w:rsidR="00C100AF" w:rsidRDefault="00C100AF" w:rsidP="009175F1">
      <w:pPr>
        <w:rPr>
          <w:color w:val="1F497D"/>
        </w:rPr>
      </w:pPr>
    </w:p>
    <w:p w:rsidR="003B3959" w:rsidRDefault="00C100AF" w:rsidP="009175F1">
      <w:pPr>
        <w:rPr>
          <w:color w:val="1F497D"/>
        </w:rPr>
      </w:pPr>
      <w:r>
        <w:rPr>
          <w:color w:val="1F497D"/>
        </w:rPr>
        <w:t>DSI</w:t>
      </w:r>
      <w:r w:rsidR="00CE4507">
        <w:rPr>
          <w:color w:val="1F497D"/>
        </w:rPr>
        <w:t xml:space="preserve">’s first readmission risk prediction tool </w:t>
      </w:r>
    </w:p>
    <w:p w:rsidR="003B3959" w:rsidRDefault="003B3959" w:rsidP="009175F1">
      <w:pPr>
        <w:rPr>
          <w:color w:val="1F497D"/>
        </w:rPr>
      </w:pPr>
    </w:p>
    <w:p w:rsidR="009175F1" w:rsidRDefault="003B3959" w:rsidP="009175F1">
      <w:pPr>
        <w:rPr>
          <w:color w:val="1F497D"/>
        </w:rPr>
      </w:pPr>
      <w:r>
        <w:rPr>
          <w:color w:val="1F497D"/>
        </w:rPr>
        <w:t xml:space="preserve">It </w:t>
      </w:r>
      <w:r w:rsidR="006A4A0C">
        <w:rPr>
          <w:color w:val="1F497D"/>
        </w:rPr>
        <w:t>outperforms</w:t>
      </w:r>
      <w:r w:rsidR="00CE4507">
        <w:rPr>
          <w:color w:val="1F497D"/>
        </w:rPr>
        <w:t xml:space="preserve"> the </w:t>
      </w:r>
      <w:hyperlink r:id="rId4" w:history="1">
        <w:r w:rsidR="00CE4507">
          <w:rPr>
            <w:rStyle w:val="Hyperlink"/>
          </w:rPr>
          <w:t>LACE index</w:t>
        </w:r>
      </w:hyperlink>
      <w:r w:rsidR="00FC385C">
        <w:rPr>
          <w:color w:val="1F497D"/>
        </w:rPr>
        <w:t>, a widely used formula developed in Canada in TK</w:t>
      </w:r>
      <w:r w:rsidR="006A4A0C">
        <w:rPr>
          <w:color w:val="1F497D"/>
        </w:rPr>
        <w:t xml:space="preserve">, </w:t>
      </w:r>
      <w:r w:rsidR="009175F1">
        <w:rPr>
          <w:color w:val="1F497D"/>
        </w:rPr>
        <w:t>as shown in the table below:</w:t>
      </w:r>
    </w:p>
    <w:p w:rsidR="009175F1" w:rsidRDefault="009175F1" w:rsidP="009175F1">
      <w:pPr>
        <w:rPr>
          <w:color w:val="1F497D"/>
        </w:rPr>
      </w:pPr>
    </w:p>
    <w:tbl>
      <w:tblPr>
        <w:tblW w:w="0" w:type="auto"/>
        <w:tblInd w:w="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080"/>
        <w:gridCol w:w="1080"/>
      </w:tblGrid>
      <w:tr w:rsidR="009175F1" w:rsidTr="009175F1">
        <w:trPr>
          <w:tblHeader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Kappa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AUPRC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Recall</w:t>
            </w:r>
          </w:p>
        </w:tc>
      </w:tr>
      <w:tr w:rsidR="009175F1" w:rsidTr="009175F1"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Our Model (Iter. 1)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0.3803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0.6643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0.7135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0.6355</w:t>
            </w:r>
          </w:p>
        </w:tc>
      </w:tr>
      <w:tr w:rsidR="009175F1" w:rsidTr="009175F1"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Baseline - LACE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175F1" w:rsidRDefault="009175F1">
            <w:pPr>
              <w:autoSpaceDE w:val="0"/>
              <w:autoSpaceDN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0.5526</w:t>
            </w:r>
          </w:p>
        </w:tc>
      </w:tr>
    </w:tbl>
    <w:p w:rsidR="009175F1" w:rsidRDefault="009175F1" w:rsidP="009175F1">
      <w:pPr>
        <w:rPr>
          <w:color w:val="1F497D"/>
        </w:rPr>
      </w:pPr>
    </w:p>
    <w:p w:rsidR="009175F1" w:rsidRDefault="005D3CA4" w:rsidP="009175F1">
      <w:pPr>
        <w:rPr>
          <w:color w:val="1F497D"/>
        </w:rPr>
      </w:pPr>
      <w:r>
        <w:rPr>
          <w:color w:val="1F497D"/>
        </w:rPr>
        <w:t>We took</w:t>
      </w:r>
      <w:r w:rsidR="009175F1">
        <w:rPr>
          <w:color w:val="1F497D"/>
        </w:rPr>
        <w:t xml:space="preserve"> advantage </w:t>
      </w:r>
      <w:r>
        <w:rPr>
          <w:color w:val="1F497D"/>
        </w:rPr>
        <w:t>of the opportunity to develop</w:t>
      </w:r>
      <w:r w:rsidR="009175F1">
        <w:rPr>
          <w:color w:val="1F497D"/>
        </w:rPr>
        <w:t xml:space="preserve"> a model from our own, unique population. That’s why the model above beat the LACE. We limited the input to what LACE requires, i.e. </w:t>
      </w:r>
      <w:r>
        <w:rPr>
          <w:color w:val="1F497D"/>
        </w:rPr>
        <w:t>Length of Stay</w:t>
      </w:r>
      <w:r w:rsidR="00D0290D">
        <w:rPr>
          <w:color w:val="1F497D"/>
        </w:rPr>
        <w:t xml:space="preserve"> (i.e. how long a member initially stayed in the hospital)</w:t>
      </w:r>
      <w:r w:rsidR="009175F1">
        <w:rPr>
          <w:color w:val="1F497D"/>
        </w:rPr>
        <w:t>, Acuity</w:t>
      </w:r>
      <w:r w:rsidR="00D0290D">
        <w:rPr>
          <w:color w:val="1F497D"/>
        </w:rPr>
        <w:t xml:space="preserve"> (whether the member started </w:t>
      </w:r>
      <w:r w:rsidR="009175F1">
        <w:rPr>
          <w:color w:val="1F497D"/>
        </w:rPr>
        <w:t xml:space="preserve">, the same 14 comorbidities, and 6 month count of prior ER visits, so our only advantage was our modeling techniques and espousing the characteristics of our population. It was enough. </w:t>
      </w:r>
    </w:p>
    <w:p w:rsidR="009175F1" w:rsidRDefault="009175F1" w:rsidP="009175F1">
      <w:pPr>
        <w:rPr>
          <w:color w:val="1F497D"/>
        </w:rPr>
      </w:pPr>
    </w:p>
    <w:p w:rsidR="006A4A0C" w:rsidRDefault="006A4A0C" w:rsidP="009175F1">
      <w:pPr>
        <w:rPr>
          <w:color w:val="1F497D"/>
        </w:rPr>
      </w:pPr>
      <w:r>
        <w:rPr>
          <w:color w:val="1F497D"/>
        </w:rPr>
        <w:t xml:space="preserve">The LACE+, the Rothman Index, and a model developed in Australia </w:t>
      </w:r>
      <w:hyperlink r:id="rId5" w:history="1">
        <w:r>
          <w:rPr>
            <w:rStyle w:val="Hyperlink"/>
          </w:rPr>
          <w:t>by Maali et al</w:t>
        </w:r>
      </w:hyperlink>
      <w:r>
        <w:rPr>
          <w:color w:val="1F497D"/>
        </w:rPr>
        <w:t xml:space="preserve"> using machine learning techniques all outperform the LACE Index. So does the 1st iteration of the model our own group developed at the end of Apri</w:t>
      </w:r>
    </w:p>
    <w:p w:rsidR="006A4A0C" w:rsidRDefault="006A4A0C" w:rsidP="009175F1">
      <w:pPr>
        <w:rPr>
          <w:color w:val="1F497D"/>
        </w:rPr>
      </w:pPr>
    </w:p>
    <w:p w:rsidR="009175F1" w:rsidRDefault="009175F1" w:rsidP="009175F1">
      <w:pPr>
        <w:rPr>
          <w:color w:val="1F497D"/>
        </w:rPr>
      </w:pPr>
      <w:r>
        <w:rPr>
          <w:color w:val="1F497D"/>
        </w:rPr>
        <w:t xml:space="preserve">We have an opportunity to produce better predictions still by expanding the input. Right now we’re working on including social and diagnostic characteristics. We’ve also drawn up a list of several hundred variables that are associated with readmission according to peer reviewed work. On their own, the Rothman Index, LACE+, Tabak’s ALaRMS, Maali’s model, the HOSPITAL Index, etc., each use a small subset of these predictors and interestingly the overlap between these subsets is small beyond the fields that compose the LACE. If we can access a large, inclusive, set of input variables then we are well positioned to improve on the results of Iteration 1 and to do not just as well as Rothman or Maali, but as well as any model that combines their input fields together. And we’re on our way, with a possible collaboration with MLK that may give us access to the labs, vitals and nursing notes that power the Rothman Index, for example. </w:t>
      </w:r>
    </w:p>
    <w:p w:rsidR="009175F1" w:rsidRDefault="009175F1" w:rsidP="009175F1">
      <w:pPr>
        <w:rPr>
          <w:color w:val="1F497D"/>
        </w:rPr>
      </w:pPr>
    </w:p>
    <w:p w:rsidR="009175F1" w:rsidRDefault="009175F1" w:rsidP="009175F1">
      <w:pPr>
        <w:rPr>
          <w:color w:val="1F497D"/>
        </w:rPr>
      </w:pPr>
      <w:r>
        <w:rPr>
          <w:color w:val="1F497D"/>
        </w:rPr>
        <w:lastRenderedPageBreak/>
        <w:t xml:space="preserve">LA Care is in the advantageous position to describe a member and his or her care beyond the walls of the hospital. The fact that we are a payer, as well as the development of sharing networks like eConnect and EDIE or LANES, and possible collaborations with hospitals that may share with us our members’ EMRs – all of this puts us in a position to build models on data that have a wider scope. I’m attaching a synopsis of a group in Dallas for which information sharing together with machine learning-driven modeling led to improvements in reducing readmission. Here at DSI, I’m working on Iteration 2 and I’ll keep you updated. </w:t>
      </w:r>
    </w:p>
    <w:p w:rsidR="009175F1" w:rsidRDefault="009175F1" w:rsidP="009175F1">
      <w:pPr>
        <w:rPr>
          <w:color w:val="1F497D"/>
        </w:rPr>
      </w:pPr>
    </w:p>
    <w:p w:rsidR="00B42145" w:rsidRDefault="00B42145" w:rsidP="00B42145">
      <w:pPr>
        <w:rPr>
          <w:color w:val="1F497D"/>
        </w:rPr>
      </w:pPr>
      <w:r>
        <w:rPr>
          <w:color w:val="1F497D"/>
        </w:rPr>
        <w:t xml:space="preserve">or uncover systemic drivers.  </w:t>
      </w:r>
    </w:p>
    <w:p w:rsidR="00227989" w:rsidRDefault="00227989"/>
    <w:sectPr w:rsidR="0022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F1"/>
    <w:rsid w:val="000B6843"/>
    <w:rsid w:val="00111972"/>
    <w:rsid w:val="00227989"/>
    <w:rsid w:val="00257770"/>
    <w:rsid w:val="003B3959"/>
    <w:rsid w:val="003F6D88"/>
    <w:rsid w:val="004F4A30"/>
    <w:rsid w:val="005B1082"/>
    <w:rsid w:val="005C4CD8"/>
    <w:rsid w:val="005D03D5"/>
    <w:rsid w:val="005D3CA4"/>
    <w:rsid w:val="005F5F3F"/>
    <w:rsid w:val="006A4A0C"/>
    <w:rsid w:val="00836950"/>
    <w:rsid w:val="008404BC"/>
    <w:rsid w:val="009175F1"/>
    <w:rsid w:val="00A26D8A"/>
    <w:rsid w:val="00A709D3"/>
    <w:rsid w:val="00B21242"/>
    <w:rsid w:val="00B42145"/>
    <w:rsid w:val="00C100AF"/>
    <w:rsid w:val="00C55E27"/>
    <w:rsid w:val="00CA4305"/>
    <w:rsid w:val="00CB3BAD"/>
    <w:rsid w:val="00CE4507"/>
    <w:rsid w:val="00D0290D"/>
    <w:rsid w:val="00D43F3B"/>
    <w:rsid w:val="00DB3A5A"/>
    <w:rsid w:val="00DE3E90"/>
    <w:rsid w:val="00DE4310"/>
    <w:rsid w:val="00DF4ED7"/>
    <w:rsid w:val="00EC6117"/>
    <w:rsid w:val="00EE25ED"/>
    <w:rsid w:val="00F81DA4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C71CE-0382-4C6A-A813-66420E01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5F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755362/" TargetMode="External"/><Relationship Id="rId4" Type="http://schemas.openxmlformats.org/officeDocument/2006/relationships/hyperlink" Target="https://www.besler.com/lace-risk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Care Health Plan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21</cp:revision>
  <dcterms:created xsi:type="dcterms:W3CDTF">2018-06-26T20:54:00Z</dcterms:created>
  <dcterms:modified xsi:type="dcterms:W3CDTF">2018-06-27T01:15:00Z</dcterms:modified>
</cp:coreProperties>
</file>