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D7" w:rsidRPr="00CB64BC" w:rsidRDefault="00EF7B05" w:rsidP="006B13F3">
      <w:r>
        <w:t>EDSA’s</w:t>
      </w:r>
      <w:r w:rsidR="000709D7" w:rsidRPr="00CB64BC">
        <w:t xml:space="preserve"> Data Science Initiative </w:t>
      </w:r>
      <w:r>
        <w:t>(DSI)</w:t>
      </w:r>
      <w:r w:rsidR="000709D7" w:rsidRPr="00CB64BC">
        <w:t xml:space="preserve"> is working to </w:t>
      </w:r>
      <w:r w:rsidR="00457A50">
        <w:t>create</w:t>
      </w:r>
      <w:r w:rsidR="000709D7" w:rsidRPr="00CB64BC">
        <w:t xml:space="preserve"> new tools to predict </w:t>
      </w:r>
      <w:r w:rsidR="004B57DA" w:rsidRPr="00CB64BC">
        <w:t>who</w:t>
      </w:r>
      <w:r w:rsidR="00F50543" w:rsidRPr="00CB64BC">
        <w:t>,</w:t>
      </w:r>
      <w:r w:rsidR="004B57DA" w:rsidRPr="00CB64BC">
        <w:t xml:space="preserve"> among </w:t>
      </w:r>
      <w:r w:rsidR="00304B38" w:rsidRPr="00CB64BC">
        <w:t>L.A. Care’s</w:t>
      </w:r>
      <w:r w:rsidR="000709D7" w:rsidRPr="00CB64BC">
        <w:t xml:space="preserve"> hospitalized members</w:t>
      </w:r>
      <w:r w:rsidR="00F50543" w:rsidRPr="00CB64BC">
        <w:t>,</w:t>
      </w:r>
      <w:r w:rsidR="000709D7" w:rsidRPr="00CB64BC">
        <w:t xml:space="preserve"> </w:t>
      </w:r>
      <w:r w:rsidR="004B57DA" w:rsidRPr="00CB64BC">
        <w:t>is</w:t>
      </w:r>
      <w:r w:rsidR="00457A50">
        <w:t xml:space="preserve"> at a higher</w:t>
      </w:r>
      <w:r w:rsidR="000709D7" w:rsidRPr="00CB64BC">
        <w:t xml:space="preserve"> risk of returning to the hospital soon after discharge. </w:t>
      </w:r>
    </w:p>
    <w:p w:rsidR="000709D7" w:rsidRPr="00CB64BC" w:rsidRDefault="000709D7" w:rsidP="006B13F3"/>
    <w:p w:rsidR="006B13F3" w:rsidRPr="00CB64BC" w:rsidRDefault="004B57DA" w:rsidP="006B13F3">
      <w:r w:rsidRPr="00CB64BC">
        <w:t xml:space="preserve">Being readmitted </w:t>
      </w:r>
      <w:r w:rsidR="000709D7" w:rsidRPr="00CB64BC">
        <w:t xml:space="preserve">30 days </w:t>
      </w:r>
      <w:r w:rsidRPr="00CB64BC">
        <w:t xml:space="preserve">or less after </w:t>
      </w:r>
      <w:r w:rsidR="000709D7" w:rsidRPr="00CB64BC">
        <w:t>discharge</w:t>
      </w:r>
      <w:r w:rsidRPr="00CB64BC">
        <w:t xml:space="preserve"> </w:t>
      </w:r>
      <w:r w:rsidR="00457A50">
        <w:t>can signal</w:t>
      </w:r>
      <w:r w:rsidRPr="00CB64BC">
        <w:t xml:space="preserve"> </w:t>
      </w:r>
      <w:r w:rsidR="00F50543" w:rsidRPr="00CB64BC">
        <w:t>an underlying problem</w:t>
      </w:r>
      <w:r w:rsidRPr="00CB64BC">
        <w:t xml:space="preserve"> with </w:t>
      </w:r>
      <w:r w:rsidR="00F50543" w:rsidRPr="00CB64BC">
        <w:t xml:space="preserve">the </w:t>
      </w:r>
      <w:r w:rsidRPr="00CB64BC">
        <w:t xml:space="preserve">quality of </w:t>
      </w:r>
      <w:r w:rsidR="00F50543" w:rsidRPr="00CB64BC">
        <w:t xml:space="preserve">the </w:t>
      </w:r>
      <w:r w:rsidRPr="00CB64BC">
        <w:t xml:space="preserve">care </w:t>
      </w:r>
      <w:r w:rsidR="00CB6ABB" w:rsidRPr="00CB64BC">
        <w:t>a</w:t>
      </w:r>
      <w:r w:rsidR="00085B50" w:rsidRPr="00CB64BC">
        <w:t xml:space="preserve"> member receives</w:t>
      </w:r>
      <w:r w:rsidR="006B13F3" w:rsidRPr="00CB64BC">
        <w:t xml:space="preserve">. It </w:t>
      </w:r>
      <w:r w:rsidR="00320529" w:rsidRPr="00CB64BC">
        <w:t>may</w:t>
      </w:r>
      <w:r w:rsidR="00B35024" w:rsidRPr="00CB64BC">
        <w:t xml:space="preserve"> </w:t>
      </w:r>
      <w:r w:rsidR="00CB0C16">
        <w:t>indicate a missed opportunity to control</w:t>
      </w:r>
      <w:r w:rsidR="00B35024" w:rsidRPr="00CB64BC">
        <w:t xml:space="preserve"> cost</w:t>
      </w:r>
      <w:r w:rsidR="00CB0C16">
        <w:t>s</w:t>
      </w:r>
      <w:r w:rsidR="0006237F" w:rsidRPr="00CB64BC">
        <w:t>, especially</w:t>
      </w:r>
      <w:r w:rsidR="00954A22" w:rsidRPr="00CB64BC">
        <w:t xml:space="preserve"> </w:t>
      </w:r>
      <w:r w:rsidR="00295DF4">
        <w:t>when</w:t>
      </w:r>
      <w:r w:rsidR="00954A22" w:rsidRPr="00CB64BC">
        <w:t xml:space="preserve"> </w:t>
      </w:r>
      <w:r w:rsidR="007B35AE" w:rsidRPr="00CB64BC">
        <w:t xml:space="preserve">opportunities </w:t>
      </w:r>
      <w:r w:rsidR="007A728E">
        <w:t>existed</w:t>
      </w:r>
      <w:r w:rsidR="0003083A" w:rsidRPr="00CB64BC">
        <w:t xml:space="preserve"> </w:t>
      </w:r>
      <w:r w:rsidR="006B13F3" w:rsidRPr="00CB64BC">
        <w:t xml:space="preserve">to address </w:t>
      </w:r>
      <w:r w:rsidR="00D248DD" w:rsidRPr="00CB64BC">
        <w:t>the</w:t>
      </w:r>
      <w:r w:rsidR="00690EFA">
        <w:t xml:space="preserve"> members’</w:t>
      </w:r>
      <w:r w:rsidR="006B13F3" w:rsidRPr="00CB64BC">
        <w:t xml:space="preserve"> needs </w:t>
      </w:r>
      <w:r w:rsidR="00690EFA">
        <w:t xml:space="preserve">early </w:t>
      </w:r>
      <w:r w:rsidR="006B13F3" w:rsidRPr="00CB64BC">
        <w:t xml:space="preserve">through outpatient </w:t>
      </w:r>
      <w:r w:rsidR="000C5465">
        <w:t>care</w:t>
      </w:r>
      <w:r w:rsidR="006B13F3" w:rsidRPr="00CB64BC">
        <w:t xml:space="preserve">. </w:t>
      </w:r>
      <w:r w:rsidR="00B35024" w:rsidRPr="00CB64BC">
        <w:t xml:space="preserve">It also exposes frail </w:t>
      </w:r>
      <w:r w:rsidR="00EA0725" w:rsidRPr="00CB64BC">
        <w:t>members</w:t>
      </w:r>
      <w:r w:rsidR="00B35024" w:rsidRPr="00CB64BC">
        <w:t xml:space="preserve"> to hospital acquired infect</w:t>
      </w:r>
      <w:r w:rsidR="00EB3F5E">
        <w:t xml:space="preserve">ions </w:t>
      </w:r>
      <w:bookmarkStart w:id="0" w:name="_GoBack"/>
      <w:bookmarkEnd w:id="0"/>
      <w:r w:rsidR="00EB3F5E">
        <w:t>for longer periods of time</w:t>
      </w:r>
      <w:r w:rsidR="006B13F3" w:rsidRPr="00CB64BC">
        <w:t>,</w:t>
      </w:r>
      <w:r w:rsidR="00EB3F5E">
        <w:t xml:space="preserve"> and</w:t>
      </w:r>
      <w:r w:rsidR="006B13F3" w:rsidRPr="00CB64BC">
        <w:t xml:space="preserve"> it frustrates </w:t>
      </w:r>
      <w:r w:rsidR="00FD35C8" w:rsidRPr="00CB64BC">
        <w:t>any member</w:t>
      </w:r>
      <w:r w:rsidR="006B13F3" w:rsidRPr="00CB64BC">
        <w:t xml:space="preserve"> who prefer</w:t>
      </w:r>
      <w:r w:rsidR="00FD35C8" w:rsidRPr="00CB64BC">
        <w:t>s</w:t>
      </w:r>
      <w:r w:rsidR="006B13F3" w:rsidRPr="00CB64BC">
        <w:t xml:space="preserve"> to be home</w:t>
      </w:r>
      <w:r w:rsidR="003B76A4" w:rsidRPr="00CB64BC">
        <w:t xml:space="preserve"> rather than – again – at the hospital</w:t>
      </w:r>
      <w:r w:rsidR="006B13F3" w:rsidRPr="00CB64BC">
        <w:t xml:space="preserve">. Accordingly, accrediting organizations </w:t>
      </w:r>
      <w:r w:rsidR="00C20220" w:rsidRPr="00CB64BC">
        <w:t xml:space="preserve">commonly </w:t>
      </w:r>
      <w:r w:rsidR="006B13F3" w:rsidRPr="00CB64BC">
        <w:t xml:space="preserve">use readmission rates as a measure of the quality of the services that </w:t>
      </w:r>
      <w:r w:rsidR="00183A24" w:rsidRPr="00CB64BC">
        <w:t>health care actors</w:t>
      </w:r>
      <w:r w:rsidR="006B13F3" w:rsidRPr="00CB64BC">
        <w:t xml:space="preserve"> like L.A. Care render. L.A. Care in turn monitors the readmission rates of the PPGs and hospitals within it</w:t>
      </w:r>
      <w:r w:rsidR="00C2677E" w:rsidRPr="00CB64BC">
        <w:t>s</w:t>
      </w:r>
      <w:r w:rsidR="006B13F3" w:rsidRPr="00CB64BC">
        <w:t xml:space="preserve"> network. </w:t>
      </w:r>
    </w:p>
    <w:p w:rsidR="006B13F3" w:rsidRPr="00CB64BC" w:rsidRDefault="006B13F3" w:rsidP="006B13F3"/>
    <w:p w:rsidR="006B13F3" w:rsidRPr="00CB64BC" w:rsidRDefault="00275B35" w:rsidP="006B13F3">
      <w:r w:rsidRPr="00CB64BC">
        <w:t xml:space="preserve">The </w:t>
      </w:r>
      <w:r w:rsidR="006C66D5" w:rsidRPr="00CB64BC">
        <w:t xml:space="preserve">Care Management professionals within </w:t>
      </w:r>
      <w:r w:rsidR="00F631CA" w:rsidRPr="00CB64BC">
        <w:t xml:space="preserve">L.A. Care’s </w:t>
      </w:r>
      <w:r w:rsidR="006C66D5" w:rsidRPr="00CB64BC">
        <w:t xml:space="preserve">Utilization Management (UM) and Care Management (CM) </w:t>
      </w:r>
      <w:r w:rsidR="006B13F3" w:rsidRPr="00CB64BC">
        <w:t xml:space="preserve">have the means to reduce readmission rates. </w:t>
      </w:r>
      <w:r w:rsidR="00E71919" w:rsidRPr="00CB64BC">
        <w:t>They</w:t>
      </w:r>
      <w:r w:rsidR="006B13F3" w:rsidRPr="00CB64BC">
        <w:t xml:space="preserve"> routinely reach out to members </w:t>
      </w:r>
      <w:r w:rsidR="0034666D" w:rsidRPr="00CB64BC">
        <w:t>to</w:t>
      </w:r>
      <w:r w:rsidR="006B13F3" w:rsidRPr="00CB64BC">
        <w:t xml:space="preserve"> provide them with information, resources and support </w:t>
      </w:r>
      <w:r w:rsidR="00242DFC" w:rsidRPr="00CB64BC">
        <w:t>to</w:t>
      </w:r>
      <w:r w:rsidR="006B13F3" w:rsidRPr="00CB64BC">
        <w:t xml:space="preserve"> help </w:t>
      </w:r>
      <w:r w:rsidR="00DB3C20">
        <w:t>them</w:t>
      </w:r>
      <w:r w:rsidR="006B13F3" w:rsidRPr="00CB64BC">
        <w:t xml:space="preserve"> stay out of the hospital. </w:t>
      </w:r>
      <w:r w:rsidR="00460AED">
        <w:t>They</w:t>
      </w:r>
      <w:r w:rsidR="006B13F3" w:rsidRPr="00CB64BC">
        <w:t xml:space="preserve"> </w:t>
      </w:r>
      <w:r w:rsidR="00645A0D">
        <w:t xml:space="preserve">currently </w:t>
      </w:r>
      <w:r w:rsidR="006B13F3" w:rsidRPr="00CB64BC">
        <w:t xml:space="preserve">identify the members who need this assistance through professional referrals, self-referrals, and the Health Risk Assessment (HRA) survey which is administered to a subset of the membership. UM and CM have asked EDSA’s Data Science Initiative (DSI) for a new tool </w:t>
      </w:r>
      <w:r w:rsidR="00097EED">
        <w:t>to</w:t>
      </w:r>
      <w:r w:rsidR="006B13F3" w:rsidRPr="00CB64BC">
        <w:t xml:space="preserve"> calculate </w:t>
      </w:r>
      <w:r w:rsidR="00727E96">
        <w:t xml:space="preserve">the </w:t>
      </w:r>
      <w:r w:rsidR="006B13F3" w:rsidRPr="00CB64BC">
        <w:t>risk of readmission</w:t>
      </w:r>
      <w:r w:rsidR="00727E96">
        <w:t xml:space="preserve"> for </w:t>
      </w:r>
      <w:r w:rsidR="00727E96" w:rsidRPr="00CB64BC">
        <w:t>every ho</w:t>
      </w:r>
      <w:r w:rsidR="00307398">
        <w:t xml:space="preserve">spitalized member. </w:t>
      </w:r>
      <w:r w:rsidR="006B13F3" w:rsidRPr="00CB64BC">
        <w:t xml:space="preserve"> </w:t>
      </w:r>
    </w:p>
    <w:p w:rsidR="006B13F3" w:rsidRPr="00CB64BC" w:rsidRDefault="006B13F3" w:rsidP="006B13F3"/>
    <w:p w:rsidR="006B13F3" w:rsidRPr="00CB64BC" w:rsidRDefault="00F3051D" w:rsidP="006B13F3">
      <w:r>
        <w:t xml:space="preserve">DSI’s </w:t>
      </w:r>
      <w:r w:rsidR="00EF7B05">
        <w:t>first</w:t>
      </w:r>
      <w:r w:rsidR="00C12C64" w:rsidRPr="00CB64BC">
        <w:t xml:space="preserve"> readmission risk prediction tool </w:t>
      </w:r>
      <w:r w:rsidR="00EF7B05">
        <w:t xml:space="preserve">already </w:t>
      </w:r>
      <w:r w:rsidR="006B13F3" w:rsidRPr="00CB64BC">
        <w:t xml:space="preserve">outperforms the </w:t>
      </w:r>
      <w:hyperlink r:id="rId4" w:history="1">
        <w:r w:rsidR="00EF7B05" w:rsidRPr="00EF7B05">
          <w:rPr>
            <w:rStyle w:val="Hyperlink"/>
          </w:rPr>
          <w:t>Lace Index</w:t>
        </w:r>
      </w:hyperlink>
      <w:r w:rsidR="00EF7B05">
        <w:t xml:space="preserve">, </w:t>
      </w:r>
      <w:r w:rsidR="006B13F3" w:rsidRPr="00CB64BC">
        <w:t xml:space="preserve">a widely used formula developed in Canada </w:t>
      </w:r>
      <w:r w:rsidR="00AD65E0">
        <w:t xml:space="preserve">approximately </w:t>
      </w:r>
      <w:r w:rsidR="00197F2B" w:rsidRPr="00CB64BC">
        <w:t>ten years ago</w:t>
      </w:r>
      <w:r w:rsidR="00F65FA0" w:rsidRPr="00CB64BC">
        <w:t xml:space="preserve"> (see t</w:t>
      </w:r>
      <w:r w:rsidR="006B13F3" w:rsidRPr="00CB64BC">
        <w:t xml:space="preserve">able </w:t>
      </w:r>
      <w:r w:rsidR="00F65FA0" w:rsidRPr="00CB64BC">
        <w:t>1)</w:t>
      </w:r>
      <w:r w:rsidR="006B13F3" w:rsidRPr="00CB64BC">
        <w:t>:</w:t>
      </w:r>
    </w:p>
    <w:p w:rsidR="006B13F3" w:rsidRDefault="006B13F3" w:rsidP="006B13F3">
      <w:pPr>
        <w:rPr>
          <w:color w:val="1F497D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080"/>
        <w:gridCol w:w="1080"/>
        <w:gridCol w:w="1080"/>
        <w:gridCol w:w="1080"/>
      </w:tblGrid>
      <w:tr w:rsidR="00391BB6" w:rsidTr="00890E77">
        <w:trPr>
          <w:tblHeader/>
          <w:jc w:val="center"/>
        </w:trPr>
        <w:tc>
          <w:tcPr>
            <w:tcW w:w="6120" w:type="dxa"/>
            <w:gridSpan w:val="5"/>
            <w:tcBorders>
              <w:left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391BB6" w:rsidRDefault="00391BB6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Table 1: </w:t>
            </w:r>
            <w:r w:rsidR="004E11C7">
              <w:rPr>
                <w:rFonts w:ascii="Times New Roman" w:hAnsi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erformance of two models on cases</w:t>
            </w:r>
            <w:r w:rsidR="009E1CC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that are distinct from those that helped to form the models</w:t>
            </w:r>
            <w:r w:rsidR="00E32A2A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  <w:p w:rsidR="009D43CB" w:rsidRDefault="009D43CB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B13F3" w:rsidTr="00890E77">
        <w:trPr>
          <w:tblHeader/>
          <w:jc w:val="center"/>
        </w:trPr>
        <w:tc>
          <w:tcPr>
            <w:tcW w:w="180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108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Kappa</w:t>
            </w:r>
          </w:p>
        </w:tc>
        <w:tc>
          <w:tcPr>
            <w:tcW w:w="108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AUPRC</w:t>
            </w:r>
          </w:p>
        </w:tc>
        <w:tc>
          <w:tcPr>
            <w:tcW w:w="108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108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Recall</w:t>
            </w:r>
          </w:p>
        </w:tc>
      </w:tr>
      <w:tr w:rsidR="006B13F3" w:rsidTr="00890E77">
        <w:trPr>
          <w:jc w:val="center"/>
        </w:trPr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391BB6" w:rsidP="00391BB6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L.A. Care</w:t>
            </w:r>
            <w:r w:rsidR="006B13F3">
              <w:rPr>
                <w:rFonts w:ascii="Times New Roman" w:hAnsi="Times New Roman"/>
                <w:sz w:val="20"/>
                <w:szCs w:val="20"/>
              </w:rPr>
              <w:t xml:space="preserve"> Model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0.3803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0.6643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0.7135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0.6355</w:t>
            </w:r>
          </w:p>
        </w:tc>
      </w:tr>
      <w:tr w:rsidR="006B13F3" w:rsidTr="00890E77">
        <w:trPr>
          <w:jc w:val="center"/>
        </w:trPr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0.2979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0.5526</w:t>
            </w:r>
          </w:p>
        </w:tc>
      </w:tr>
    </w:tbl>
    <w:p w:rsidR="006B13F3" w:rsidRDefault="006B13F3" w:rsidP="006B13F3">
      <w:pPr>
        <w:rPr>
          <w:color w:val="1F497D"/>
        </w:rPr>
      </w:pPr>
    </w:p>
    <w:p w:rsidR="006B13F3" w:rsidRPr="00BA2C31" w:rsidRDefault="00195423" w:rsidP="006B13F3">
      <w:r w:rsidRPr="00BA2C31">
        <w:t>This first attempt took advantage of DSI’s newly acquired Cloudera Data</w:t>
      </w:r>
      <w:r w:rsidR="002D44B9">
        <w:t xml:space="preserve"> Science Workbench. </w:t>
      </w:r>
      <w:r w:rsidR="00FE57E3">
        <w:t>DSI</w:t>
      </w:r>
      <w:r w:rsidR="00C7630D">
        <w:t xml:space="preserve"> used</w:t>
      </w:r>
      <w:r w:rsidRPr="00BA2C31">
        <w:t xml:space="preserve"> a gradient boosting algorithm to train a model on </w:t>
      </w:r>
      <w:r w:rsidR="00F77F0A" w:rsidRPr="00BA2C31">
        <w:t xml:space="preserve">three quarters of all </w:t>
      </w:r>
      <w:r w:rsidR="00842CF2">
        <w:t xml:space="preserve">2017 </w:t>
      </w:r>
      <w:r w:rsidRPr="00BA2C31">
        <w:t xml:space="preserve">L.A. Care </w:t>
      </w:r>
      <w:r w:rsidR="00C06C8C" w:rsidRPr="00BA2C31">
        <w:t xml:space="preserve">member </w:t>
      </w:r>
      <w:r w:rsidR="00FD6C04" w:rsidRPr="00BA2C31">
        <w:t>admissions</w:t>
      </w:r>
      <w:r w:rsidR="007B5523">
        <w:t xml:space="preserve">, a method that </w:t>
      </w:r>
      <w:r w:rsidR="003062B7">
        <w:t>was</w:t>
      </w:r>
      <w:r w:rsidR="00560F84">
        <w:t xml:space="preserve"> especially successful in a recent study </w:t>
      </w:r>
      <w:r w:rsidR="00F041F3">
        <w:t xml:space="preserve">by </w:t>
      </w:r>
      <w:hyperlink r:id="rId5" w:history="1">
        <w:proofErr w:type="spellStart"/>
        <w:r w:rsidR="00F041F3" w:rsidRPr="00FE57E3">
          <w:rPr>
            <w:rStyle w:val="Hyperlink"/>
          </w:rPr>
          <w:t>Maali</w:t>
        </w:r>
        <w:proofErr w:type="spellEnd"/>
        <w:r w:rsidR="00F041F3" w:rsidRPr="00FE57E3">
          <w:rPr>
            <w:rStyle w:val="Hyperlink"/>
          </w:rPr>
          <w:t xml:space="preserve"> et al. (2018)</w:t>
        </w:r>
      </w:hyperlink>
      <w:r w:rsidR="008E4ACD">
        <w:t xml:space="preserve"> in Australia.</w:t>
      </w:r>
      <w:r w:rsidR="00560F84">
        <w:t xml:space="preserve"> </w:t>
      </w:r>
      <w:r w:rsidR="00645760">
        <w:t>D</w:t>
      </w:r>
      <w:r w:rsidR="006B13F3" w:rsidRPr="00BA2C31">
        <w:t>evelop</w:t>
      </w:r>
      <w:r w:rsidR="00645760">
        <w:t>ing</w:t>
      </w:r>
      <w:r w:rsidR="006B13F3" w:rsidRPr="00BA2C31">
        <w:t xml:space="preserve"> a model </w:t>
      </w:r>
      <w:r w:rsidR="000340B1">
        <w:t>using</w:t>
      </w:r>
      <w:r w:rsidR="006B13F3" w:rsidRPr="00BA2C31">
        <w:t xml:space="preserve"> </w:t>
      </w:r>
      <w:r w:rsidR="00E74E97">
        <w:t>L.A. Care’s</w:t>
      </w:r>
      <w:r w:rsidR="006B13F3" w:rsidRPr="00BA2C31">
        <w:t xml:space="preserve"> own, unique population</w:t>
      </w:r>
      <w:r w:rsidR="002D44B9">
        <w:t xml:space="preserve"> was key to </w:t>
      </w:r>
      <w:r w:rsidR="00645760">
        <w:t>the success</w:t>
      </w:r>
      <w:r w:rsidR="00A81166">
        <w:t xml:space="preserve"> of DSI’s first model</w:t>
      </w:r>
      <w:r w:rsidR="006B13F3" w:rsidRPr="00BA2C31">
        <w:t xml:space="preserve">. </w:t>
      </w:r>
      <w:r w:rsidR="002309BA">
        <w:t>DSI</w:t>
      </w:r>
      <w:r w:rsidR="006B13F3" w:rsidRPr="00BA2C31">
        <w:t xml:space="preserve"> limited the input to what LACE requires, i.e. Length of Stay (i.e. how long a member initially stayed in the hospital), Acu</w:t>
      </w:r>
      <w:r w:rsidR="009C1868">
        <w:t xml:space="preserve">ity (whether the </w:t>
      </w:r>
      <w:r w:rsidR="00D70048">
        <w:t>member was admitted from</w:t>
      </w:r>
      <w:r w:rsidR="00513114">
        <w:t xml:space="preserve"> an emergency department)</w:t>
      </w:r>
      <w:r w:rsidR="006B13F3" w:rsidRPr="00BA2C31">
        <w:t>, the same 14 comorbidities</w:t>
      </w:r>
      <w:r w:rsidR="00B447C8">
        <w:t xml:space="preserve"> (including </w:t>
      </w:r>
      <w:r w:rsidR="00266F1A">
        <w:t>previous myocardial infarction, chronic pulmonary disease, and metastatic solid tumor)</w:t>
      </w:r>
      <w:r w:rsidR="006B13F3" w:rsidRPr="00BA2C31">
        <w:t xml:space="preserve">, and </w:t>
      </w:r>
      <w:r w:rsidR="00353FAF">
        <w:t>a 6-</w:t>
      </w:r>
      <w:r w:rsidR="006B13F3" w:rsidRPr="00BA2C31">
        <w:t>month count of prior ER visits</w:t>
      </w:r>
      <w:r w:rsidR="005D7D51">
        <w:t xml:space="preserve">. </w:t>
      </w:r>
      <w:r w:rsidR="00E74E97">
        <w:t>On this even playing field</w:t>
      </w:r>
      <w:r w:rsidR="000340B1">
        <w:t xml:space="preserve">, </w:t>
      </w:r>
      <w:r w:rsidR="00E74E97">
        <w:t xml:space="preserve">DSI </w:t>
      </w:r>
      <w:r w:rsidR="002F6896">
        <w:t xml:space="preserve">outperformed the LACE on both precision (0.71 vs. 0.68) and recall (0.64 vs. 0.55).  </w:t>
      </w:r>
    </w:p>
    <w:p w:rsidR="006B13F3" w:rsidRPr="00AC5060" w:rsidRDefault="006B13F3" w:rsidP="006B13F3"/>
    <w:p w:rsidR="006B13F3" w:rsidRPr="00AC5060" w:rsidRDefault="00E74E97" w:rsidP="006B13F3">
      <w:r w:rsidRPr="00AC5060">
        <w:t>DSI</w:t>
      </w:r>
      <w:r w:rsidR="006B13F3" w:rsidRPr="00AC5060">
        <w:t xml:space="preserve"> </w:t>
      </w:r>
      <w:r w:rsidRPr="00AC5060">
        <w:t>is working on</w:t>
      </w:r>
      <w:r w:rsidR="006B13F3" w:rsidRPr="00AC5060">
        <w:t xml:space="preserve"> </w:t>
      </w:r>
      <w:r w:rsidR="00D24F67" w:rsidRPr="00AC5060">
        <w:t xml:space="preserve">improving </w:t>
      </w:r>
      <w:r w:rsidR="00AC5060" w:rsidRPr="00AC5060">
        <w:t>the quality of its</w:t>
      </w:r>
      <w:r w:rsidR="00D24F67" w:rsidRPr="00AC5060">
        <w:t xml:space="preserve"> predictions</w:t>
      </w:r>
      <w:r w:rsidR="006B13F3" w:rsidRPr="00AC5060">
        <w:t xml:space="preserve"> by expanding the input</w:t>
      </w:r>
      <w:r w:rsidR="000E6F0B" w:rsidRPr="00AC5060">
        <w:t xml:space="preserve"> they use to train </w:t>
      </w:r>
      <w:r w:rsidR="00D24F67" w:rsidRPr="00AC5060">
        <w:t>future</w:t>
      </w:r>
      <w:r w:rsidR="000E6F0B" w:rsidRPr="00AC5060">
        <w:t xml:space="preserve"> model</w:t>
      </w:r>
      <w:r w:rsidR="00D24F67" w:rsidRPr="00AC5060">
        <w:t>s</w:t>
      </w:r>
      <w:r w:rsidR="006B13F3" w:rsidRPr="00AC5060">
        <w:t xml:space="preserve">. </w:t>
      </w:r>
      <w:r w:rsidR="000E6F0B" w:rsidRPr="00AC5060">
        <w:t>T</w:t>
      </w:r>
      <w:r w:rsidR="00AC5060" w:rsidRPr="00AC5060">
        <w:t>o do this, t</w:t>
      </w:r>
      <w:r w:rsidR="000E6F0B" w:rsidRPr="00AC5060">
        <w:t>hey</w:t>
      </w:r>
      <w:r w:rsidRPr="00AC5060">
        <w:t xml:space="preserve"> are sourcing</w:t>
      </w:r>
      <w:r w:rsidR="006B13F3" w:rsidRPr="00AC5060">
        <w:t xml:space="preserve"> </w:t>
      </w:r>
      <w:r w:rsidRPr="00AC5060">
        <w:t>a</w:t>
      </w:r>
      <w:r w:rsidR="006B13F3" w:rsidRPr="00AC5060">
        <w:t xml:space="preserve"> list of several hundred variables that are associated with readmission </w:t>
      </w:r>
      <w:r w:rsidRPr="00AC5060">
        <w:t>in</w:t>
      </w:r>
      <w:r w:rsidR="006B13F3" w:rsidRPr="00AC5060">
        <w:t xml:space="preserve"> peer reviewed work</w:t>
      </w:r>
      <w:r w:rsidR="00AC5060" w:rsidRPr="00AC5060">
        <w:t xml:space="preserve"> and t</w:t>
      </w:r>
      <w:r w:rsidRPr="00AC5060">
        <w:t xml:space="preserve">hey </w:t>
      </w:r>
      <w:r w:rsidR="00D24F67" w:rsidRPr="00AC5060">
        <w:t>have</w:t>
      </w:r>
      <w:r w:rsidRPr="00AC5060">
        <w:t xml:space="preserve"> </w:t>
      </w:r>
      <w:r w:rsidR="00D24F67" w:rsidRPr="00AC5060">
        <w:t xml:space="preserve">become </w:t>
      </w:r>
      <w:r w:rsidRPr="00AC5060">
        <w:t xml:space="preserve">stakeholders in L.A. Care’s Health Information Exchange (HIE) projects </w:t>
      </w:r>
      <w:r w:rsidR="000E6F0B" w:rsidRPr="00AC5060">
        <w:t xml:space="preserve">to </w:t>
      </w:r>
      <w:r w:rsidRPr="00AC5060">
        <w:t>bring admission data into our systems more quickly</w:t>
      </w:r>
      <w:r w:rsidR="000E6F0B" w:rsidRPr="00AC5060">
        <w:t xml:space="preserve"> and to expand our data universe to include EMRs. </w:t>
      </w:r>
      <w:r w:rsidR="00AC5060" w:rsidRPr="00AC5060">
        <w:t>Additionally</w:t>
      </w:r>
      <w:r w:rsidR="000E6F0B" w:rsidRPr="00AC5060">
        <w:t xml:space="preserve">, </w:t>
      </w:r>
      <w:r w:rsidR="00D24F67" w:rsidRPr="00AC5060">
        <w:t xml:space="preserve">they </w:t>
      </w:r>
      <w:r w:rsidR="004377F6" w:rsidRPr="00AC5060">
        <w:t xml:space="preserve">are </w:t>
      </w:r>
      <w:r w:rsidR="00AC5060" w:rsidRPr="00AC5060">
        <w:t>developing a new workflow that interleaves modeling efforts with Causal Mapping Workshops with their subject matter experts</w:t>
      </w:r>
      <w:r w:rsidR="00196BDE">
        <w:t>, an</w:t>
      </w:r>
      <w:r w:rsidR="002B22CF">
        <w:t xml:space="preserve">d they are working closely with UM to </w:t>
      </w:r>
      <w:r w:rsidR="00196BDE">
        <w:t>monitor</w:t>
      </w:r>
      <w:r w:rsidR="002B22CF">
        <w:t xml:space="preserve"> systematic drivers of readmission</w:t>
      </w:r>
      <w:r w:rsidR="00AC5060" w:rsidRPr="00AC5060">
        <w:t xml:space="preserve">. </w:t>
      </w:r>
      <w:r w:rsidR="006B13F3" w:rsidRPr="00AC5060">
        <w:t xml:space="preserve"> </w:t>
      </w:r>
    </w:p>
    <w:p w:rsidR="006B13F3" w:rsidRPr="00AC5060" w:rsidRDefault="006B13F3" w:rsidP="006B13F3"/>
    <w:p w:rsidR="006B13F3" w:rsidRDefault="006B13F3" w:rsidP="006B13F3">
      <w:r w:rsidRPr="00B71C11">
        <w:lastRenderedPageBreak/>
        <w:t xml:space="preserve">LA Care is in </w:t>
      </w:r>
      <w:r w:rsidR="00E65BF3" w:rsidRPr="00B71C11">
        <w:t>an</w:t>
      </w:r>
      <w:r w:rsidRPr="00B71C11">
        <w:t xml:space="preserve"> advantageous position to describe a member and his or her care beyond the walls of the hospital. </w:t>
      </w:r>
      <w:r w:rsidR="00E65BF3" w:rsidRPr="00B71C11">
        <w:t xml:space="preserve">Models such as DSI’s readmission model are an illustration of how these data can be turned into tools to improve member care. </w:t>
      </w:r>
    </w:p>
    <w:p w:rsidR="006B13F3" w:rsidRPr="00B71C11" w:rsidRDefault="006B13F3" w:rsidP="006B13F3"/>
    <w:p w:rsidR="008C382C" w:rsidRDefault="008C382C"/>
    <w:sectPr w:rsidR="008C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F3"/>
    <w:rsid w:val="0003083A"/>
    <w:rsid w:val="000340B1"/>
    <w:rsid w:val="0006237F"/>
    <w:rsid w:val="000709D7"/>
    <w:rsid w:val="00085B50"/>
    <w:rsid w:val="00097EED"/>
    <w:rsid w:val="000C5465"/>
    <w:rsid w:val="000C7CAF"/>
    <w:rsid w:val="000D77C6"/>
    <w:rsid w:val="000E2E02"/>
    <w:rsid w:val="000E6F0B"/>
    <w:rsid w:val="000F55D1"/>
    <w:rsid w:val="000F6816"/>
    <w:rsid w:val="00112FDF"/>
    <w:rsid w:val="00183A24"/>
    <w:rsid w:val="00195423"/>
    <w:rsid w:val="00196BDE"/>
    <w:rsid w:val="00197F2B"/>
    <w:rsid w:val="001F3A1D"/>
    <w:rsid w:val="00200A33"/>
    <w:rsid w:val="002309BA"/>
    <w:rsid w:val="00242DFC"/>
    <w:rsid w:val="00266F1A"/>
    <w:rsid w:val="00270687"/>
    <w:rsid w:val="00275B35"/>
    <w:rsid w:val="00295DF4"/>
    <w:rsid w:val="002A1CF2"/>
    <w:rsid w:val="002B22CF"/>
    <w:rsid w:val="002D0E75"/>
    <w:rsid w:val="002D44B9"/>
    <w:rsid w:val="002F5A72"/>
    <w:rsid w:val="002F6896"/>
    <w:rsid w:val="00304B38"/>
    <w:rsid w:val="003062B7"/>
    <w:rsid w:val="00307398"/>
    <w:rsid w:val="00320529"/>
    <w:rsid w:val="00322175"/>
    <w:rsid w:val="0034666D"/>
    <w:rsid w:val="00353FAF"/>
    <w:rsid w:val="00354B2F"/>
    <w:rsid w:val="0038170E"/>
    <w:rsid w:val="0038362E"/>
    <w:rsid w:val="00391BB6"/>
    <w:rsid w:val="003B76A4"/>
    <w:rsid w:val="003E4DA0"/>
    <w:rsid w:val="0043258B"/>
    <w:rsid w:val="00434A5C"/>
    <w:rsid w:val="004377F6"/>
    <w:rsid w:val="00457A50"/>
    <w:rsid w:val="00460AED"/>
    <w:rsid w:val="004B21C8"/>
    <w:rsid w:val="004B57DA"/>
    <w:rsid w:val="004E11C7"/>
    <w:rsid w:val="00513114"/>
    <w:rsid w:val="005332FA"/>
    <w:rsid w:val="00560F84"/>
    <w:rsid w:val="00566587"/>
    <w:rsid w:val="00596F04"/>
    <w:rsid w:val="005D0C05"/>
    <w:rsid w:val="005D7D51"/>
    <w:rsid w:val="00626C18"/>
    <w:rsid w:val="00635391"/>
    <w:rsid w:val="00636ED4"/>
    <w:rsid w:val="00645760"/>
    <w:rsid w:val="00645A0D"/>
    <w:rsid w:val="00645BE0"/>
    <w:rsid w:val="00652897"/>
    <w:rsid w:val="00690EFA"/>
    <w:rsid w:val="006932F0"/>
    <w:rsid w:val="006B0275"/>
    <w:rsid w:val="006B13F3"/>
    <w:rsid w:val="006C66D5"/>
    <w:rsid w:val="007202FA"/>
    <w:rsid w:val="00722C47"/>
    <w:rsid w:val="00727D20"/>
    <w:rsid w:val="00727E96"/>
    <w:rsid w:val="00733411"/>
    <w:rsid w:val="007921FE"/>
    <w:rsid w:val="007A728E"/>
    <w:rsid w:val="007B35AE"/>
    <w:rsid w:val="007B5523"/>
    <w:rsid w:val="00804D4D"/>
    <w:rsid w:val="00842CF2"/>
    <w:rsid w:val="00890E77"/>
    <w:rsid w:val="008A6560"/>
    <w:rsid w:val="008A67A2"/>
    <w:rsid w:val="008C382C"/>
    <w:rsid w:val="008E4ACD"/>
    <w:rsid w:val="00954A22"/>
    <w:rsid w:val="009824E9"/>
    <w:rsid w:val="009C1868"/>
    <w:rsid w:val="009D43CB"/>
    <w:rsid w:val="009E1CC6"/>
    <w:rsid w:val="00A11F1F"/>
    <w:rsid w:val="00A37157"/>
    <w:rsid w:val="00A81166"/>
    <w:rsid w:val="00AB5BA6"/>
    <w:rsid w:val="00AC5060"/>
    <w:rsid w:val="00AD65E0"/>
    <w:rsid w:val="00B35024"/>
    <w:rsid w:val="00B4331F"/>
    <w:rsid w:val="00B447C8"/>
    <w:rsid w:val="00B44CC0"/>
    <w:rsid w:val="00B71C11"/>
    <w:rsid w:val="00BA2C31"/>
    <w:rsid w:val="00BB59AE"/>
    <w:rsid w:val="00C06C8C"/>
    <w:rsid w:val="00C12C64"/>
    <w:rsid w:val="00C20220"/>
    <w:rsid w:val="00C2677E"/>
    <w:rsid w:val="00C7630D"/>
    <w:rsid w:val="00CB0C16"/>
    <w:rsid w:val="00CB64BC"/>
    <w:rsid w:val="00CB6ABB"/>
    <w:rsid w:val="00CD6EF3"/>
    <w:rsid w:val="00CE238F"/>
    <w:rsid w:val="00D17619"/>
    <w:rsid w:val="00D248DD"/>
    <w:rsid w:val="00D24F67"/>
    <w:rsid w:val="00D30CD3"/>
    <w:rsid w:val="00D54361"/>
    <w:rsid w:val="00D57D58"/>
    <w:rsid w:val="00D70048"/>
    <w:rsid w:val="00D91230"/>
    <w:rsid w:val="00D91934"/>
    <w:rsid w:val="00DA233B"/>
    <w:rsid w:val="00DB3C20"/>
    <w:rsid w:val="00E311C2"/>
    <w:rsid w:val="00E32A2A"/>
    <w:rsid w:val="00E65BF3"/>
    <w:rsid w:val="00E71919"/>
    <w:rsid w:val="00E74E97"/>
    <w:rsid w:val="00EA0725"/>
    <w:rsid w:val="00EB3F5E"/>
    <w:rsid w:val="00ED6EB8"/>
    <w:rsid w:val="00EF7B05"/>
    <w:rsid w:val="00F041F3"/>
    <w:rsid w:val="00F3051D"/>
    <w:rsid w:val="00F50543"/>
    <w:rsid w:val="00F52B2C"/>
    <w:rsid w:val="00F631CA"/>
    <w:rsid w:val="00F65FA0"/>
    <w:rsid w:val="00F75111"/>
    <w:rsid w:val="00F77F0A"/>
    <w:rsid w:val="00F94258"/>
    <w:rsid w:val="00FA2FA9"/>
    <w:rsid w:val="00FD35C8"/>
    <w:rsid w:val="00FD6C04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3AFC"/>
  <w15:chartTrackingRefBased/>
  <w15:docId w15:val="{EA4D3738-6B6B-4691-9441-B51D0714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F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5755362/" TargetMode="External"/><Relationship Id="rId4" Type="http://schemas.openxmlformats.org/officeDocument/2006/relationships/hyperlink" Target="https://www.besler.com/lace-risk-s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L.A. Care Health Plan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158</cp:revision>
  <dcterms:created xsi:type="dcterms:W3CDTF">2018-06-27T20:04:00Z</dcterms:created>
  <dcterms:modified xsi:type="dcterms:W3CDTF">2018-06-28T18:07:00Z</dcterms:modified>
</cp:coreProperties>
</file>