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4DD5" w14:textId="3F78EF03" w:rsidR="00F94FE6" w:rsidRPr="00BE6F86" w:rsidRDefault="00511A69">
      <w:pPr>
        <w:rPr>
          <w:rFonts w:ascii="Roboto Black" w:hAnsi="Roboto Black"/>
          <w:sz w:val="40"/>
          <w:szCs w:val="40"/>
        </w:rPr>
      </w:pPr>
      <w:bookmarkStart w:id="0" w:name="_Hlk130575049"/>
      <w:bookmarkEnd w:id="0"/>
      <w:r>
        <w:rPr>
          <w:rFonts w:ascii="Roboto Black" w:hAnsi="Roboto Black"/>
          <w:sz w:val="40"/>
          <w:szCs w:val="40"/>
          <w:lang w:val="sv-SE"/>
        </w:rPr>
        <w:t>Thyr</w:t>
      </w:r>
      <w:r w:rsidR="00943808">
        <w:rPr>
          <w:rFonts w:ascii="Roboto Black" w:hAnsi="Roboto Black"/>
          <w:sz w:val="40"/>
          <w:szCs w:val="40"/>
          <w:lang w:val="sv-SE"/>
        </w:rPr>
        <w:t>IM</w:t>
      </w:r>
      <w:r>
        <w:rPr>
          <w:rFonts w:ascii="Roboto Black" w:hAnsi="Roboto Black"/>
          <w:sz w:val="40"/>
          <w:szCs w:val="40"/>
          <w:lang w:val="sv-SE"/>
        </w:rPr>
        <w:t xml:space="preserve">sim: A </w:t>
      </w:r>
      <w:r w:rsidR="009908B8">
        <w:rPr>
          <w:rFonts w:ascii="Roboto Black" w:hAnsi="Roboto Black"/>
          <w:sz w:val="40"/>
          <w:szCs w:val="40"/>
          <w:lang w:val="sv-SE"/>
        </w:rPr>
        <w:t>Simulation</w:t>
      </w:r>
      <w:r w:rsidR="009908B8" w:rsidRPr="00BE6F86">
        <w:rPr>
          <w:rFonts w:ascii="Roboto Black" w:hAnsi="Roboto Black"/>
          <w:sz w:val="40"/>
          <w:szCs w:val="40"/>
          <w:lang w:val="sv-SE"/>
        </w:rPr>
        <w:t xml:space="preserve"> </w:t>
      </w:r>
      <w:r w:rsidR="00E277A7" w:rsidRPr="00BE6F86">
        <w:rPr>
          <w:rFonts w:ascii="Roboto Black" w:hAnsi="Roboto Black"/>
          <w:sz w:val="40"/>
          <w:szCs w:val="40"/>
          <w:lang w:val="sv-SE"/>
        </w:rPr>
        <w:t xml:space="preserve">Model of </w:t>
      </w:r>
      <w:r w:rsidR="005D4BDE">
        <w:rPr>
          <w:rFonts w:ascii="Roboto Black" w:hAnsi="Roboto Black"/>
          <w:sz w:val="40"/>
          <w:szCs w:val="40"/>
          <w:lang w:val="sv-SE"/>
        </w:rPr>
        <w:t xml:space="preserve">Thyroid-Immune </w:t>
      </w:r>
      <w:r w:rsidR="00943808">
        <w:rPr>
          <w:rFonts w:ascii="Roboto Black" w:hAnsi="Roboto Black"/>
          <w:sz w:val="40"/>
          <w:szCs w:val="40"/>
          <w:lang w:val="sv-SE"/>
        </w:rPr>
        <w:t xml:space="preserve">System </w:t>
      </w:r>
      <w:r w:rsidR="009908B8">
        <w:rPr>
          <w:rFonts w:ascii="Roboto Black" w:hAnsi="Roboto Black"/>
          <w:sz w:val="40"/>
          <w:szCs w:val="40"/>
          <w:lang w:val="sv-SE"/>
        </w:rPr>
        <w:t xml:space="preserve">Dynamical </w:t>
      </w:r>
      <w:r w:rsidR="005D4BDE">
        <w:rPr>
          <w:rFonts w:ascii="Roboto Black" w:hAnsi="Roboto Black"/>
          <w:sz w:val="40"/>
          <w:szCs w:val="40"/>
          <w:lang w:val="sv-SE"/>
        </w:rPr>
        <w:t>Interaction</w:t>
      </w:r>
      <w:r w:rsidR="00943808">
        <w:rPr>
          <w:rFonts w:ascii="Roboto Black" w:hAnsi="Roboto Black"/>
          <w:sz w:val="40"/>
          <w:szCs w:val="40"/>
          <w:lang w:val="sv-SE"/>
        </w:rPr>
        <w:t>s</w:t>
      </w:r>
      <w:r w:rsidR="005D4BDE">
        <w:rPr>
          <w:rFonts w:ascii="Roboto Black" w:hAnsi="Roboto Black"/>
          <w:sz w:val="40"/>
          <w:szCs w:val="40"/>
          <w:lang w:val="sv-SE"/>
        </w:rPr>
        <w:t xml:space="preserve"> in </w:t>
      </w:r>
      <w:r w:rsidR="00E277A7" w:rsidRPr="00BE6F86">
        <w:rPr>
          <w:rFonts w:ascii="Roboto Black" w:hAnsi="Roboto Black"/>
          <w:sz w:val="40"/>
          <w:szCs w:val="40"/>
          <w:lang w:val="sv-SE"/>
        </w:rPr>
        <w:t>Hashimoto</w:t>
      </w:r>
      <w:r w:rsidR="00E277A7" w:rsidRPr="00BE6F86">
        <w:rPr>
          <w:rFonts w:ascii="Roboto Black" w:hAnsi="Roboto Black"/>
          <w:sz w:val="40"/>
          <w:szCs w:val="40"/>
        </w:rPr>
        <w:t>’s Thyroiditis</w:t>
      </w:r>
    </w:p>
    <w:p w14:paraId="77140E18" w14:textId="7CE4F35A" w:rsidR="00E277A7" w:rsidRDefault="00E277A7">
      <w:pPr>
        <w:rPr>
          <w:rFonts w:ascii="Cambria" w:hAnsi="Cambria"/>
          <w:color w:val="1F3864" w:themeColor="accent1" w:themeShade="80"/>
          <w:sz w:val="24"/>
          <w:szCs w:val="24"/>
        </w:rPr>
      </w:pPr>
      <w:r w:rsidRPr="00BE6F86">
        <w:rPr>
          <w:rFonts w:ascii="Cambria" w:hAnsi="Cambria"/>
          <w:color w:val="1F3864" w:themeColor="accent1" w:themeShade="80"/>
          <w:sz w:val="24"/>
          <w:szCs w:val="24"/>
        </w:rPr>
        <w:t>Aidan Boyne</w:t>
      </w:r>
      <w:r w:rsidR="00280D6F">
        <w:rPr>
          <w:rFonts w:ascii="Cambria" w:hAnsi="Cambria"/>
          <w:color w:val="1F3864" w:themeColor="accent1" w:themeShade="80"/>
          <w:sz w:val="24"/>
          <w:szCs w:val="24"/>
        </w:rPr>
        <w:t xml:space="preserve">, </w:t>
      </w:r>
      <w:r w:rsidR="009908B8">
        <w:rPr>
          <w:rFonts w:ascii="Cambria" w:hAnsi="Cambria"/>
          <w:color w:val="1F3864" w:themeColor="accent1" w:themeShade="80"/>
          <w:sz w:val="24"/>
          <w:szCs w:val="24"/>
        </w:rPr>
        <w:t>edited by JD July 1 2023 (first pass)</w:t>
      </w:r>
      <w:r w:rsidR="0068777D">
        <w:rPr>
          <w:rFonts w:ascii="Cambria" w:hAnsi="Cambria"/>
          <w:color w:val="1F3864" w:themeColor="accent1" w:themeShade="80"/>
          <w:sz w:val="24"/>
          <w:szCs w:val="24"/>
        </w:rPr>
        <w:t>, revised AB July 07</w:t>
      </w:r>
    </w:p>
    <w:p w14:paraId="7917BE8D" w14:textId="62E37985" w:rsidR="00BE6F86" w:rsidRDefault="005952C4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2D6ED9D9" w14:textId="1FD74562" w:rsidR="00BE6F86" w:rsidRPr="00BE6F86" w:rsidRDefault="00BE6F86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 w:rsidRPr="00BE6F86">
        <w:rPr>
          <w:rFonts w:ascii="Roboto" w:hAnsi="Roboto"/>
          <w:b/>
          <w:bCs/>
          <w:color w:val="1F3864" w:themeColor="accent1" w:themeShade="80"/>
          <w:sz w:val="28"/>
          <w:szCs w:val="28"/>
        </w:rPr>
        <w:t>Abstract</w:t>
      </w:r>
    </w:p>
    <w:p w14:paraId="1F64A555" w14:textId="3F7840E5" w:rsidR="00BE6F86" w:rsidRPr="00940D33" w:rsidRDefault="00940D33">
      <w:pPr>
        <w:rPr>
          <w:rFonts w:ascii="Cambria" w:hAnsi="Cambria"/>
          <w:sz w:val="24"/>
          <w:szCs w:val="24"/>
        </w:rPr>
      </w:pPr>
      <w:r w:rsidRPr="00940D33">
        <w:rPr>
          <w:rFonts w:ascii="Cambria" w:hAnsi="Cambria"/>
          <w:sz w:val="24"/>
          <w:szCs w:val="24"/>
        </w:rPr>
        <w:t xml:space="preserve">Hashimoto’s </w:t>
      </w:r>
      <w:r w:rsidR="00280D6F">
        <w:rPr>
          <w:rFonts w:ascii="Cambria" w:hAnsi="Cambria"/>
          <w:sz w:val="24"/>
          <w:szCs w:val="24"/>
        </w:rPr>
        <w:t>D</w:t>
      </w:r>
      <w:r w:rsidR="00943808">
        <w:rPr>
          <w:rFonts w:ascii="Cambria" w:hAnsi="Cambria"/>
          <w:sz w:val="24"/>
          <w:szCs w:val="24"/>
        </w:rPr>
        <w:t>isease (HD)</w:t>
      </w:r>
      <w:r w:rsidRPr="00940D33">
        <w:rPr>
          <w:rFonts w:ascii="Cambria" w:hAnsi="Cambria"/>
          <w:sz w:val="24"/>
          <w:szCs w:val="24"/>
        </w:rPr>
        <w:t xml:space="preserve"> is a</w:t>
      </w:r>
      <w:r>
        <w:rPr>
          <w:rFonts w:ascii="Cambria" w:hAnsi="Cambria"/>
          <w:sz w:val="24"/>
          <w:szCs w:val="24"/>
        </w:rPr>
        <w:t xml:space="preserve"> common </w:t>
      </w:r>
      <w:r w:rsidRPr="00940D33">
        <w:rPr>
          <w:rFonts w:ascii="Cambria" w:hAnsi="Cambria"/>
          <w:sz w:val="24"/>
          <w:szCs w:val="24"/>
        </w:rPr>
        <w:t>autoimmune disorder characterized by destruction of thyroid tissue and subsequent hypothyroidism</w:t>
      </w:r>
      <w:r w:rsidR="0068109B">
        <w:rPr>
          <w:rFonts w:ascii="Cambria" w:hAnsi="Cambria"/>
          <w:sz w:val="24"/>
          <w:szCs w:val="24"/>
        </w:rPr>
        <w:t xml:space="preserve">.  </w:t>
      </w:r>
      <w:r>
        <w:rPr>
          <w:rFonts w:ascii="Cambria" w:hAnsi="Cambria"/>
          <w:sz w:val="24"/>
          <w:szCs w:val="24"/>
        </w:rPr>
        <w:t xml:space="preserve">Despite the significant role of the immune system in disease progression, </w:t>
      </w:r>
      <w:r w:rsidR="00980CF4">
        <w:rPr>
          <w:rFonts w:ascii="Cambria" w:hAnsi="Cambria"/>
          <w:sz w:val="24"/>
          <w:szCs w:val="24"/>
        </w:rPr>
        <w:t xml:space="preserve">current </w:t>
      </w:r>
      <w:r>
        <w:rPr>
          <w:rFonts w:ascii="Cambria" w:hAnsi="Cambria"/>
          <w:sz w:val="24"/>
          <w:szCs w:val="24"/>
        </w:rPr>
        <w:t xml:space="preserve">clinical treatment </w:t>
      </w:r>
      <w:r w:rsidR="005D4BDE">
        <w:rPr>
          <w:rFonts w:ascii="Cambria" w:hAnsi="Cambria"/>
          <w:sz w:val="24"/>
          <w:szCs w:val="24"/>
        </w:rPr>
        <w:t>relies entirely on hormone replacement therapy and thyroid-immune</w:t>
      </w:r>
      <w:r w:rsidR="00943808">
        <w:rPr>
          <w:rFonts w:ascii="Cambria" w:hAnsi="Cambria"/>
          <w:sz w:val="24"/>
          <w:szCs w:val="24"/>
        </w:rPr>
        <w:t xml:space="preserve"> system </w:t>
      </w:r>
      <w:r w:rsidR="005D4BDE">
        <w:rPr>
          <w:rFonts w:ascii="Cambria" w:hAnsi="Cambria"/>
          <w:sz w:val="24"/>
          <w:szCs w:val="24"/>
        </w:rPr>
        <w:t>interactions remain largely unclear</w:t>
      </w:r>
      <w:r w:rsidR="0068109B">
        <w:rPr>
          <w:rFonts w:ascii="Cambria" w:hAnsi="Cambria"/>
          <w:sz w:val="24"/>
          <w:szCs w:val="24"/>
        </w:rPr>
        <w:t xml:space="preserve">.  </w:t>
      </w:r>
      <w:r w:rsidR="005D4BDE">
        <w:rPr>
          <w:rFonts w:ascii="Cambria" w:hAnsi="Cambria"/>
          <w:sz w:val="24"/>
          <w:szCs w:val="24"/>
        </w:rPr>
        <w:t xml:space="preserve"> </w:t>
      </w:r>
      <w:r w:rsidR="00943808">
        <w:rPr>
          <w:rFonts w:ascii="Cambria" w:hAnsi="Cambria"/>
          <w:sz w:val="24"/>
          <w:szCs w:val="24"/>
        </w:rPr>
        <w:t xml:space="preserve">We </w:t>
      </w:r>
      <w:r w:rsidR="005D4BDE">
        <w:rPr>
          <w:rFonts w:ascii="Cambria" w:hAnsi="Cambria"/>
          <w:sz w:val="24"/>
          <w:szCs w:val="24"/>
        </w:rPr>
        <w:t>present a</w:t>
      </w:r>
      <w:r w:rsidR="00106B0C">
        <w:rPr>
          <w:rFonts w:ascii="Cambria" w:hAnsi="Cambria"/>
          <w:sz w:val="24"/>
          <w:szCs w:val="24"/>
        </w:rPr>
        <w:t xml:space="preserve"> </w:t>
      </w:r>
      <w:r w:rsidR="005D4BDE">
        <w:rPr>
          <w:rFonts w:ascii="Cambria" w:hAnsi="Cambria"/>
          <w:sz w:val="24"/>
          <w:szCs w:val="24"/>
        </w:rPr>
        <w:t xml:space="preserve">mathematical </w:t>
      </w:r>
      <w:r w:rsidR="00943808">
        <w:rPr>
          <w:rFonts w:ascii="Cambria" w:hAnsi="Cambria"/>
          <w:sz w:val="24"/>
          <w:szCs w:val="24"/>
        </w:rPr>
        <w:t xml:space="preserve">simulation </w:t>
      </w:r>
      <w:r w:rsidR="005D4BDE">
        <w:rPr>
          <w:rFonts w:ascii="Cambria" w:hAnsi="Cambria"/>
          <w:sz w:val="24"/>
          <w:szCs w:val="24"/>
        </w:rPr>
        <w:t>model</w:t>
      </w:r>
      <w:r w:rsidR="00511A69">
        <w:rPr>
          <w:rFonts w:ascii="Cambria" w:hAnsi="Cambria"/>
          <w:sz w:val="24"/>
          <w:szCs w:val="24"/>
        </w:rPr>
        <w:t xml:space="preserve"> of Hashimoto’s thyroiditis</w:t>
      </w:r>
      <w:r w:rsidR="005D4BDE">
        <w:rPr>
          <w:rFonts w:ascii="Cambria" w:hAnsi="Cambria"/>
          <w:sz w:val="24"/>
          <w:szCs w:val="24"/>
        </w:rPr>
        <w:t xml:space="preserve"> which </w:t>
      </w:r>
      <w:r w:rsidR="00106B0C">
        <w:rPr>
          <w:rFonts w:ascii="Cambria" w:hAnsi="Cambria"/>
          <w:sz w:val="24"/>
          <w:szCs w:val="24"/>
        </w:rPr>
        <w:t xml:space="preserve">incorporates </w:t>
      </w:r>
      <w:r w:rsidR="00511A69">
        <w:rPr>
          <w:rFonts w:ascii="Cambria" w:hAnsi="Cambria"/>
          <w:sz w:val="24"/>
          <w:szCs w:val="24"/>
        </w:rPr>
        <w:t>the</w:t>
      </w:r>
      <w:r w:rsidR="00106B0C">
        <w:rPr>
          <w:rFonts w:ascii="Cambria" w:hAnsi="Cambria"/>
          <w:sz w:val="24"/>
          <w:szCs w:val="24"/>
        </w:rPr>
        <w:t xml:space="preserve"> dynamic </w:t>
      </w:r>
      <w:r w:rsidR="00511A69">
        <w:rPr>
          <w:rFonts w:ascii="Cambria" w:hAnsi="Cambria"/>
          <w:sz w:val="24"/>
          <w:szCs w:val="24"/>
        </w:rPr>
        <w:t xml:space="preserve">interactions of </w:t>
      </w:r>
      <w:r w:rsidR="00106B0C">
        <w:rPr>
          <w:rFonts w:ascii="Cambria" w:hAnsi="Cambria"/>
          <w:sz w:val="24"/>
          <w:szCs w:val="24"/>
        </w:rPr>
        <w:t>the immune</w:t>
      </w:r>
      <w:r w:rsidR="00511A69">
        <w:rPr>
          <w:rFonts w:ascii="Cambria" w:hAnsi="Cambria"/>
          <w:sz w:val="24"/>
          <w:szCs w:val="24"/>
        </w:rPr>
        <w:t xml:space="preserve"> system</w:t>
      </w:r>
      <w:r w:rsidR="00106B0C">
        <w:rPr>
          <w:rFonts w:ascii="Cambria" w:hAnsi="Cambria"/>
          <w:sz w:val="24"/>
          <w:szCs w:val="24"/>
        </w:rPr>
        <w:t xml:space="preserve"> </w:t>
      </w:r>
      <w:r w:rsidR="00511A69">
        <w:rPr>
          <w:rFonts w:ascii="Cambria" w:hAnsi="Cambria"/>
          <w:sz w:val="24"/>
          <w:szCs w:val="24"/>
        </w:rPr>
        <w:t>and</w:t>
      </w:r>
      <w:r w:rsidR="00106B0C">
        <w:rPr>
          <w:rFonts w:ascii="Cambria" w:hAnsi="Cambria"/>
          <w:sz w:val="24"/>
          <w:szCs w:val="24"/>
        </w:rPr>
        <w:t xml:space="preserve"> thyroid</w:t>
      </w:r>
      <w:r w:rsidR="0068109B">
        <w:rPr>
          <w:rFonts w:ascii="Cambria" w:hAnsi="Cambria"/>
          <w:sz w:val="24"/>
          <w:szCs w:val="24"/>
        </w:rPr>
        <w:t xml:space="preserve">.  </w:t>
      </w:r>
      <w:r w:rsidR="00791228">
        <w:rPr>
          <w:rFonts w:ascii="Cambria" w:hAnsi="Cambria"/>
          <w:sz w:val="24"/>
          <w:szCs w:val="24"/>
        </w:rPr>
        <w:t>The model</w:t>
      </w:r>
      <w:r w:rsidR="00943808">
        <w:rPr>
          <w:rFonts w:ascii="Cambria" w:hAnsi="Cambria"/>
          <w:sz w:val="24"/>
          <w:szCs w:val="24"/>
        </w:rPr>
        <w:t xml:space="preserve"> is</w:t>
      </w:r>
      <w:r w:rsidR="00791228">
        <w:rPr>
          <w:rFonts w:ascii="Cambria" w:hAnsi="Cambria"/>
          <w:sz w:val="24"/>
          <w:szCs w:val="24"/>
        </w:rPr>
        <w:t xml:space="preserve"> fitted to</w:t>
      </w:r>
      <w:r w:rsidR="00717EA5">
        <w:rPr>
          <w:rFonts w:ascii="Cambria" w:hAnsi="Cambria"/>
          <w:sz w:val="24"/>
          <w:szCs w:val="24"/>
        </w:rPr>
        <w:t xml:space="preserve"> UCLA health system patient data, </w:t>
      </w:r>
      <w:r w:rsidR="00AC08E3">
        <w:rPr>
          <w:rFonts w:ascii="Cambria" w:hAnsi="Cambria"/>
          <w:sz w:val="24"/>
          <w:szCs w:val="24"/>
        </w:rPr>
        <w:t>extend</w:t>
      </w:r>
      <w:r w:rsidR="00943808">
        <w:rPr>
          <w:rFonts w:ascii="Cambria" w:hAnsi="Cambria"/>
          <w:sz w:val="24"/>
          <w:szCs w:val="24"/>
        </w:rPr>
        <w:t>ing</w:t>
      </w:r>
      <w:r w:rsidR="00AC08E3">
        <w:rPr>
          <w:rFonts w:ascii="Cambria" w:hAnsi="Cambria"/>
          <w:sz w:val="24"/>
          <w:szCs w:val="24"/>
        </w:rPr>
        <w:t xml:space="preserve"> the capabilities of our validated </w:t>
      </w:r>
      <w:r w:rsidR="00943808">
        <w:rPr>
          <w:rFonts w:ascii="Cambria" w:hAnsi="Cambria"/>
          <w:sz w:val="24"/>
          <w:szCs w:val="24"/>
        </w:rPr>
        <w:t xml:space="preserve">patient specific </w:t>
      </w:r>
      <w:r w:rsidR="00AC08E3">
        <w:rPr>
          <w:rFonts w:ascii="Cambria" w:hAnsi="Cambria"/>
          <w:sz w:val="24"/>
          <w:szCs w:val="24"/>
        </w:rPr>
        <w:t>p-</w:t>
      </w:r>
      <w:r w:rsidR="009C5312">
        <w:rPr>
          <w:rFonts w:ascii="Cambria" w:hAnsi="Cambria"/>
          <w:sz w:val="24"/>
          <w:szCs w:val="24"/>
        </w:rPr>
        <w:t>THYROSIM</w:t>
      </w:r>
      <w:r w:rsidR="00AC08E3">
        <w:rPr>
          <w:rFonts w:ascii="Cambria" w:hAnsi="Cambria"/>
          <w:sz w:val="24"/>
          <w:szCs w:val="24"/>
        </w:rPr>
        <w:t xml:space="preserve"> model</w:t>
      </w:r>
      <w:r w:rsidR="00280D6F">
        <w:rPr>
          <w:rFonts w:ascii="Cambria" w:hAnsi="Cambria"/>
          <w:sz w:val="24"/>
          <w:szCs w:val="24"/>
        </w:rPr>
        <w:t>,</w:t>
      </w:r>
      <w:r w:rsidR="00AC08E3">
        <w:rPr>
          <w:rFonts w:ascii="Cambria" w:hAnsi="Cambria"/>
          <w:sz w:val="24"/>
          <w:szCs w:val="24"/>
        </w:rPr>
        <w:t xml:space="preserve"> allowing it to simulate the interplay of relevant immune components and the thyroid</w:t>
      </w:r>
      <w:r w:rsidR="00943808">
        <w:rPr>
          <w:rFonts w:ascii="Cambria" w:hAnsi="Cambria"/>
          <w:sz w:val="24"/>
          <w:szCs w:val="24"/>
        </w:rPr>
        <w:t xml:space="preserve"> of patients with HD</w:t>
      </w:r>
      <w:r w:rsidR="0068109B">
        <w:rPr>
          <w:rFonts w:ascii="Cambria" w:hAnsi="Cambria"/>
          <w:sz w:val="24"/>
          <w:szCs w:val="24"/>
        </w:rPr>
        <w:t xml:space="preserve">.  </w:t>
      </w:r>
    </w:p>
    <w:p w14:paraId="56257B57" w14:textId="77777777" w:rsidR="005952C4" w:rsidRDefault="005952C4" w:rsidP="005952C4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4B98860F" w14:textId="4B371D14" w:rsidR="005952C4" w:rsidRDefault="005952C4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  <w:sectPr w:rsidR="005952C4" w:rsidSect="00C71339">
          <w:head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9A927E7" w14:textId="15107F9C" w:rsidR="00BE6F86" w:rsidRDefault="00BE6F86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>
        <w:rPr>
          <w:rFonts w:ascii="Roboto" w:hAnsi="Roboto"/>
          <w:b/>
          <w:bCs/>
          <w:color w:val="1F3864" w:themeColor="accent1" w:themeShade="80"/>
          <w:sz w:val="28"/>
          <w:szCs w:val="28"/>
        </w:rPr>
        <w:t>Introduction</w:t>
      </w:r>
    </w:p>
    <w:p w14:paraId="4E0ED350" w14:textId="77777777" w:rsidR="005952C4" w:rsidRDefault="005952C4" w:rsidP="00940D33">
      <w:pPr>
        <w:rPr>
          <w:rFonts w:ascii="Cambria" w:hAnsi="Cambria"/>
          <w:sz w:val="24"/>
          <w:szCs w:val="24"/>
        </w:rPr>
        <w:sectPr w:rsidR="005952C4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1394C5" w14:textId="458747C3" w:rsidR="003D5BCB" w:rsidRPr="00503473" w:rsidRDefault="00940D33" w:rsidP="005952C4">
      <w:pPr>
        <w:jc w:val="both"/>
        <w:rPr>
          <w:rFonts w:ascii="Cambria" w:hAnsi="Cambria"/>
        </w:rPr>
      </w:pPr>
      <w:r w:rsidRPr="00503473">
        <w:rPr>
          <w:rFonts w:ascii="Cambria" w:hAnsi="Cambria"/>
        </w:rPr>
        <w:t>Hashimoto’s Disease (HD) is the most common autoimmune thyroid disease</w:t>
      </w:r>
      <w:r w:rsidR="00E35E2A">
        <w:rPr>
          <w:rFonts w:ascii="Cambria" w:hAnsi="Cambria"/>
        </w:rPr>
        <w:t>, c</w:t>
      </w:r>
      <w:r w:rsidRPr="00503473">
        <w:rPr>
          <w:rFonts w:ascii="Cambria" w:hAnsi="Cambria"/>
        </w:rPr>
        <w:t>aus</w:t>
      </w:r>
      <w:r w:rsidR="00E35E2A">
        <w:rPr>
          <w:rFonts w:ascii="Cambria" w:hAnsi="Cambria"/>
        </w:rPr>
        <w:t>ing</w:t>
      </w:r>
      <w:r w:rsidRPr="00503473">
        <w:rPr>
          <w:rFonts w:ascii="Cambria" w:hAnsi="Cambria"/>
        </w:rPr>
        <w:t xml:space="preserve"> roughly 30% of all cases of clinical hypothyroidism in the US</w:t>
      </w:r>
      <w:r w:rsidR="00B52F52">
        <w:rPr>
          <w:rFonts w:ascii="Cambria" w:hAnsi="Cambria"/>
          <w:vertAlign w:val="superscript"/>
        </w:rPr>
        <w:t>1</w:t>
      </w:r>
      <w:r w:rsidR="0068109B">
        <w:rPr>
          <w:rFonts w:ascii="Cambria" w:hAnsi="Cambria"/>
        </w:rPr>
        <w:t xml:space="preserve">.  </w:t>
      </w:r>
      <w:r w:rsidR="00E35E2A">
        <w:rPr>
          <w:rFonts w:ascii="Cambria" w:hAnsi="Cambria"/>
        </w:rPr>
        <w:t xml:space="preserve">HD is usually distinguished from other causes of hypothyroidism by the characteristic </w:t>
      </w:r>
      <w:r w:rsidR="00980CF4" w:rsidRPr="00503473">
        <w:rPr>
          <w:rFonts w:ascii="Cambria" w:hAnsi="Cambria"/>
        </w:rPr>
        <w:t>elevated thyroid peroxidase antibody (TPOAb) and</w:t>
      </w:r>
      <w:r w:rsidR="009C5312">
        <w:rPr>
          <w:rFonts w:ascii="Cambria" w:hAnsi="Cambria"/>
        </w:rPr>
        <w:t>, to a lesser extent,</w:t>
      </w:r>
      <w:r w:rsidR="0017747F">
        <w:rPr>
          <w:rFonts w:ascii="Cambria" w:hAnsi="Cambria"/>
        </w:rPr>
        <w:t xml:space="preserve"> </w:t>
      </w:r>
      <w:r w:rsidR="00980CF4" w:rsidRPr="00503473">
        <w:rPr>
          <w:rFonts w:ascii="Cambria" w:hAnsi="Cambria"/>
        </w:rPr>
        <w:t>thyroglobulin antibody (TGAb) serum levels</w:t>
      </w:r>
      <w:r w:rsidR="00E35E2A">
        <w:rPr>
          <w:rFonts w:ascii="Cambria" w:hAnsi="Cambria"/>
        </w:rPr>
        <w:t xml:space="preserve">, present in over </w:t>
      </w:r>
      <w:r w:rsidR="00E35E2A" w:rsidRPr="00E35E2A">
        <w:rPr>
          <w:rFonts w:ascii="Cambria" w:hAnsi="Cambria"/>
          <w:highlight w:val="yellow"/>
        </w:rPr>
        <w:t>90% (SOURCE) and 70% (SOURCE)</w:t>
      </w:r>
      <w:r w:rsidR="00E35E2A">
        <w:rPr>
          <w:rFonts w:ascii="Cambria" w:hAnsi="Cambria"/>
        </w:rPr>
        <w:t xml:space="preserve"> of HD patients</w:t>
      </w:r>
      <w:r w:rsidR="0068109B">
        <w:rPr>
          <w:rFonts w:ascii="Cambria" w:hAnsi="Cambria"/>
        </w:rPr>
        <w:t xml:space="preserve">.  </w:t>
      </w:r>
      <w:r w:rsidR="00980CF4" w:rsidRPr="00503473">
        <w:rPr>
          <w:rFonts w:ascii="Cambria" w:hAnsi="Cambria"/>
        </w:rPr>
        <w:t>These autoantibodies, along with</w:t>
      </w:r>
      <w:r w:rsidR="00E35E2A">
        <w:rPr>
          <w:rFonts w:ascii="Cambria" w:hAnsi="Cambria"/>
        </w:rPr>
        <w:t xml:space="preserve"> </w:t>
      </w:r>
      <w:r w:rsidR="00980CF4" w:rsidRPr="00503473">
        <w:rPr>
          <w:rFonts w:ascii="Cambria" w:hAnsi="Cambria"/>
        </w:rPr>
        <w:t xml:space="preserve">lymphocyte infiltration into the thyroid, are thought to cause thyroid cell apoptosis and subsequent hypothyroidism in HD, though the exact mechanism through which cell death occurs is not </w:t>
      </w:r>
      <w:r w:rsidR="00E35E2A">
        <w:rPr>
          <w:rFonts w:ascii="Cambria" w:hAnsi="Cambria"/>
        </w:rPr>
        <w:t xml:space="preserve">known </w:t>
      </w:r>
      <w:r w:rsidR="00980CF4" w:rsidRPr="00503473">
        <w:rPr>
          <w:rFonts w:ascii="Cambria" w:hAnsi="Cambria"/>
        </w:rPr>
        <w:t>definitively</w:t>
      </w:r>
      <w:r w:rsidR="00B52F52">
        <w:rPr>
          <w:rFonts w:ascii="Cambria" w:hAnsi="Cambria"/>
          <w:vertAlign w:val="superscript"/>
        </w:rPr>
        <w:t>2</w:t>
      </w:r>
      <w:r w:rsidR="0068109B">
        <w:rPr>
          <w:rFonts w:ascii="Cambria" w:hAnsi="Cambria"/>
        </w:rPr>
        <w:t xml:space="preserve">.  </w:t>
      </w:r>
      <w:r w:rsidR="00511A69" w:rsidRPr="00503473">
        <w:rPr>
          <w:rFonts w:ascii="Cambria" w:hAnsi="Cambria"/>
        </w:rPr>
        <w:t xml:space="preserve">The </w:t>
      </w:r>
      <w:r w:rsidR="00D061BE" w:rsidRPr="00503473">
        <w:rPr>
          <w:rFonts w:ascii="Cambria" w:hAnsi="Cambria"/>
        </w:rPr>
        <w:t xml:space="preserve">immune-mediated </w:t>
      </w:r>
      <w:r w:rsidR="00511A69" w:rsidRPr="00503473">
        <w:rPr>
          <w:rFonts w:ascii="Cambria" w:hAnsi="Cambria"/>
        </w:rPr>
        <w:t xml:space="preserve">destruction of the thyroid results in </w:t>
      </w:r>
      <w:r w:rsidR="00167F67" w:rsidRPr="00503473">
        <w:rPr>
          <w:rFonts w:ascii="Cambria" w:hAnsi="Cambria"/>
        </w:rPr>
        <w:t xml:space="preserve">the decreased </w:t>
      </w:r>
      <w:r w:rsidR="00511A69" w:rsidRPr="00503473">
        <w:rPr>
          <w:rFonts w:ascii="Cambria" w:hAnsi="Cambria"/>
        </w:rPr>
        <w:t xml:space="preserve">or </w:t>
      </w:r>
      <w:r w:rsidR="00167F67" w:rsidRPr="00503473">
        <w:rPr>
          <w:rFonts w:ascii="Cambria" w:hAnsi="Cambria"/>
        </w:rPr>
        <w:t>eliminated</w:t>
      </w:r>
      <w:r w:rsidR="00511A69" w:rsidRPr="00503473">
        <w:rPr>
          <w:rFonts w:ascii="Cambria" w:hAnsi="Cambria"/>
        </w:rPr>
        <w:t xml:space="preserve"> endogenous production of</w:t>
      </w:r>
      <w:r w:rsidR="00167F67" w:rsidRPr="00503473">
        <w:rPr>
          <w:rFonts w:ascii="Cambria" w:hAnsi="Cambria"/>
        </w:rPr>
        <w:t xml:space="preserve"> the</w:t>
      </w:r>
      <w:r w:rsidR="00511A69" w:rsidRPr="00503473">
        <w:rPr>
          <w:rFonts w:ascii="Cambria" w:hAnsi="Cambria"/>
        </w:rPr>
        <w:t xml:space="preserve"> </w:t>
      </w:r>
      <w:r w:rsidR="00167F67" w:rsidRPr="00503473">
        <w:rPr>
          <w:rFonts w:ascii="Cambria" w:hAnsi="Cambria"/>
        </w:rPr>
        <w:t xml:space="preserve">metabolically active thyroid </w:t>
      </w:r>
      <w:r w:rsidR="00511A69" w:rsidRPr="00503473">
        <w:rPr>
          <w:rFonts w:ascii="Cambria" w:hAnsi="Cambria"/>
        </w:rPr>
        <w:t xml:space="preserve">hormone </w:t>
      </w:r>
      <w:r w:rsidR="00167F67" w:rsidRPr="00503473">
        <w:rPr>
          <w:rFonts w:ascii="Cambria" w:hAnsi="Cambria"/>
        </w:rPr>
        <w:t>triiodothyronine (T3) and its precursor thyroxine (T4)</w:t>
      </w:r>
      <w:r w:rsidR="0068109B">
        <w:rPr>
          <w:rFonts w:ascii="Cambria" w:hAnsi="Cambria"/>
        </w:rPr>
        <w:t xml:space="preserve">.  </w:t>
      </w:r>
      <w:r w:rsidR="00167F67" w:rsidRPr="00503473">
        <w:rPr>
          <w:rFonts w:ascii="Cambria" w:hAnsi="Cambria"/>
        </w:rPr>
        <w:t xml:space="preserve"> </w:t>
      </w:r>
      <w:r w:rsidR="00FA5060" w:rsidRPr="00503473">
        <w:rPr>
          <w:rFonts w:ascii="Cambria" w:hAnsi="Cambria"/>
        </w:rPr>
        <w:t>As a result, t</w:t>
      </w:r>
      <w:r w:rsidR="00167F67" w:rsidRPr="00503473">
        <w:rPr>
          <w:rFonts w:ascii="Cambria" w:hAnsi="Cambria"/>
        </w:rPr>
        <w:t>he negative feedback of T3 and T4 upon the hypothalamus-pituitary-thyroid (HPT) axis is dramatically reduced</w:t>
      </w:r>
      <w:r w:rsidR="00FA5060" w:rsidRPr="00503473">
        <w:rPr>
          <w:rFonts w:ascii="Cambria" w:hAnsi="Cambria"/>
        </w:rPr>
        <w:t xml:space="preserve"> causing serum levels of thyroid stimulating hormone (TSH) to rise dramatically</w:t>
      </w:r>
      <w:r w:rsidR="00B52F52">
        <w:rPr>
          <w:rFonts w:ascii="Cambria" w:hAnsi="Cambria"/>
          <w:vertAlign w:val="superscript"/>
        </w:rPr>
        <w:t>3</w:t>
      </w:r>
      <w:r w:rsidR="00C22765">
        <w:rPr>
          <w:rFonts w:ascii="Cambria" w:hAnsi="Cambria"/>
        </w:rPr>
        <w:t xml:space="preserve"> </w:t>
      </w:r>
      <w:r w:rsidR="00FA5060" w:rsidRPr="00503473">
        <w:rPr>
          <w:rFonts w:ascii="Cambria" w:hAnsi="Cambria"/>
        </w:rPr>
        <w:t>(Figure 1)</w:t>
      </w:r>
      <w:r w:rsidR="0068109B">
        <w:rPr>
          <w:rFonts w:ascii="Cambria" w:hAnsi="Cambria"/>
        </w:rPr>
        <w:t xml:space="preserve">.  </w:t>
      </w:r>
    </w:p>
    <w:p w14:paraId="6DB33110" w14:textId="289A83ED" w:rsidR="00C71339" w:rsidRDefault="00FA5060" w:rsidP="005952C4">
      <w:pPr>
        <w:jc w:val="both"/>
        <w:rPr>
          <w:rFonts w:ascii="Cambria" w:hAnsi="Cambria"/>
        </w:rPr>
      </w:pPr>
      <w:r w:rsidRPr="00503473">
        <w:rPr>
          <w:rFonts w:ascii="Cambria" w:hAnsi="Cambria"/>
        </w:rPr>
        <w:t xml:space="preserve">The </w:t>
      </w:r>
      <w:r w:rsidR="00D061BE" w:rsidRPr="00503473">
        <w:rPr>
          <w:rFonts w:ascii="Cambria" w:hAnsi="Cambria"/>
        </w:rPr>
        <w:t xml:space="preserve">effects of thyroid hormones </w:t>
      </w:r>
      <w:r w:rsidR="00E35E2A">
        <w:rPr>
          <w:rFonts w:ascii="Cambria" w:hAnsi="Cambria"/>
        </w:rPr>
        <w:t xml:space="preserve">(THs) </w:t>
      </w:r>
      <w:r w:rsidR="00D061BE" w:rsidRPr="00503473">
        <w:rPr>
          <w:rFonts w:ascii="Cambria" w:hAnsi="Cambria"/>
        </w:rPr>
        <w:t>on</w:t>
      </w:r>
      <w:r w:rsidR="00955605">
        <w:rPr>
          <w:rFonts w:ascii="Cambria" w:hAnsi="Cambria"/>
        </w:rPr>
        <w:t xml:space="preserve"> the</w:t>
      </w:r>
      <w:r w:rsidRPr="00503473">
        <w:rPr>
          <w:rFonts w:ascii="Cambria" w:hAnsi="Cambria"/>
        </w:rPr>
        <w:t xml:space="preserve"> immune system</w:t>
      </w:r>
      <w:r w:rsidR="00D061BE" w:rsidRPr="00503473">
        <w:rPr>
          <w:rFonts w:ascii="Cambria" w:hAnsi="Cambria"/>
        </w:rPr>
        <w:t>, though not as well characterized as</w:t>
      </w:r>
      <w:r w:rsidR="0017747F">
        <w:rPr>
          <w:rFonts w:ascii="Cambria" w:hAnsi="Cambria"/>
        </w:rPr>
        <w:t xml:space="preserve"> </w:t>
      </w:r>
      <w:r w:rsidR="00D061BE" w:rsidRPr="00503473">
        <w:rPr>
          <w:rFonts w:ascii="Cambria" w:hAnsi="Cambria"/>
        </w:rPr>
        <w:t xml:space="preserve">immune </w:t>
      </w:r>
      <w:r w:rsidR="009C5312">
        <w:rPr>
          <w:rFonts w:ascii="Cambria" w:hAnsi="Cambria"/>
        </w:rPr>
        <w:t xml:space="preserve">component </w:t>
      </w:r>
      <w:r w:rsidR="00D061BE" w:rsidRPr="00503473">
        <w:rPr>
          <w:rFonts w:ascii="Cambria" w:hAnsi="Cambria"/>
        </w:rPr>
        <w:t>effects on the thyroid, may also play a significant role in the onset and development of HD</w:t>
      </w:r>
      <w:r w:rsidR="00B52F52">
        <w:rPr>
          <w:rFonts w:ascii="Cambria" w:hAnsi="Cambria"/>
          <w:vertAlign w:val="superscript"/>
        </w:rPr>
        <w:t>4</w:t>
      </w:r>
      <w:r w:rsidR="0068109B">
        <w:rPr>
          <w:rFonts w:ascii="Cambria" w:hAnsi="Cambria"/>
        </w:rPr>
        <w:t xml:space="preserve">.  </w:t>
      </w:r>
      <w:r w:rsidR="00D061BE" w:rsidRPr="00503473">
        <w:rPr>
          <w:rFonts w:ascii="Cambria" w:hAnsi="Cambria"/>
        </w:rPr>
        <w:t>T</w:t>
      </w:r>
      <w:r w:rsidR="00E35E2A">
        <w:rPr>
          <w:rFonts w:ascii="Cambria" w:hAnsi="Cambria"/>
        </w:rPr>
        <w:t>H</w:t>
      </w:r>
      <w:r w:rsidR="00D061BE" w:rsidRPr="00503473">
        <w:rPr>
          <w:rFonts w:ascii="Cambria" w:hAnsi="Cambria"/>
        </w:rPr>
        <w:t xml:space="preserve"> receptors exist </w:t>
      </w:r>
      <w:r w:rsidR="00C71339">
        <w:rPr>
          <w:rFonts w:ascii="Cambria" w:hAnsi="Cambria"/>
        </w:rPr>
        <w:t>on</w:t>
      </w:r>
      <w:r w:rsidR="00D061BE" w:rsidRPr="00503473">
        <w:rPr>
          <w:rFonts w:ascii="Cambria" w:hAnsi="Cambria"/>
        </w:rPr>
        <w:t xml:space="preserve"> the nuclei </w:t>
      </w:r>
      <w:r w:rsidR="00072930">
        <w:rPr>
          <w:rFonts w:ascii="Cambria" w:hAnsi="Cambria"/>
        </w:rPr>
        <w:t>of</w:t>
      </w:r>
      <w:r w:rsidR="00C71339">
        <w:rPr>
          <w:rFonts w:ascii="Cambria" w:hAnsi="Cambria"/>
        </w:rPr>
        <w:t xml:space="preserve"> </w:t>
      </w:r>
      <w:r w:rsidR="00D061BE" w:rsidRPr="00503473">
        <w:rPr>
          <w:rFonts w:ascii="Cambria" w:hAnsi="Cambria"/>
        </w:rPr>
        <w:t>immune cells</w:t>
      </w:r>
      <w:r w:rsidR="00072930">
        <w:rPr>
          <w:rFonts w:ascii="Cambria" w:hAnsi="Cambria"/>
        </w:rPr>
        <w:t>, including those</w:t>
      </w:r>
      <w:r w:rsidR="00D061BE" w:rsidRPr="00503473">
        <w:rPr>
          <w:rFonts w:ascii="Cambria" w:hAnsi="Cambria"/>
        </w:rPr>
        <w:t xml:space="preserve"> of particular</w:t>
      </w:r>
      <w:r w:rsidR="00C71339">
        <w:rPr>
          <w:rFonts w:ascii="Cambria" w:hAnsi="Cambria"/>
        </w:rPr>
        <w:t xml:space="preserve"> </w:t>
      </w:r>
      <w:r w:rsidR="00D061BE" w:rsidRPr="00503473">
        <w:rPr>
          <w:rFonts w:ascii="Cambria" w:hAnsi="Cambria"/>
        </w:rPr>
        <w:t xml:space="preserve">relevance to HD </w:t>
      </w:r>
      <w:r w:rsidR="00072930">
        <w:rPr>
          <w:rFonts w:ascii="Cambria" w:hAnsi="Cambria"/>
        </w:rPr>
        <w:t xml:space="preserve">such as </w:t>
      </w:r>
      <w:r w:rsidR="00D061BE" w:rsidRPr="00503473">
        <w:rPr>
          <w:rFonts w:ascii="Cambria" w:hAnsi="Cambria"/>
        </w:rPr>
        <w:t>antigen presenting cells (APCs), helper T-cells, and B-cells</w:t>
      </w:r>
      <w:r w:rsidR="00B52F52">
        <w:rPr>
          <w:rFonts w:ascii="Cambria" w:hAnsi="Cambria"/>
          <w:vertAlign w:val="superscript"/>
        </w:rPr>
        <w:t>5</w:t>
      </w:r>
      <w:r w:rsidR="00D061BE" w:rsidRPr="00503473">
        <w:rPr>
          <w:rFonts w:ascii="Cambria" w:hAnsi="Cambria"/>
        </w:rPr>
        <w:t>.</w:t>
      </w:r>
    </w:p>
    <w:p w14:paraId="34FC43D0" w14:textId="23C8102B" w:rsidR="00940D33" w:rsidRPr="00503473" w:rsidRDefault="00C71339" w:rsidP="005952C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vitro studies have shown that </w:t>
      </w:r>
      <w:r w:rsidR="003D5BCB" w:rsidRPr="00503473">
        <w:rPr>
          <w:rFonts w:ascii="Cambria" w:hAnsi="Cambria"/>
        </w:rPr>
        <w:t>APCs under high concentrations of combined T3 and T4 display accelerated antigen uptake, while increased T3 levels were shown to increase B-cell proliferation</w:t>
      </w:r>
      <w:r w:rsidR="00B52F52">
        <w:rPr>
          <w:rFonts w:ascii="Cambria" w:hAnsi="Cambria"/>
          <w:vertAlign w:val="superscript"/>
        </w:rPr>
        <w:t>4</w:t>
      </w:r>
      <w:r w:rsidR="0068109B">
        <w:rPr>
          <w:rFonts w:ascii="Cambria" w:hAnsi="Cambria"/>
        </w:rPr>
        <w:t xml:space="preserve">.  </w:t>
      </w:r>
      <w:r w:rsidR="003D5BCB" w:rsidRPr="00503473">
        <w:rPr>
          <w:rFonts w:ascii="Cambria" w:hAnsi="Cambria"/>
        </w:rPr>
        <w:t xml:space="preserve">The effects </w:t>
      </w:r>
      <w:r w:rsidR="00E35E2A">
        <w:rPr>
          <w:rFonts w:ascii="Cambria" w:hAnsi="Cambria"/>
        </w:rPr>
        <w:t>of THs on</w:t>
      </w:r>
      <w:r w:rsidR="003D5BCB" w:rsidRPr="00503473">
        <w:rPr>
          <w:rFonts w:ascii="Cambria" w:hAnsi="Cambria"/>
        </w:rPr>
        <w:t xml:space="preserve"> T-cells are less clear</w:t>
      </w:r>
      <w:r w:rsidR="00E35E2A">
        <w:rPr>
          <w:rFonts w:ascii="Cambria" w:hAnsi="Cambria"/>
        </w:rPr>
        <w:t xml:space="preserve">, and </w:t>
      </w:r>
      <w:r w:rsidR="003D5BCB" w:rsidRPr="00503473">
        <w:rPr>
          <w:rFonts w:ascii="Cambria" w:hAnsi="Cambria"/>
        </w:rPr>
        <w:t>different studies have found contradictory effects of thyroid hormone including T-cell apoptosis and enhanced T-cell anti-tumor activity</w:t>
      </w:r>
      <w:r w:rsidR="00B52F52">
        <w:rPr>
          <w:rFonts w:ascii="Cambria" w:hAnsi="Cambria"/>
          <w:vertAlign w:val="superscript"/>
        </w:rPr>
        <w:t>5</w:t>
      </w:r>
      <w:r w:rsidR="0068109B">
        <w:rPr>
          <w:rFonts w:ascii="Cambria" w:hAnsi="Cambria"/>
        </w:rPr>
        <w:t xml:space="preserve">.  </w:t>
      </w:r>
      <w:r w:rsidR="003D5BCB" w:rsidRPr="00503473">
        <w:rPr>
          <w:rFonts w:ascii="Cambria" w:hAnsi="Cambria"/>
        </w:rPr>
        <w:t>Most clinical literature, however,</w:t>
      </w:r>
      <w:r w:rsidR="00AC08E3" w:rsidRPr="00503473">
        <w:rPr>
          <w:rFonts w:ascii="Cambria" w:hAnsi="Cambria"/>
        </w:rPr>
        <w:t xml:space="preserve"> suggests T3 and T4 inhibit inflammatory response and trigger T-cell apoptosis</w:t>
      </w:r>
      <w:r w:rsidR="0068109B">
        <w:rPr>
          <w:rFonts w:ascii="Cambria" w:hAnsi="Cambria"/>
        </w:rPr>
        <w:t xml:space="preserve">.  </w:t>
      </w:r>
      <w:r w:rsidR="00AC08E3" w:rsidRPr="00E35E2A">
        <w:rPr>
          <w:rFonts w:ascii="Cambria" w:hAnsi="Cambria"/>
          <w:highlight w:val="yellow"/>
        </w:rPr>
        <w:t xml:space="preserve">This aligns with the common clinical observation of decreased T3 and T4 levels resembling central hypothyroidism during severe illness despite euthyroid TSH levels in a </w:t>
      </w:r>
      <w:r w:rsidR="00D061BE" w:rsidRPr="00E35E2A">
        <w:rPr>
          <w:rFonts w:ascii="Cambria" w:hAnsi="Cambria"/>
          <w:highlight w:val="yellow"/>
        </w:rPr>
        <w:t>phenomenon</w:t>
      </w:r>
      <w:r w:rsidR="00AC08E3" w:rsidRPr="00E35E2A">
        <w:rPr>
          <w:rFonts w:ascii="Cambria" w:hAnsi="Cambria"/>
          <w:highlight w:val="yellow"/>
        </w:rPr>
        <w:t xml:space="preserve"> known as non-thyroidal illness syndrome</w:t>
      </w:r>
      <w:r w:rsidR="00B52F52" w:rsidRPr="00E35E2A">
        <w:rPr>
          <w:rFonts w:ascii="Cambria" w:hAnsi="Cambria"/>
          <w:highlight w:val="yellow"/>
          <w:vertAlign w:val="superscript"/>
        </w:rPr>
        <w:t>5</w:t>
      </w:r>
      <w:r w:rsidR="0068109B">
        <w:rPr>
          <w:rFonts w:ascii="Cambria" w:hAnsi="Cambria"/>
          <w:highlight w:val="yellow"/>
        </w:rPr>
        <w:t xml:space="preserve">.  </w:t>
      </w:r>
    </w:p>
    <w:p w14:paraId="4BB9DB6D" w14:textId="257CC3F6" w:rsidR="00072930" w:rsidRPr="00503473" w:rsidRDefault="00A62288" w:rsidP="005952C4">
      <w:pPr>
        <w:jc w:val="both"/>
        <w:rPr>
          <w:rFonts w:ascii="Cambria" w:hAnsi="Cambria"/>
        </w:rPr>
        <w:sectPr w:rsidR="00072930" w:rsidRPr="00503473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03473">
        <w:rPr>
          <w:rFonts w:ascii="Cambria" w:hAnsi="Cambria"/>
        </w:rPr>
        <w:t xml:space="preserve">In this </w:t>
      </w:r>
      <w:r w:rsidR="009C5312">
        <w:rPr>
          <w:rFonts w:ascii="Cambria" w:hAnsi="Cambria"/>
        </w:rPr>
        <w:t>work</w:t>
      </w:r>
      <w:r w:rsidRPr="00503473">
        <w:rPr>
          <w:rFonts w:ascii="Cambria" w:hAnsi="Cambria"/>
        </w:rPr>
        <w:t xml:space="preserve">, we model </w:t>
      </w:r>
      <w:r w:rsidR="009C5312">
        <w:rPr>
          <w:rFonts w:ascii="Cambria" w:hAnsi="Cambria"/>
        </w:rPr>
        <w:t xml:space="preserve">and simulate </w:t>
      </w:r>
      <w:r w:rsidRPr="00503473">
        <w:rPr>
          <w:rFonts w:ascii="Cambria" w:hAnsi="Cambria"/>
        </w:rPr>
        <w:t>the interplay of the immune system and thyroid computationally</w:t>
      </w:r>
      <w:r w:rsidR="0068109B">
        <w:rPr>
          <w:rFonts w:ascii="Cambria" w:hAnsi="Cambria"/>
        </w:rPr>
        <w:t xml:space="preserve">.  </w:t>
      </w:r>
      <w:r w:rsidR="00E35E2A">
        <w:rPr>
          <w:rFonts w:ascii="Cambria" w:hAnsi="Cambria"/>
        </w:rPr>
        <w:t>W</w:t>
      </w:r>
      <w:r w:rsidRPr="00503473">
        <w:rPr>
          <w:rFonts w:ascii="Cambria" w:hAnsi="Cambria"/>
        </w:rPr>
        <w:t>e constructed Thyr</w:t>
      </w:r>
      <w:r w:rsidR="009C5312" w:rsidRPr="00503473">
        <w:rPr>
          <w:rFonts w:ascii="Cambria" w:hAnsi="Cambria"/>
        </w:rPr>
        <w:t>IM</w:t>
      </w:r>
      <w:r w:rsidRPr="00503473">
        <w:rPr>
          <w:rFonts w:ascii="Cambria" w:hAnsi="Cambria"/>
        </w:rPr>
        <w:t xml:space="preserve">sim, expanding upon our earlier </w:t>
      </w:r>
      <w:r w:rsidR="009C5312">
        <w:rPr>
          <w:rFonts w:ascii="Cambria" w:hAnsi="Cambria"/>
        </w:rPr>
        <w:t xml:space="preserve">patient specific </w:t>
      </w:r>
      <w:r w:rsidRPr="00503473">
        <w:rPr>
          <w:rFonts w:ascii="Cambria" w:hAnsi="Cambria"/>
        </w:rPr>
        <w:t xml:space="preserve">model </w:t>
      </w:r>
      <w:r w:rsidR="009C5312">
        <w:rPr>
          <w:rFonts w:ascii="Cambria" w:hAnsi="Cambria"/>
          <w:sz w:val="24"/>
          <w:szCs w:val="24"/>
        </w:rPr>
        <w:t>p-THYROSIM</w:t>
      </w:r>
      <w:r w:rsidR="00B52F52">
        <w:rPr>
          <w:rFonts w:ascii="Cambria" w:hAnsi="Cambria"/>
          <w:vertAlign w:val="superscript"/>
        </w:rPr>
        <w:t>6</w:t>
      </w:r>
      <w:r w:rsidR="006E0140" w:rsidRPr="00503473">
        <w:rPr>
          <w:rFonts w:ascii="Cambria" w:hAnsi="Cambria"/>
        </w:rPr>
        <w:t xml:space="preserve"> with a</w:t>
      </w:r>
      <w:r w:rsidRPr="00503473">
        <w:rPr>
          <w:rFonts w:ascii="Cambria" w:hAnsi="Cambria"/>
        </w:rPr>
        <w:t xml:space="preserve"> novel immune submodel</w:t>
      </w:r>
      <w:r w:rsidR="006E0140" w:rsidRPr="00503473">
        <w:rPr>
          <w:rFonts w:ascii="Cambria" w:hAnsi="Cambria"/>
        </w:rPr>
        <w:t xml:space="preserve"> </w:t>
      </w:r>
      <w:r w:rsidR="00B52F52">
        <w:rPr>
          <w:rFonts w:ascii="Cambria" w:hAnsi="Cambria"/>
        </w:rPr>
        <w:t>based on the physiological system depicted in Figure 1</w:t>
      </w:r>
      <w:r w:rsidR="0068109B">
        <w:rPr>
          <w:rFonts w:ascii="Cambria" w:hAnsi="Cambria"/>
        </w:rPr>
        <w:t xml:space="preserve">.  </w:t>
      </w:r>
      <w:r w:rsidR="00072930">
        <w:rPr>
          <w:rFonts w:ascii="Cambria" w:hAnsi="Cambria"/>
        </w:rPr>
        <w:t>Several candidate models were fit</w:t>
      </w:r>
      <w:r w:rsidR="009C5312">
        <w:rPr>
          <w:rFonts w:ascii="Cambria" w:hAnsi="Cambria"/>
        </w:rPr>
        <w:t>ted</w:t>
      </w:r>
      <w:r w:rsidR="00072930">
        <w:rPr>
          <w:rFonts w:ascii="Cambria" w:hAnsi="Cambria"/>
        </w:rPr>
        <w:t xml:space="preserve"> to anonymized, retrospectively collected data from patients diagnosed with Hashimoto’s disease in the UCLA Health system database described in detail in the methods section</w:t>
      </w:r>
      <w:r w:rsidR="0068109B">
        <w:rPr>
          <w:rFonts w:ascii="Cambria" w:hAnsi="Cambria"/>
        </w:rPr>
        <w:t xml:space="preserve">.  </w:t>
      </w:r>
      <w:r w:rsidR="00072930">
        <w:rPr>
          <w:rFonts w:ascii="Cambria" w:hAnsi="Cambria"/>
        </w:rPr>
        <w:t xml:space="preserve">The best preforming model was refined </w:t>
      </w:r>
      <w:r w:rsidR="00E35E2A">
        <w:rPr>
          <w:rFonts w:ascii="Cambria" w:hAnsi="Cambria"/>
        </w:rPr>
        <w:t xml:space="preserve">with a small </w:t>
      </w:r>
      <w:r w:rsidR="00E35E2A" w:rsidRPr="00E35E2A">
        <w:rPr>
          <w:rFonts w:ascii="Cambria" w:hAnsi="Cambria"/>
          <w:highlight w:val="yellow"/>
        </w:rPr>
        <w:t>cohort of XX patients</w:t>
      </w:r>
      <w:r w:rsidR="00E35E2A">
        <w:rPr>
          <w:rFonts w:ascii="Cambria" w:hAnsi="Cambria"/>
        </w:rPr>
        <w:t>.</w:t>
      </w:r>
    </w:p>
    <w:p w14:paraId="139822D0" w14:textId="0F9B789D" w:rsidR="00F116EE" w:rsidRPr="0017747F" w:rsidRDefault="00F116EE" w:rsidP="0017747F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3ED57C" wp14:editId="4FAFF091">
            <wp:simplePos x="0" y="0"/>
            <wp:positionH relativeFrom="column">
              <wp:posOffset>518764</wp:posOffset>
            </wp:positionH>
            <wp:positionV relativeFrom="paragraph">
              <wp:posOffset>36844</wp:posOffset>
            </wp:positionV>
            <wp:extent cx="6621929" cy="4023719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" b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929" cy="402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D5F74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1534C38C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0C37F54F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48F9BE27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41373C2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AED459D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35D67318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46E46DE5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1EBB1DAE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5A879EF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6C05ACF3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2733A25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0D0F595D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62D229DE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663F615E" w14:textId="77777777" w:rsidR="00DE45C1" w:rsidRDefault="00DE45C1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56356538" w14:textId="77777777" w:rsidR="001B2D6D" w:rsidRDefault="001B2D6D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198F8F34" w14:textId="28552BC4" w:rsidR="00F116EE" w:rsidRPr="00F116EE" w:rsidRDefault="00F116EE" w:rsidP="00F116EE">
      <w:pPr>
        <w:rPr>
          <w:rFonts w:ascii="Cambria" w:eastAsiaTheme="minorEastAsia" w:hAnsi="Cambria" w:cs="Arial"/>
          <w:sz w:val="18"/>
          <w:szCs w:val="18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Figure 1: </w:t>
      </w:r>
      <w:r>
        <w:rPr>
          <w:rFonts w:ascii="Cambria" w:eastAsiaTheme="minorEastAsia" w:hAnsi="Cambria" w:cs="Arial"/>
          <w:sz w:val="18"/>
          <w:szCs w:val="18"/>
        </w:rPr>
        <w:t>Cartoon model of primary</w:t>
      </w:r>
      <w:r w:rsidR="009C5312">
        <w:rPr>
          <w:rFonts w:ascii="Cambria" w:eastAsiaTheme="minorEastAsia" w:hAnsi="Cambria" w:cs="Arial"/>
          <w:sz w:val="18"/>
          <w:szCs w:val="18"/>
        </w:rPr>
        <w:t xml:space="preserve"> feedforward and feedback</w:t>
      </w:r>
      <w:r>
        <w:rPr>
          <w:rFonts w:ascii="Cambria" w:eastAsiaTheme="minorEastAsia" w:hAnsi="Cambria" w:cs="Arial"/>
          <w:sz w:val="18"/>
          <w:szCs w:val="18"/>
        </w:rPr>
        <w:t xml:space="preserve"> thyroid-immune</w:t>
      </w:r>
      <w:r w:rsidR="009C5312">
        <w:rPr>
          <w:rFonts w:ascii="Cambria" w:eastAsiaTheme="minorEastAsia" w:hAnsi="Cambria" w:cs="Arial"/>
          <w:sz w:val="18"/>
          <w:szCs w:val="18"/>
        </w:rPr>
        <w:t xml:space="preserve"> system component</w:t>
      </w:r>
      <w:r>
        <w:rPr>
          <w:rFonts w:ascii="Cambria" w:eastAsiaTheme="minorEastAsia" w:hAnsi="Cambria" w:cs="Arial"/>
          <w:sz w:val="18"/>
          <w:szCs w:val="18"/>
        </w:rPr>
        <w:t xml:space="preserve"> interaction</w:t>
      </w:r>
      <w:r w:rsidR="009C5312">
        <w:rPr>
          <w:rFonts w:ascii="Cambria" w:eastAsiaTheme="minorEastAsia" w:hAnsi="Cambria" w:cs="Arial"/>
          <w:sz w:val="18"/>
          <w:szCs w:val="18"/>
        </w:rPr>
        <w:t>s</w:t>
      </w:r>
      <w:r>
        <w:rPr>
          <w:rFonts w:ascii="Cambria" w:eastAsiaTheme="minorEastAsia" w:hAnsi="Cambria" w:cs="Arial"/>
          <w:sz w:val="18"/>
          <w:szCs w:val="18"/>
        </w:rPr>
        <w:t xml:space="preserve"> in HD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Right side of figure depicts classical hypothalamus-pituitary-thyroid (HPT) axis regulation of thyroid hormones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Left depicts autoantigen recognition by antigen presenting cells (dendritic cell in figure) and resulting autoantibody production by plasma cells which causes thyroid cell death in HD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Cytokines, T-cells, antibodies, and antigen presenting cells are grouped and simplified as appropriate in the computational model</w:t>
      </w:r>
      <w:r w:rsidR="00515499">
        <w:rPr>
          <w:rFonts w:ascii="Cambria" w:eastAsiaTheme="minorEastAsia" w:hAnsi="Cambria" w:cs="Arial"/>
          <w:sz w:val="18"/>
          <w:szCs w:val="18"/>
        </w:rPr>
        <w:t>.</w:t>
      </w:r>
    </w:p>
    <w:p w14:paraId="2488447F" w14:textId="30E94FAD" w:rsidR="00BE6F86" w:rsidRPr="00503473" w:rsidRDefault="00BE6F86" w:rsidP="00BE6F86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 w:rsidRPr="00503473">
        <w:rPr>
          <w:rFonts w:ascii="Roboto" w:hAnsi="Roboto"/>
          <w:b/>
          <w:bCs/>
          <w:color w:val="1F3864" w:themeColor="accent1" w:themeShade="80"/>
          <w:sz w:val="28"/>
          <w:szCs w:val="28"/>
        </w:rPr>
        <w:t>Methods</w:t>
      </w:r>
      <w:r w:rsidR="00B46549" w:rsidRPr="00503473">
        <w:rPr>
          <w:rFonts w:ascii="Roboto" w:hAnsi="Roboto"/>
          <w:b/>
          <w:bCs/>
          <w:color w:val="1F3864" w:themeColor="accent1" w:themeShade="80"/>
          <w:sz w:val="28"/>
          <w:szCs w:val="28"/>
        </w:rPr>
        <w:t xml:space="preserve"> and Data</w:t>
      </w:r>
    </w:p>
    <w:p w14:paraId="62937D93" w14:textId="77777777" w:rsidR="00CE5184" w:rsidRPr="00503473" w:rsidRDefault="00CE5184" w:rsidP="00BE6F86">
      <w:pPr>
        <w:rPr>
          <w:rFonts w:ascii="Roboto" w:hAnsi="Roboto"/>
          <w:b/>
          <w:bCs/>
          <w:color w:val="595959" w:themeColor="text1" w:themeTint="A6"/>
        </w:rPr>
        <w:sectPr w:rsidR="00CE5184" w:rsidRPr="00503473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318716" w14:textId="40BFD503" w:rsidR="00196B5B" w:rsidRDefault="00196B5B" w:rsidP="005952C4">
      <w:pPr>
        <w:rPr>
          <w:rFonts w:ascii="Cambria" w:hAnsi="Cambria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Data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>
        <w:rPr>
          <w:rFonts w:ascii="Cambria" w:hAnsi="Cambria"/>
        </w:rPr>
        <w:t>Longitudinal patient data was taken from the UCLA Health system Data Discovery Repository,</w:t>
      </w:r>
      <w:r w:rsidR="007B2BA4">
        <w:rPr>
          <w:rFonts w:ascii="Cambria" w:hAnsi="Cambria"/>
        </w:rPr>
        <w:t xml:space="preserve"> a database comprised of </w:t>
      </w:r>
      <w:r w:rsidRPr="00196B5B">
        <w:rPr>
          <w:rFonts w:ascii="Cambria" w:hAnsi="Cambria"/>
        </w:rPr>
        <w:t xml:space="preserve">partially de-identified and date-shifted patient UCLA Health electronic medical records </w:t>
      </w:r>
      <w:r w:rsidR="007B2BA4">
        <w:rPr>
          <w:rFonts w:ascii="Cambria" w:hAnsi="Cambria"/>
        </w:rPr>
        <w:t>dating back</w:t>
      </w:r>
      <w:r w:rsidR="00C06176">
        <w:rPr>
          <w:rFonts w:ascii="Cambria" w:hAnsi="Cambria"/>
        </w:rPr>
        <w:t xml:space="preserve"> 5 years, </w:t>
      </w:r>
      <w:r w:rsidR="007B2BA4">
        <w:rPr>
          <w:rFonts w:ascii="Cambria" w:hAnsi="Cambria"/>
        </w:rPr>
        <w:t xml:space="preserve"> to March 201</w:t>
      </w:r>
      <w:r w:rsidR="00C06176">
        <w:rPr>
          <w:rFonts w:ascii="Cambria" w:hAnsi="Cambria"/>
        </w:rPr>
        <w:t>8</w:t>
      </w:r>
      <w:r w:rsidR="0068109B">
        <w:rPr>
          <w:rFonts w:ascii="Cambria" w:hAnsi="Cambria"/>
        </w:rPr>
        <w:t xml:space="preserve">.  </w:t>
      </w:r>
      <w:r w:rsidR="007B2BA4">
        <w:rPr>
          <w:rFonts w:ascii="Cambria" w:hAnsi="Cambria"/>
        </w:rPr>
        <w:t xml:space="preserve">Patients were included in the study based on the following criteria: (1) the patient was diagnosed with Hashimoto’s thyroiditis at UCLA Health system facility between </w:t>
      </w:r>
      <w:r w:rsidR="00DE45C1">
        <w:rPr>
          <w:rFonts w:ascii="Cambria" w:hAnsi="Cambria"/>
        </w:rPr>
        <w:t xml:space="preserve">January </w:t>
      </w:r>
      <w:r w:rsidR="007B2BA4" w:rsidRPr="00DE45C1">
        <w:rPr>
          <w:rFonts w:ascii="Cambria" w:hAnsi="Cambria"/>
        </w:rPr>
        <w:t>201</w:t>
      </w:r>
      <w:r w:rsidR="00DE45C1" w:rsidRPr="00DE45C1">
        <w:rPr>
          <w:rFonts w:ascii="Cambria" w:hAnsi="Cambria"/>
        </w:rPr>
        <w:t>8</w:t>
      </w:r>
      <w:r w:rsidR="007B2BA4">
        <w:rPr>
          <w:rFonts w:ascii="Cambria" w:hAnsi="Cambria"/>
        </w:rPr>
        <w:t xml:space="preserve"> and </w:t>
      </w:r>
      <w:r w:rsidR="00740A00">
        <w:rPr>
          <w:rFonts w:ascii="Cambria" w:hAnsi="Cambria"/>
        </w:rPr>
        <w:t>June</w:t>
      </w:r>
      <w:r w:rsidR="007B2BA4">
        <w:rPr>
          <w:rFonts w:ascii="Cambria" w:hAnsi="Cambria"/>
        </w:rPr>
        <w:t xml:space="preserve"> 2023 (2) the patient had one or more of Free T4</w:t>
      </w:r>
      <w:r w:rsidR="00C06176">
        <w:rPr>
          <w:rFonts w:ascii="Cambria" w:hAnsi="Cambria"/>
        </w:rPr>
        <w:t xml:space="preserve"> (FT4)</w:t>
      </w:r>
      <w:r w:rsidR="007B2BA4">
        <w:rPr>
          <w:rFonts w:ascii="Cambria" w:hAnsi="Cambria"/>
        </w:rPr>
        <w:t>, Free T3</w:t>
      </w:r>
      <w:r w:rsidR="00C06176">
        <w:rPr>
          <w:rFonts w:ascii="Cambria" w:hAnsi="Cambria"/>
        </w:rPr>
        <w:t xml:space="preserve"> (FT3)</w:t>
      </w:r>
      <w:r w:rsidR="007B2BA4">
        <w:rPr>
          <w:rFonts w:ascii="Cambria" w:hAnsi="Cambria"/>
        </w:rPr>
        <w:t xml:space="preserve">, TSH, TPOAb, TGAb or Lymphocyte </w:t>
      </w:r>
      <w:r w:rsidR="00C06176">
        <w:rPr>
          <w:rFonts w:ascii="Cambria" w:hAnsi="Cambria"/>
        </w:rPr>
        <w:t>e</w:t>
      </w:r>
      <w:r w:rsidR="007B2BA4">
        <w:rPr>
          <w:rFonts w:ascii="Cambria" w:hAnsi="Cambria"/>
        </w:rPr>
        <w:t>numeration lab</w:t>
      </w:r>
      <w:r w:rsidR="00740A00">
        <w:rPr>
          <w:rFonts w:ascii="Cambria" w:hAnsi="Cambria"/>
        </w:rPr>
        <w:t xml:space="preserve"> results between January 2018 and June 2023</w:t>
      </w:r>
      <w:r w:rsidR="007B2BA4">
        <w:rPr>
          <w:rFonts w:ascii="Cambria" w:hAnsi="Cambria"/>
        </w:rPr>
        <w:t xml:space="preserve"> (3) the patient either received no thyroid medication or </w:t>
      </w:r>
      <w:r w:rsidR="00740A00">
        <w:rPr>
          <w:rFonts w:ascii="Cambria" w:hAnsi="Cambria"/>
        </w:rPr>
        <w:t>had a complete history of thyroid medication (levothyroxine</w:t>
      </w:r>
      <w:r w:rsidR="00C06176">
        <w:rPr>
          <w:rFonts w:ascii="Cambria" w:hAnsi="Cambria"/>
        </w:rPr>
        <w:t xml:space="preserve"> (LT4) a</w:t>
      </w:r>
      <w:commentRangeStart w:id="1"/>
      <w:r w:rsidR="00C06176">
        <w:rPr>
          <w:rFonts w:ascii="Cambria" w:hAnsi="Cambria"/>
        </w:rPr>
        <w:t>nd/</w:t>
      </w:r>
      <w:commentRangeStart w:id="2"/>
      <w:r w:rsidR="00C06176">
        <w:rPr>
          <w:rFonts w:ascii="Cambria" w:hAnsi="Cambria"/>
        </w:rPr>
        <w:t>or</w:t>
      </w:r>
      <w:commentRangeEnd w:id="1"/>
      <w:commentRangeEnd w:id="2"/>
      <w:r w:rsidR="003907B8">
        <w:rPr>
          <w:rStyle w:val="CommentReference"/>
        </w:rPr>
        <w:commentReference w:id="2"/>
      </w:r>
      <w:r w:rsidR="00557755">
        <w:rPr>
          <w:rStyle w:val="CommentReference"/>
        </w:rPr>
        <w:commentReference w:id="1"/>
      </w:r>
      <w:r w:rsidR="00740A00">
        <w:rPr>
          <w:rFonts w:ascii="Cambria" w:hAnsi="Cambria"/>
        </w:rPr>
        <w:t>lyothyronine,) during the period where lab data was available</w:t>
      </w:r>
      <w:r w:rsidR="0068109B">
        <w:rPr>
          <w:rFonts w:ascii="Cambria" w:hAnsi="Cambria"/>
        </w:rPr>
        <w:t xml:space="preserve">.  </w:t>
      </w:r>
      <w:r w:rsidR="007B2BA4">
        <w:rPr>
          <w:rFonts w:ascii="Cambria" w:hAnsi="Cambria"/>
        </w:rPr>
        <w:t>Patients who had ever been diagnosed with thyroid cancer</w:t>
      </w:r>
      <w:r w:rsidR="00C06176">
        <w:rPr>
          <w:rFonts w:ascii="Cambria" w:hAnsi="Cambria"/>
        </w:rPr>
        <w:t xml:space="preserve"> or </w:t>
      </w:r>
      <w:commentRangeStart w:id="3"/>
      <w:r w:rsidR="00C06176">
        <w:rPr>
          <w:rFonts w:ascii="Cambria" w:hAnsi="Cambria"/>
        </w:rPr>
        <w:t>diabetes</w:t>
      </w:r>
      <w:commentRangeEnd w:id="3"/>
      <w:r w:rsidR="003907B8">
        <w:rPr>
          <w:rStyle w:val="CommentReference"/>
        </w:rPr>
        <w:commentReference w:id="3"/>
      </w:r>
      <w:r w:rsidR="007B2BA4">
        <w:rPr>
          <w:rFonts w:ascii="Cambria" w:hAnsi="Cambria"/>
        </w:rPr>
        <w:t xml:space="preserve"> or who were pregnant anytime between March 2013 and May 2023 were excluded from the study.</w:t>
      </w:r>
    </w:p>
    <w:p w14:paraId="391B1365" w14:textId="691925D5" w:rsidR="00196B5B" w:rsidRDefault="00C06176" w:rsidP="005952C4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>
        <w:rPr>
          <w:rFonts w:ascii="Cambria" w:hAnsi="Cambria"/>
        </w:rPr>
        <w:t>From</w:t>
      </w:r>
      <w:r w:rsidR="007B2BA4">
        <w:rPr>
          <w:rFonts w:ascii="Cambria" w:hAnsi="Cambria"/>
        </w:rPr>
        <w:t xml:space="preserve"> the pool of remaining patients (PATIENT STATS </w:t>
      </w:r>
      <w:r w:rsidR="000378C4">
        <w:rPr>
          <w:rFonts w:ascii="Cambria" w:hAnsi="Cambria"/>
        </w:rPr>
        <w:t>TABLE ABOVE</w:t>
      </w:r>
      <w:r w:rsidR="007B2BA4">
        <w:rPr>
          <w:rFonts w:ascii="Cambria" w:hAnsi="Cambria"/>
        </w:rPr>
        <w:t xml:space="preserve">), </w:t>
      </w:r>
      <w:r w:rsidR="00740A00">
        <w:rPr>
          <w:rFonts w:ascii="Cambria" w:hAnsi="Cambria"/>
        </w:rPr>
        <w:t xml:space="preserve">XX patients with XYZ characteristics were selected for </w:t>
      </w:r>
      <w:r>
        <w:rPr>
          <w:rFonts w:ascii="Cambria" w:hAnsi="Cambria"/>
        </w:rPr>
        <w:t xml:space="preserve">fitting </w:t>
      </w:r>
      <w:r w:rsidR="00740A00">
        <w:rPr>
          <w:rFonts w:ascii="Cambria" w:hAnsi="Cambria"/>
        </w:rPr>
        <w:t>Thyro</w:t>
      </w:r>
      <w:r>
        <w:rPr>
          <w:rFonts w:ascii="Cambria" w:hAnsi="Cambria"/>
        </w:rPr>
        <w:t>IM</w:t>
      </w:r>
      <w:r w:rsidR="00740A00">
        <w:rPr>
          <w:rFonts w:ascii="Cambria" w:hAnsi="Cambria"/>
        </w:rPr>
        <w:t xml:space="preserve">sim </w:t>
      </w:r>
      <w:r w:rsidR="003907B8">
        <w:rPr>
          <w:rFonts w:ascii="Cambria" w:hAnsi="Cambria"/>
        </w:rPr>
        <w:t xml:space="preserve">on </w:t>
      </w:r>
      <w:r>
        <w:rPr>
          <w:rFonts w:ascii="Cambria" w:hAnsi="Cambria"/>
        </w:rPr>
        <w:t>induvial data sets.</w:t>
      </w:r>
    </w:p>
    <w:p w14:paraId="1301D530" w14:textId="77777777" w:rsidR="00483EAE" w:rsidRDefault="00483EAE" w:rsidP="005952C4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</w:p>
    <w:p w14:paraId="1E072283" w14:textId="079B606E" w:rsidR="00CE5184" w:rsidRPr="00503473" w:rsidRDefault="0006159F" w:rsidP="005952C4">
      <w:pPr>
        <w:rPr>
          <w:rFonts w:ascii="Roboto" w:hAnsi="Roboto"/>
          <w:b/>
          <w:bCs/>
          <w:color w:val="595959" w:themeColor="text1" w:themeTint="A6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Compartment Selection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="00196B5B">
        <w:rPr>
          <w:rFonts w:ascii="Cambria" w:hAnsi="Cambria"/>
        </w:rPr>
        <w:t>To maintain a balance between physiological accuracy and model complexity</w:t>
      </w:r>
      <w:r w:rsidR="00740A00">
        <w:rPr>
          <w:rFonts w:ascii="Cambria" w:hAnsi="Cambria"/>
        </w:rPr>
        <w:t xml:space="preserve"> in the context of</w:t>
      </w:r>
      <w:r w:rsidR="00196B5B">
        <w:rPr>
          <w:rFonts w:ascii="Cambria" w:hAnsi="Cambria"/>
        </w:rPr>
        <w:t xml:space="preserve"> data available for fitting, the </w:t>
      </w:r>
      <w:r w:rsidR="00B443F9" w:rsidRPr="00503473">
        <w:rPr>
          <w:rFonts w:ascii="Cambria" w:hAnsi="Cambria"/>
        </w:rPr>
        <w:t xml:space="preserve">most essential </w:t>
      </w:r>
      <w:r w:rsidR="006A649A" w:rsidRPr="00503473">
        <w:rPr>
          <w:rFonts w:ascii="Cambria" w:hAnsi="Cambria"/>
        </w:rPr>
        <w:t>comp</w:t>
      </w:r>
      <w:r w:rsidR="006A649A">
        <w:rPr>
          <w:rFonts w:ascii="Cambria" w:hAnsi="Cambria"/>
        </w:rPr>
        <w:t>artme</w:t>
      </w:r>
      <w:r w:rsidR="006A649A" w:rsidRPr="00503473">
        <w:rPr>
          <w:rFonts w:ascii="Cambria" w:hAnsi="Cambria"/>
        </w:rPr>
        <w:t xml:space="preserve">nts </w:t>
      </w:r>
      <w:r w:rsidR="00B443F9" w:rsidRPr="00503473">
        <w:rPr>
          <w:rFonts w:ascii="Cambria" w:hAnsi="Cambria"/>
        </w:rPr>
        <w:t>were isolated</w:t>
      </w:r>
      <w:r w:rsidR="00196B5B">
        <w:rPr>
          <w:rFonts w:ascii="Cambria" w:hAnsi="Cambria"/>
        </w:rPr>
        <w:t xml:space="preserve"> be</w:t>
      </w:r>
      <w:r w:rsidR="00B443F9" w:rsidRPr="00503473">
        <w:rPr>
          <w:rFonts w:ascii="Cambria" w:hAnsi="Cambria"/>
        </w:rPr>
        <w:t>ginning with TPOAb</w:t>
      </w:r>
      <w:r w:rsidR="00D02C1B">
        <w:rPr>
          <w:rFonts w:ascii="Cambria" w:hAnsi="Cambria"/>
        </w:rPr>
        <w:t xml:space="preserve"> and TGAb</w:t>
      </w:r>
      <w:r w:rsidR="0068109B">
        <w:rPr>
          <w:rFonts w:ascii="Cambria" w:hAnsi="Cambria"/>
        </w:rPr>
        <w:t xml:space="preserve">.  </w:t>
      </w:r>
      <w:r w:rsidR="00196B5B">
        <w:rPr>
          <w:rFonts w:ascii="Cambria" w:hAnsi="Cambria"/>
        </w:rPr>
        <w:t xml:space="preserve">These antibodies, the </w:t>
      </w:r>
      <w:r w:rsidR="00196B5B" w:rsidRPr="00503473">
        <w:rPr>
          <w:rFonts w:ascii="Cambria" w:hAnsi="Cambria"/>
        </w:rPr>
        <w:t>primary effector</w:t>
      </w:r>
      <w:r w:rsidR="00196B5B">
        <w:rPr>
          <w:rFonts w:ascii="Cambria" w:hAnsi="Cambria"/>
        </w:rPr>
        <w:t>s</w:t>
      </w:r>
      <w:r w:rsidR="00196B5B" w:rsidRPr="00503473">
        <w:rPr>
          <w:rFonts w:ascii="Cambria" w:hAnsi="Cambria"/>
        </w:rPr>
        <w:t xml:space="preserve"> in HD</w:t>
      </w:r>
      <w:r w:rsidR="00196B5B">
        <w:rPr>
          <w:rFonts w:ascii="Cambria" w:hAnsi="Cambria"/>
          <w:vertAlign w:val="superscript"/>
        </w:rPr>
        <w:t>2</w:t>
      </w:r>
      <w:r w:rsidR="00196B5B">
        <w:rPr>
          <w:rFonts w:ascii="Cambria" w:hAnsi="Cambria"/>
        </w:rPr>
        <w:t>, were grouped as a single compartment</w:t>
      </w:r>
      <w:r w:rsidR="00B443F9" w:rsidRPr="00503473">
        <w:rPr>
          <w:rFonts w:ascii="Cambria" w:hAnsi="Cambria"/>
        </w:rPr>
        <w:t xml:space="preserve"> </w:t>
      </w:r>
      <w:r w:rsidR="00B443F9" w:rsidRPr="00503473">
        <w:rPr>
          <w:rFonts w:ascii="Cambria" w:hAnsi="Cambria"/>
          <w:i/>
          <w:iCs/>
        </w:rPr>
        <w:t>Ab</w:t>
      </w:r>
      <w:r w:rsidR="0068109B">
        <w:rPr>
          <w:rFonts w:ascii="Cambria" w:hAnsi="Cambria"/>
        </w:rPr>
        <w:t xml:space="preserve">.  </w:t>
      </w:r>
      <w:r w:rsidR="00B443F9" w:rsidRPr="00503473">
        <w:rPr>
          <w:rFonts w:ascii="Cambria" w:hAnsi="Cambria"/>
        </w:rPr>
        <w:t xml:space="preserve">Stepping backward through the immune pathway, we then </w:t>
      </w:r>
      <w:r w:rsidR="00196B5B">
        <w:rPr>
          <w:rFonts w:ascii="Cambria" w:hAnsi="Cambria"/>
        </w:rPr>
        <w:t xml:space="preserve">added </w:t>
      </w:r>
      <w:r w:rsidR="00B443F9" w:rsidRPr="00503473">
        <w:rPr>
          <w:rFonts w:ascii="Cambria" w:hAnsi="Cambria"/>
        </w:rPr>
        <w:t>plasma cells (</w:t>
      </w:r>
      <w:r w:rsidR="00B443F9" w:rsidRPr="00AC1FEC">
        <w:rPr>
          <w:rFonts w:ascii="Cambria" w:hAnsi="Cambria"/>
          <w:i/>
          <w:iCs/>
        </w:rPr>
        <w:t>P</w:t>
      </w:r>
      <w:r w:rsidR="00B443F9" w:rsidRPr="00503473">
        <w:rPr>
          <w:rFonts w:ascii="Cambria" w:hAnsi="Cambria"/>
        </w:rPr>
        <w:t>), which produce the antibody, and their progenitors, B-cells (</w:t>
      </w:r>
      <w:r w:rsidR="00B443F9" w:rsidRPr="00503473">
        <w:rPr>
          <w:rFonts w:ascii="Cambria" w:hAnsi="Cambria"/>
          <w:i/>
          <w:iCs/>
        </w:rPr>
        <w:t>B</w:t>
      </w:r>
      <w:r w:rsidR="00B443F9" w:rsidRPr="00503473">
        <w:rPr>
          <w:rFonts w:ascii="Cambria" w:hAnsi="Cambria"/>
        </w:rPr>
        <w:t>)</w:t>
      </w:r>
      <w:r w:rsidR="0068109B">
        <w:rPr>
          <w:rFonts w:ascii="Cambria" w:hAnsi="Cambria"/>
        </w:rPr>
        <w:t xml:space="preserve">.  </w:t>
      </w:r>
      <w:r w:rsidR="00B443F9" w:rsidRPr="00503473">
        <w:rPr>
          <w:rFonts w:ascii="Cambria" w:hAnsi="Cambria"/>
        </w:rPr>
        <w:t>B-cell dynamics are controlled primarily by CD4+ helper T-cells (</w:t>
      </w:r>
      <w:r w:rsidR="00B443F9" w:rsidRPr="00503473">
        <w:rPr>
          <w:rFonts w:ascii="Cambria" w:hAnsi="Cambria"/>
          <w:i/>
          <w:iCs/>
        </w:rPr>
        <w:t>T</w:t>
      </w:r>
      <w:r w:rsidR="00B443F9" w:rsidRPr="00503473">
        <w:rPr>
          <w:rFonts w:ascii="Cambria" w:hAnsi="Cambria"/>
        </w:rPr>
        <w:t xml:space="preserve">) and cytokines </w:t>
      </w:r>
      <w:r w:rsidR="00CE5184" w:rsidRPr="00503473">
        <w:rPr>
          <w:rFonts w:ascii="Cambria" w:hAnsi="Cambria"/>
        </w:rPr>
        <w:t>(</w:t>
      </w:r>
      <w:r w:rsidR="00CE5184" w:rsidRPr="00503473">
        <w:rPr>
          <w:rFonts w:ascii="Cambria" w:hAnsi="Cambria"/>
          <w:i/>
          <w:iCs/>
        </w:rPr>
        <w:t>C</w:t>
      </w:r>
      <w:r w:rsidR="00CE5184" w:rsidRPr="00503473">
        <w:rPr>
          <w:rFonts w:ascii="Cambria" w:hAnsi="Cambria"/>
        </w:rPr>
        <w:t xml:space="preserve">) </w:t>
      </w:r>
      <w:r w:rsidR="00B443F9" w:rsidRPr="00503473">
        <w:rPr>
          <w:rFonts w:ascii="Cambria" w:hAnsi="Cambria"/>
        </w:rPr>
        <w:t>released by the body and by the CD4+ cells themselves</w:t>
      </w:r>
      <w:r w:rsidR="0068109B">
        <w:rPr>
          <w:rFonts w:ascii="Cambria" w:hAnsi="Cambria"/>
        </w:rPr>
        <w:t xml:space="preserve">.  </w:t>
      </w:r>
      <w:r w:rsidR="00196B5B">
        <w:rPr>
          <w:rFonts w:ascii="Cambria" w:hAnsi="Cambria"/>
        </w:rPr>
        <w:t xml:space="preserve">Data was only available for the sum of these lymphocytes, </w:t>
      </w:r>
      <w:r w:rsidR="00196B5B">
        <w:rPr>
          <w:rFonts w:ascii="Cambria" w:hAnsi="Cambria"/>
        </w:rPr>
        <w:lastRenderedPageBreak/>
        <w:t>and the compartments were fitted accordingly</w:t>
      </w:r>
      <w:r w:rsidR="0068109B">
        <w:rPr>
          <w:rFonts w:ascii="Cambria" w:hAnsi="Cambria"/>
        </w:rPr>
        <w:t xml:space="preserve">.  </w:t>
      </w:r>
      <w:r w:rsidR="00196B5B">
        <w:rPr>
          <w:rFonts w:ascii="Cambria" w:hAnsi="Cambria"/>
        </w:rPr>
        <w:t>To</w:t>
      </w:r>
      <w:r w:rsidR="00B443F9" w:rsidRPr="00503473">
        <w:rPr>
          <w:rFonts w:ascii="Cambria" w:hAnsi="Cambria"/>
        </w:rPr>
        <w:t xml:space="preserve"> reduce model complexity, the action of auto-antigen recognition and presentation to the CD4+ helper T-cells by APCs is incorporated into</w:t>
      </w:r>
      <w:r w:rsidR="004568CE" w:rsidRPr="00503473">
        <w:rPr>
          <w:rFonts w:ascii="Cambria" w:hAnsi="Cambria"/>
        </w:rPr>
        <w:t xml:space="preserve"> model parameters</w:t>
      </w:r>
      <w:r w:rsidR="00B52F52">
        <w:rPr>
          <w:rFonts w:ascii="Cambria" w:hAnsi="Cambria"/>
          <w:vertAlign w:val="superscript"/>
        </w:rPr>
        <w:t>7</w:t>
      </w:r>
      <w:r w:rsidR="0068109B">
        <w:rPr>
          <w:rFonts w:ascii="Cambria" w:hAnsi="Cambria"/>
        </w:rPr>
        <w:t xml:space="preserve">.  </w:t>
      </w:r>
    </w:p>
    <w:p w14:paraId="015D816F" w14:textId="0A446DC4" w:rsidR="00CE5184" w:rsidRPr="00B52F52" w:rsidRDefault="00196B5B" w:rsidP="00CE5184">
      <w:pPr>
        <w:jc w:val="both"/>
        <w:rPr>
          <w:rFonts w:ascii="Cambria" w:hAnsi="Cambria"/>
        </w:rPr>
      </w:pPr>
      <w:r>
        <w:rPr>
          <w:rFonts w:ascii="Cambria" w:hAnsi="Cambria"/>
        </w:rPr>
        <w:t>Lastly</w:t>
      </w:r>
      <w:r w:rsidR="004568CE" w:rsidRPr="00503473">
        <w:rPr>
          <w:rFonts w:ascii="Cambria" w:hAnsi="Cambria"/>
        </w:rPr>
        <w:t>, we employ a modified functional thyroid size (</w:t>
      </w:r>
      <w:r w:rsidR="004568CE" w:rsidRPr="00503473">
        <w:rPr>
          <w:rFonts w:ascii="Cambria" w:hAnsi="Cambria"/>
          <w:i/>
          <w:iCs/>
        </w:rPr>
        <w:t>FTS</w:t>
      </w:r>
      <w:r w:rsidR="004568CE" w:rsidRPr="00503473">
        <w:rPr>
          <w:rFonts w:ascii="Cambria" w:hAnsi="Cambria"/>
        </w:rPr>
        <w:t xml:space="preserve">) </w:t>
      </w:r>
      <w:r w:rsidR="00740A00">
        <w:rPr>
          <w:rFonts w:ascii="Cambria" w:hAnsi="Cambria"/>
        </w:rPr>
        <w:t>compartment modeled after</w:t>
      </w:r>
      <w:r w:rsidR="004568CE" w:rsidRPr="00503473">
        <w:rPr>
          <w:rFonts w:ascii="Cambria" w:hAnsi="Cambria"/>
        </w:rPr>
        <w:t xml:space="preserve"> previous work by Pandiyan et al</w:t>
      </w:r>
      <w:r w:rsidR="0068109B">
        <w:rPr>
          <w:rFonts w:ascii="Cambria" w:hAnsi="Cambria"/>
        </w:rPr>
        <w:t xml:space="preserve">.  </w:t>
      </w:r>
      <w:r w:rsidR="004568CE" w:rsidRPr="00503473">
        <w:rPr>
          <w:rFonts w:ascii="Cambria" w:hAnsi="Cambria"/>
        </w:rPr>
        <w:t>to capture the destructive effects of TPOAb and serve as a bridge between immune and thyroid dynamics</w:t>
      </w:r>
      <w:r w:rsidR="00B52F52">
        <w:rPr>
          <w:rFonts w:ascii="Cambria" w:hAnsi="Cambria"/>
          <w:vertAlign w:val="superscript"/>
        </w:rPr>
        <w:t>8</w:t>
      </w:r>
      <w:r w:rsidR="0068109B">
        <w:rPr>
          <w:rFonts w:ascii="Cambria" w:hAnsi="Cambria"/>
        </w:rPr>
        <w:t xml:space="preserve">.  </w:t>
      </w:r>
      <w:r w:rsidR="004568CE" w:rsidRPr="00503473">
        <w:rPr>
          <w:rFonts w:ascii="Cambria" w:hAnsi="Cambria"/>
        </w:rPr>
        <w:t xml:space="preserve">Along with the </w:t>
      </w:r>
      <w:r w:rsidR="00A4573E" w:rsidRPr="00503473">
        <w:rPr>
          <w:rFonts w:ascii="Cambria" w:hAnsi="Cambria"/>
        </w:rPr>
        <w:t xml:space="preserve">immune </w:t>
      </w:r>
      <w:r w:rsidR="004568CE" w:rsidRPr="00503473">
        <w:rPr>
          <w:rFonts w:ascii="Cambria" w:hAnsi="Cambria"/>
        </w:rPr>
        <w:t xml:space="preserve">components, this results in a </w:t>
      </w:r>
      <w:r w:rsidR="00CE5184" w:rsidRPr="00503473">
        <w:rPr>
          <w:rFonts w:ascii="Cambria" w:hAnsi="Cambria"/>
        </w:rPr>
        <w:t>6</w:t>
      </w:r>
      <w:r w:rsidR="004568CE" w:rsidRPr="00503473">
        <w:rPr>
          <w:rFonts w:ascii="Cambria" w:hAnsi="Cambria"/>
        </w:rPr>
        <w:t xml:space="preserve"> state-variable </w:t>
      </w:r>
      <w:r w:rsidR="00A4573E" w:rsidRPr="00503473">
        <w:rPr>
          <w:rFonts w:ascii="Cambria" w:hAnsi="Cambria"/>
        </w:rPr>
        <w:t xml:space="preserve">subsystem </w:t>
      </w:r>
      <w:r w:rsidR="00955605">
        <w:rPr>
          <w:rFonts w:ascii="Cambria" w:hAnsi="Cambria"/>
        </w:rPr>
        <w:t>that</w:t>
      </w:r>
      <w:r w:rsidR="004568CE" w:rsidRPr="00503473">
        <w:rPr>
          <w:rFonts w:ascii="Cambria" w:hAnsi="Cambria"/>
        </w:rPr>
        <w:t xml:space="preserve"> captures the essential</w:t>
      </w:r>
      <w:r w:rsidR="00A4573E" w:rsidRPr="00503473">
        <w:rPr>
          <w:rFonts w:ascii="Cambria" w:hAnsi="Cambria"/>
        </w:rPr>
        <w:t xml:space="preserve"> component</w:t>
      </w:r>
      <w:r w:rsidR="006A649A">
        <w:rPr>
          <w:rFonts w:ascii="Cambria" w:hAnsi="Cambria"/>
        </w:rPr>
        <w:t xml:space="preserve"> features</w:t>
      </w:r>
      <w:r w:rsidR="00A4573E" w:rsidRPr="00503473">
        <w:rPr>
          <w:rFonts w:ascii="Cambria" w:hAnsi="Cambria"/>
        </w:rPr>
        <w:t xml:space="preserve"> of the immune-thyroid interaction in HD</w:t>
      </w:r>
      <w:r w:rsidR="00CE5184" w:rsidRPr="00503473">
        <w:rPr>
          <w:rFonts w:ascii="Cambria" w:hAnsi="Cambria"/>
        </w:rPr>
        <w:t xml:space="preserve">, </w:t>
      </w:r>
      <w:r w:rsidR="004568CE" w:rsidRPr="00503473">
        <w:rPr>
          <w:rFonts w:ascii="Cambria" w:hAnsi="Cambria"/>
        </w:rPr>
        <w:t xml:space="preserve">comparable </w:t>
      </w:r>
      <w:r w:rsidR="00CE5184" w:rsidRPr="00503473">
        <w:rPr>
          <w:rFonts w:ascii="Cambria" w:hAnsi="Cambria"/>
        </w:rPr>
        <w:t>in size to</w:t>
      </w:r>
      <w:r w:rsidR="004568CE" w:rsidRPr="00503473">
        <w:rPr>
          <w:rFonts w:ascii="Cambria" w:hAnsi="Cambria"/>
        </w:rPr>
        <w:t xml:space="preserve"> existing immune </w:t>
      </w:r>
      <w:r w:rsidR="006A649A">
        <w:rPr>
          <w:rFonts w:ascii="Cambria" w:hAnsi="Cambria"/>
        </w:rPr>
        <w:t xml:space="preserve">system </w:t>
      </w:r>
      <w:r w:rsidR="004568CE" w:rsidRPr="00503473">
        <w:rPr>
          <w:rFonts w:ascii="Cambria" w:hAnsi="Cambria"/>
        </w:rPr>
        <w:t>models in the literature</w:t>
      </w:r>
      <w:r w:rsidR="00B52F52">
        <w:rPr>
          <w:rFonts w:ascii="Cambria" w:hAnsi="Cambria"/>
          <w:vertAlign w:val="superscript"/>
        </w:rPr>
        <w:t>7,9</w:t>
      </w:r>
      <w:r w:rsidR="00B52F52">
        <w:rPr>
          <w:rFonts w:ascii="Cambria" w:hAnsi="Cambria"/>
        </w:rPr>
        <w:t>.</w:t>
      </w:r>
    </w:p>
    <w:p w14:paraId="6A7C03C9" w14:textId="4678657A" w:rsidR="003907B8" w:rsidRDefault="006A649A" w:rsidP="0006159F">
      <w:pPr>
        <w:jc w:val="both"/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Model Dynamic</w:t>
      </w:r>
      <w:r w:rsidR="00C76BBC">
        <w:rPr>
          <w:rFonts w:ascii="Roboto" w:hAnsi="Roboto"/>
          <w:b/>
          <w:bCs/>
          <w:color w:val="595959" w:themeColor="text1" w:themeTint="A6"/>
          <w:sz w:val="24"/>
          <w:szCs w:val="24"/>
        </w:rPr>
        <w:t>al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Equations</w:t>
      </w:r>
      <w:r w:rsidR="00C76BBC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&amp; their Basis</w:t>
      </w:r>
    </w:p>
    <w:p w14:paraId="6BFCFD65" w14:textId="31EF099D" w:rsidR="00C22765" w:rsidRDefault="00E3743D" w:rsidP="0006159F">
      <w:pPr>
        <w:jc w:val="both"/>
        <w:rPr>
          <w:rFonts w:ascii="Cambria" w:hAnsi="Cambria"/>
        </w:rPr>
      </w:pPr>
      <w:r w:rsidRPr="003907B8">
        <w:rPr>
          <w:rFonts w:ascii="Roboto" w:hAnsi="Roboto"/>
          <w:i/>
          <w:iCs/>
          <w:color w:val="595959" w:themeColor="text1" w:themeTint="A6"/>
          <w:sz w:val="24"/>
          <w:szCs w:val="24"/>
        </w:rPr>
        <w:t>I</w:t>
      </w:r>
      <w:r w:rsidR="0068109B">
        <w:rPr>
          <w:rFonts w:ascii="Roboto" w:hAnsi="Roboto"/>
          <w:i/>
          <w:iCs/>
          <w:color w:val="595959" w:themeColor="text1" w:themeTint="A6"/>
          <w:sz w:val="24"/>
          <w:szCs w:val="24"/>
        </w:rPr>
        <w:t xml:space="preserve">.  </w:t>
      </w:r>
      <w:r w:rsidRPr="003907B8">
        <w:rPr>
          <w:rFonts w:ascii="Roboto" w:hAnsi="Roboto"/>
          <w:i/>
          <w:iCs/>
          <w:color w:val="595959" w:themeColor="text1" w:themeTint="A6"/>
          <w:sz w:val="24"/>
          <w:szCs w:val="24"/>
        </w:rPr>
        <w:t>Immune Subsystem</w:t>
      </w:r>
      <w:r w:rsidR="003907B8">
        <w:rPr>
          <w:rFonts w:ascii="Roboto" w:hAnsi="Roboto"/>
          <w:i/>
          <w:iCs/>
          <w:color w:val="595959" w:themeColor="text1" w:themeTint="A6"/>
          <w:sz w:val="24"/>
          <w:szCs w:val="24"/>
        </w:rPr>
        <w:t>: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 </w:t>
      </w:r>
      <w:r w:rsidR="00483EAE">
        <w:rPr>
          <w:rFonts w:ascii="Cambria" w:hAnsi="Cambria"/>
        </w:rPr>
        <w:t xml:space="preserve">B-cell proliferation is activated by T-cells at a rate which varies with the amount of cytokine stimulation captured by the first term of </w:t>
      </w:r>
      <w:r w:rsidR="00C76BBC">
        <w:rPr>
          <w:rFonts w:ascii="Cambria" w:hAnsi="Cambria"/>
        </w:rPr>
        <w:t>Eq</w:t>
      </w:r>
      <w:r w:rsidR="0068109B">
        <w:rPr>
          <w:rFonts w:ascii="Cambria" w:hAnsi="Cambria"/>
        </w:rPr>
        <w:t xml:space="preserve">.  </w:t>
      </w:r>
      <w:r w:rsidR="00483EAE">
        <w:rPr>
          <w:rFonts w:ascii="Cambria" w:hAnsi="Cambria"/>
        </w:rPr>
        <w:t>(1)</w:t>
      </w:r>
      <w:r w:rsidR="006A649A">
        <w:rPr>
          <w:rFonts w:ascii="Cambria" w:hAnsi="Cambria"/>
        </w:rPr>
        <w:t xml:space="preserve"> below</w:t>
      </w:r>
      <w:r w:rsidR="0068109B">
        <w:rPr>
          <w:rFonts w:ascii="Cambria" w:hAnsi="Cambria"/>
        </w:rPr>
        <w:t xml:space="preserve">.  </w:t>
      </w:r>
      <w:r w:rsidR="00483EAE">
        <w:rPr>
          <w:rFonts w:ascii="Cambria" w:hAnsi="Cambria"/>
        </w:rPr>
        <w:t xml:space="preserve">The number of </w:t>
      </w:r>
      <w:r w:rsidR="001D7126">
        <w:rPr>
          <w:rFonts w:ascii="Cambria" w:hAnsi="Cambria"/>
        </w:rPr>
        <w:t>B</w:t>
      </w:r>
      <w:r w:rsidR="003907B8">
        <w:rPr>
          <w:rFonts w:ascii="Cambria" w:hAnsi="Cambria"/>
        </w:rPr>
        <w:t>-</w:t>
      </w:r>
      <w:r w:rsidR="00483EAE">
        <w:rPr>
          <w:rFonts w:ascii="Cambria" w:hAnsi="Cambria"/>
        </w:rPr>
        <w:t>c</w:t>
      </w:r>
      <w:r w:rsidR="001D7126">
        <w:rPr>
          <w:rFonts w:ascii="Cambria" w:hAnsi="Cambria"/>
        </w:rPr>
        <w:t>ell</w:t>
      </w:r>
      <w:r w:rsidR="00483EAE">
        <w:rPr>
          <w:rFonts w:ascii="Cambria" w:hAnsi="Cambria"/>
        </w:rPr>
        <w:t xml:space="preserve">s circulating in plasma </w:t>
      </w:r>
      <w:r w:rsidR="006A649A">
        <w:rPr>
          <w:rFonts w:ascii="Cambria" w:hAnsi="Cambria"/>
        </w:rPr>
        <w:t>(</w:t>
      </w:r>
      <w:r w:rsidR="006A649A" w:rsidRPr="003907B8">
        <w:rPr>
          <w:rFonts w:ascii="Cambria" w:hAnsi="Cambria"/>
          <w:i/>
          <w:iCs/>
        </w:rPr>
        <w:t>B</w:t>
      </w:r>
      <w:r w:rsidR="006A649A">
        <w:rPr>
          <w:rFonts w:ascii="Cambria" w:hAnsi="Cambria"/>
        </w:rPr>
        <w:t xml:space="preserve">) </w:t>
      </w:r>
      <w:r w:rsidR="00483EAE">
        <w:rPr>
          <w:rFonts w:ascii="Cambria" w:hAnsi="Cambria"/>
        </w:rPr>
        <w:t>is decreased by B-cell</w:t>
      </w:r>
      <w:r w:rsidR="001D7126">
        <w:rPr>
          <w:rFonts w:ascii="Cambria" w:hAnsi="Cambria"/>
        </w:rPr>
        <w:t xml:space="preserve"> differentiation into Plasma cells </w:t>
      </w:r>
      <w:r w:rsidR="006A649A">
        <w:rPr>
          <w:rFonts w:ascii="Cambria" w:hAnsi="Cambria"/>
        </w:rPr>
        <w:t>(</w:t>
      </w:r>
      <w:r w:rsidR="006A649A" w:rsidRPr="003907B8">
        <w:rPr>
          <w:rFonts w:ascii="Cambria" w:hAnsi="Cambria"/>
          <w:i/>
          <w:iCs/>
        </w:rPr>
        <w:t>P</w:t>
      </w:r>
      <w:r w:rsidR="006A649A">
        <w:rPr>
          <w:rFonts w:ascii="Cambria" w:hAnsi="Cambria"/>
        </w:rPr>
        <w:t xml:space="preserve">) </w:t>
      </w:r>
      <w:r w:rsidR="001D7126">
        <w:rPr>
          <w:rFonts w:ascii="Cambria" w:hAnsi="Cambria"/>
        </w:rPr>
        <w:t>and apoptosis</w:t>
      </w:r>
      <w:r w:rsidR="0068109B">
        <w:rPr>
          <w:rFonts w:ascii="Cambria" w:hAnsi="Cambria"/>
        </w:rPr>
        <w:t xml:space="preserve">.  </w:t>
      </w:r>
      <w:r w:rsidR="001D7126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 xml:space="preserve">The </w:t>
      </w:r>
      <w:r w:rsidR="001D7126">
        <w:rPr>
          <w:rFonts w:ascii="Cambria" w:hAnsi="Cambria"/>
        </w:rPr>
        <w:t>effect</w:t>
      </w:r>
      <w:r w:rsidR="00483EAE">
        <w:rPr>
          <w:rFonts w:ascii="Cambria" w:hAnsi="Cambria"/>
        </w:rPr>
        <w:t xml:space="preserve"> of</w:t>
      </w:r>
      <w:r w:rsidR="006A649A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>T4</w:t>
      </w:r>
      <w:r w:rsidR="001D7126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>o</w:t>
      </w:r>
      <w:r w:rsidR="001D7126">
        <w:rPr>
          <w:rFonts w:ascii="Cambria" w:hAnsi="Cambria"/>
        </w:rPr>
        <w:t>n B</w:t>
      </w:r>
      <w:r w:rsidR="003907B8">
        <w:rPr>
          <w:rFonts w:ascii="Cambria" w:hAnsi="Cambria"/>
        </w:rPr>
        <w:t>-</w:t>
      </w:r>
      <w:r w:rsidR="006A649A">
        <w:rPr>
          <w:rFonts w:ascii="Cambria" w:hAnsi="Cambria"/>
        </w:rPr>
        <w:t xml:space="preserve">cell </w:t>
      </w:r>
      <w:r w:rsidR="001D7126">
        <w:rPr>
          <w:rFonts w:ascii="Cambria" w:hAnsi="Cambria"/>
        </w:rPr>
        <w:t xml:space="preserve">proliferation </w:t>
      </w:r>
      <w:r w:rsidR="00483EAE">
        <w:rPr>
          <w:rFonts w:ascii="Cambria" w:hAnsi="Cambria"/>
        </w:rPr>
        <w:t>is</w:t>
      </w:r>
      <w:r w:rsidR="001D7126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 xml:space="preserve">hypothesized to be linearly proportional to plasma T4 concentration </w:t>
      </w:r>
      <w:r w:rsidR="006A649A">
        <w:rPr>
          <w:rFonts w:ascii="Cambria" w:hAnsi="Cambria"/>
        </w:rPr>
        <w:t>(</w:t>
      </w:r>
      <w:r w:rsidR="006A649A" w:rsidRPr="006678EF">
        <w:rPr>
          <w:rFonts w:ascii="Cambria" w:hAnsi="Cambria"/>
          <w:i/>
          <w:iCs/>
        </w:rPr>
        <w:t>T4</w:t>
      </w:r>
      <w:r w:rsidR="006A649A">
        <w:rPr>
          <w:rFonts w:ascii="Cambria" w:hAnsi="Cambria"/>
        </w:rPr>
        <w:t xml:space="preserve">) </w:t>
      </w:r>
      <w:r w:rsidR="00483EAE">
        <w:rPr>
          <w:rFonts w:ascii="Cambria" w:hAnsi="Cambria"/>
        </w:rPr>
        <w:t xml:space="preserve">and is captured by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1D7126" w:rsidRPr="00503473" w14:paraId="0FDB5FAB" w14:textId="77777777" w:rsidTr="008B7A11">
        <w:trPr>
          <w:trHeight w:val="624"/>
          <w:jc w:val="center"/>
        </w:trPr>
        <w:tc>
          <w:tcPr>
            <w:tcW w:w="4390" w:type="dxa"/>
          </w:tcPr>
          <w:p w14:paraId="04641885" w14:textId="515DBDCB" w:rsidR="001D7126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) B</m:t>
                </m:r>
              </m:oMath>
            </m:oMathPara>
          </w:p>
        </w:tc>
        <w:tc>
          <w:tcPr>
            <w:tcW w:w="640" w:type="dxa"/>
          </w:tcPr>
          <w:p w14:paraId="0F0D64A9" w14:textId="12F355C3" w:rsidR="001D7126" w:rsidRPr="00503473" w:rsidRDefault="006A649A" w:rsidP="00977F3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</w:t>
            </w:r>
            <w:r w:rsidR="001D7126" w:rsidRPr="00503473">
              <w:rPr>
                <w:rFonts w:ascii="Cambria" w:hAnsi="Cambria"/>
              </w:rPr>
              <w:t>(1)</w:t>
            </w:r>
          </w:p>
        </w:tc>
      </w:tr>
    </w:tbl>
    <w:p w14:paraId="075D645C" w14:textId="3A1968AA" w:rsidR="0006159F" w:rsidRDefault="003907B8" w:rsidP="0006159F">
      <w:pPr>
        <w:jc w:val="both"/>
        <w:rPr>
          <w:rFonts w:ascii="Cambria" w:hAnsi="Cambria"/>
        </w:rPr>
      </w:pPr>
      <w:r w:rsidRPr="003907B8">
        <w:rPr>
          <w:rFonts w:ascii="Cambria" w:hAnsi="Cambria"/>
        </w:rPr>
        <w:t>Plasma</w:t>
      </w:r>
      <w:r w:rsidR="001D712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cell </w:t>
      </w:r>
      <w:r w:rsidR="001D7126">
        <w:rPr>
          <w:rFonts w:ascii="Cambria" w:hAnsi="Cambria"/>
        </w:rPr>
        <w:t xml:space="preserve">levels are approximated as the difference between B-cell differentiation into plasma cells and natural </w:t>
      </w:r>
      <w:r w:rsidR="00C76BBC">
        <w:rPr>
          <w:rFonts w:ascii="Cambria" w:hAnsi="Cambria"/>
        </w:rPr>
        <w:t>p</w:t>
      </w:r>
      <w:r w:rsidR="001D7126">
        <w:rPr>
          <w:rFonts w:ascii="Cambria" w:hAnsi="Cambria"/>
        </w:rPr>
        <w:t>lasma cell apoptosis</w:t>
      </w:r>
      <w:r w:rsidR="00C76BBC">
        <w:rPr>
          <w:rFonts w:ascii="Cambria" w:hAnsi="Cambria"/>
        </w:rPr>
        <w:t>, as in Eq</w:t>
      </w:r>
      <w:r w:rsidR="0068109B">
        <w:rPr>
          <w:rFonts w:ascii="Cambria" w:hAnsi="Cambria"/>
        </w:rPr>
        <w:t xml:space="preserve">.  </w:t>
      </w:r>
      <w:r w:rsidR="00C76BBC">
        <w:rPr>
          <w:rFonts w:ascii="Cambria" w:hAnsi="Cambria"/>
        </w:rPr>
        <w:t>(2) below</w:t>
      </w:r>
      <w:r w:rsidR="0068109B">
        <w:rPr>
          <w:rFonts w:ascii="Cambria" w:hAnsi="Cambria"/>
        </w:rPr>
        <w:t xml:space="preserve">.  </w:t>
      </w:r>
      <w:r w:rsidR="001D7126">
        <w:rPr>
          <w:rFonts w:ascii="Cambria" w:hAnsi="Cambria"/>
        </w:rPr>
        <w:t xml:space="preserve">Similarly, cytokine production and </w:t>
      </w:r>
      <w:r w:rsidR="00955605">
        <w:rPr>
          <w:rFonts w:ascii="Cambria" w:hAnsi="Cambria"/>
        </w:rPr>
        <w:t>degradation</w:t>
      </w:r>
      <w:r w:rsidR="001D7126">
        <w:rPr>
          <w:rFonts w:ascii="Cambria" w:hAnsi="Cambria"/>
        </w:rPr>
        <w:t xml:space="preserve"> </w:t>
      </w:r>
      <w:r w:rsidR="00955605">
        <w:rPr>
          <w:rFonts w:ascii="Cambria" w:hAnsi="Cambria"/>
        </w:rPr>
        <w:t>are</w:t>
      </w:r>
      <w:r w:rsidR="001D7126">
        <w:rPr>
          <w:rFonts w:ascii="Cambria" w:hAnsi="Cambria"/>
        </w:rPr>
        <w:t xml:space="preserve"> simplified and approximated as the cytokine output of T-cells </w:t>
      </w:r>
      <w:r w:rsidR="00C76BBC">
        <w:rPr>
          <w:rFonts w:ascii="Cambria" w:hAnsi="Cambria"/>
        </w:rPr>
        <w:t xml:space="preserve">per </w:t>
      </w:r>
      <w:r w:rsidR="001D7126">
        <w:rPr>
          <w:rFonts w:ascii="Cambria" w:hAnsi="Cambria"/>
        </w:rPr>
        <w:t xml:space="preserve">second minus the average </w:t>
      </w:r>
      <w:r w:rsidR="00955605">
        <w:rPr>
          <w:rFonts w:ascii="Cambria" w:hAnsi="Cambria"/>
        </w:rPr>
        <w:t>degradation</w:t>
      </w:r>
      <w:r w:rsidR="001D7126">
        <w:rPr>
          <w:rFonts w:ascii="Cambria" w:hAnsi="Cambria"/>
        </w:rPr>
        <w:t xml:space="preserve"> rate of relevant cytokines calculated via experimental half</w:t>
      </w:r>
      <w:r w:rsidR="00D02C1B">
        <w:rPr>
          <w:rFonts w:ascii="Cambria" w:hAnsi="Cambria"/>
        </w:rPr>
        <w:t>-</w:t>
      </w:r>
      <w:r w:rsidR="001D7126">
        <w:rPr>
          <w:rFonts w:ascii="Cambria" w:hAnsi="Cambria"/>
        </w:rPr>
        <w:t>life</w:t>
      </w:r>
      <w:r w:rsidR="00B52F52">
        <w:rPr>
          <w:rFonts w:ascii="Cambria" w:hAnsi="Cambria"/>
          <w:vertAlign w:val="superscript"/>
        </w:rPr>
        <w:t>10</w:t>
      </w:r>
      <w:r w:rsidR="00C76BBC">
        <w:rPr>
          <w:rFonts w:ascii="Cambria" w:hAnsi="Cambria"/>
        </w:rPr>
        <w:t>, as in Eq</w:t>
      </w:r>
      <w:r w:rsidR="0068109B">
        <w:rPr>
          <w:rFonts w:ascii="Cambria" w:hAnsi="Cambria"/>
        </w:rPr>
        <w:t xml:space="preserve">.  </w:t>
      </w:r>
      <w:r w:rsidR="00C76BBC">
        <w:rPr>
          <w:rFonts w:ascii="Cambria" w:hAnsi="Cambria"/>
        </w:rPr>
        <w:t>(3)</w:t>
      </w:r>
      <w:r w:rsidR="0068109B">
        <w:rPr>
          <w:rFonts w:ascii="Cambria" w:hAnsi="Cambria"/>
        </w:rPr>
        <w:t xml:space="preserve">.  </w:t>
      </w:r>
      <w:r w:rsidR="00C76BBC">
        <w:rPr>
          <w:rFonts w:ascii="Cambria" w:hAnsi="Cambria"/>
        </w:rPr>
        <w:t xml:space="preserve"> </w:t>
      </w:r>
      <w:r w:rsidR="001D7126">
        <w:rPr>
          <w:rFonts w:ascii="Cambria" w:hAnsi="Cambria"/>
        </w:rPr>
        <w:t>Further detail</w:t>
      </w:r>
      <w:r w:rsidR="00C76BBC">
        <w:rPr>
          <w:rFonts w:ascii="Cambria" w:hAnsi="Cambria"/>
        </w:rPr>
        <w:t>s</w:t>
      </w:r>
      <w:r w:rsidR="001D7126">
        <w:rPr>
          <w:rFonts w:ascii="Cambria" w:hAnsi="Cambria"/>
        </w:rPr>
        <w:t xml:space="preserve"> on cytokine selection </w:t>
      </w:r>
      <w:r>
        <w:rPr>
          <w:rFonts w:ascii="Cambria" w:hAnsi="Cambria"/>
        </w:rPr>
        <w:t>are</w:t>
      </w:r>
      <w:r w:rsidR="001D7126">
        <w:rPr>
          <w:rFonts w:ascii="Cambria" w:hAnsi="Cambria"/>
        </w:rPr>
        <w:t xml:space="preserve"> found in the appendix</w:t>
      </w:r>
      <w:r w:rsidR="0068109B">
        <w:rPr>
          <w:rFonts w:ascii="Cambria" w:hAnsi="Cambria"/>
        </w:rPr>
        <w:t xml:space="preserve">.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1D7126" w:rsidRPr="00503473" w14:paraId="7A35F0D6" w14:textId="77777777" w:rsidTr="008B7A11">
        <w:trPr>
          <w:trHeight w:val="624"/>
          <w:jc w:val="center"/>
        </w:trPr>
        <w:tc>
          <w:tcPr>
            <w:tcW w:w="4390" w:type="dxa"/>
          </w:tcPr>
          <w:p w14:paraId="4B7F61B0" w14:textId="77777777" w:rsidR="001D7126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640" w:type="dxa"/>
          </w:tcPr>
          <w:p w14:paraId="70D36E28" w14:textId="77777777" w:rsidR="001D7126" w:rsidRPr="00503473" w:rsidRDefault="001D7126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(2)</w:t>
            </w:r>
          </w:p>
        </w:tc>
      </w:tr>
      <w:tr w:rsidR="001D7126" w:rsidRPr="00503473" w14:paraId="21FF30F7" w14:textId="77777777" w:rsidTr="008B7A11">
        <w:trPr>
          <w:trHeight w:val="624"/>
          <w:jc w:val="center"/>
        </w:trPr>
        <w:tc>
          <w:tcPr>
            <w:tcW w:w="4390" w:type="dxa"/>
          </w:tcPr>
          <w:p w14:paraId="03FC30D1" w14:textId="77777777" w:rsidR="001D7126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40" w:type="dxa"/>
          </w:tcPr>
          <w:p w14:paraId="7CE96CC8" w14:textId="4714D72A" w:rsidR="001D7126" w:rsidRPr="00503473" w:rsidRDefault="001D7126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3</w:t>
            </w:r>
            <w:r w:rsidRPr="00503473">
              <w:rPr>
                <w:rFonts w:ascii="Cambria" w:hAnsi="Cambria"/>
              </w:rPr>
              <w:t>)</w:t>
            </w:r>
          </w:p>
        </w:tc>
      </w:tr>
    </w:tbl>
    <w:p w14:paraId="2A9FB214" w14:textId="7C0781D8" w:rsidR="001D7126" w:rsidRDefault="00D02C1B" w:rsidP="0006159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CD4+ T-cell proliferation and differentiation are grouped into </w:t>
      </w:r>
      <w:r w:rsidR="0076399E">
        <w:rPr>
          <w:rFonts w:ascii="Cambria" w:hAnsi="Cambria"/>
        </w:rPr>
        <w:t xml:space="preserve">one </w:t>
      </w:r>
      <w:r w:rsidR="00C76BBC">
        <w:rPr>
          <w:rFonts w:ascii="Cambria" w:hAnsi="Cambria"/>
        </w:rPr>
        <w:t>ordinary differential equation (ODE) (4)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 Proliferation is captured by a cytokine</w:t>
      </w:r>
      <w:r w:rsidR="00955605">
        <w:rPr>
          <w:rFonts w:ascii="Cambria" w:hAnsi="Cambria"/>
        </w:rPr>
        <w:t>-</w:t>
      </w:r>
      <w:r>
        <w:rPr>
          <w:rFonts w:ascii="Cambria" w:hAnsi="Cambria"/>
        </w:rPr>
        <w:t xml:space="preserve">dependent saturable </w:t>
      </w:r>
      <w:r w:rsidR="0076399E">
        <w:rPr>
          <w:rFonts w:ascii="Cambria" w:hAnsi="Cambria"/>
        </w:rPr>
        <w:t xml:space="preserve">inhibition </w:t>
      </w:r>
      <w:r>
        <w:rPr>
          <w:rFonts w:ascii="Cambria" w:hAnsi="Cambria"/>
        </w:rPr>
        <w:t>coefficient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Differentiation is a function of </w:t>
      </w:r>
      <w:r w:rsidR="00955605">
        <w:rPr>
          <w:rFonts w:ascii="Cambria" w:hAnsi="Cambria"/>
        </w:rPr>
        <w:t xml:space="preserve">the </w:t>
      </w:r>
      <w:r>
        <w:rPr>
          <w:rFonts w:ascii="Cambria" w:hAnsi="Cambria"/>
        </w:rPr>
        <w:t>availability of th</w:t>
      </w:r>
      <w:r w:rsidR="00955605">
        <w:rPr>
          <w:rFonts w:ascii="Cambria" w:hAnsi="Cambria"/>
        </w:rPr>
        <w:t>y</w:t>
      </w:r>
      <w:r>
        <w:rPr>
          <w:rFonts w:ascii="Cambria" w:hAnsi="Cambria"/>
        </w:rPr>
        <w:t>roid autoantigens, assumed to be linearly proportional to the functional thyroid size</w:t>
      </w:r>
      <w:r w:rsidR="0076399E">
        <w:rPr>
          <w:rFonts w:ascii="Cambria" w:hAnsi="Cambria"/>
        </w:rPr>
        <w:t xml:space="preserve"> (FTS)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CD4+ T-cell </w:t>
      </w:r>
      <w:r w:rsidR="00955605">
        <w:rPr>
          <w:rFonts w:ascii="Cambria" w:hAnsi="Cambria"/>
        </w:rPr>
        <w:t>degradation</w:t>
      </w:r>
      <w:r>
        <w:rPr>
          <w:rFonts w:ascii="Cambria" w:hAnsi="Cambria"/>
        </w:rPr>
        <w:t xml:space="preserve"> is again calculated from experimental half-life</w:t>
      </w:r>
      <w:r w:rsidR="00B52F52">
        <w:rPr>
          <w:rFonts w:ascii="Cambria" w:hAnsi="Cambria"/>
          <w:vertAlign w:val="superscript"/>
        </w:rPr>
        <w:t>11</w:t>
      </w:r>
      <w:r w:rsidR="00C76BBC">
        <w:rPr>
          <w:rFonts w:ascii="Cambria" w:hAnsi="Cambria"/>
        </w:rPr>
        <w:t xml:space="preserve">, with fractional degradation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76BBC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D02C1B" w:rsidRPr="00503473" w14:paraId="7B57EBCA" w14:textId="77777777" w:rsidTr="008B7A11">
        <w:trPr>
          <w:trHeight w:val="624"/>
          <w:jc w:val="center"/>
        </w:trPr>
        <w:tc>
          <w:tcPr>
            <w:tcW w:w="4390" w:type="dxa"/>
          </w:tcPr>
          <w:p w14:paraId="573DFBCD" w14:textId="5CCD5EF2" w:rsidR="00D02C1B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FTS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40" w:type="dxa"/>
          </w:tcPr>
          <w:p w14:paraId="7FF1D3D1" w14:textId="77777777" w:rsidR="00D02C1B" w:rsidRPr="00503473" w:rsidRDefault="00D02C1B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4</w:t>
            </w:r>
            <w:r w:rsidRPr="00503473">
              <w:rPr>
                <w:rFonts w:ascii="Cambria" w:hAnsi="Cambria"/>
              </w:rPr>
              <w:t>)</w:t>
            </w:r>
          </w:p>
        </w:tc>
      </w:tr>
    </w:tbl>
    <w:p w14:paraId="06DFEAC3" w14:textId="7A6B1960" w:rsidR="00D02C1B" w:rsidRDefault="00D02C1B" w:rsidP="00941D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Functional thyroid size dynamics are modeled </w:t>
      </w:r>
      <w:r w:rsidR="00557755">
        <w:rPr>
          <w:rFonts w:ascii="Cambria" w:hAnsi="Cambria"/>
        </w:rPr>
        <w:t>in ODE (4)</w:t>
      </w:r>
      <w:r w:rsidR="0068109B">
        <w:rPr>
          <w:rFonts w:ascii="Cambria" w:hAnsi="Cambria"/>
        </w:rPr>
        <w:t xml:space="preserve">.  </w:t>
      </w:r>
      <w:r w:rsidR="00557755">
        <w:rPr>
          <w:rFonts w:ascii="Cambria" w:hAnsi="Cambria"/>
        </w:rPr>
        <w:t xml:space="preserve"> </w:t>
      </w:r>
      <w:r w:rsidR="0076399E">
        <w:rPr>
          <w:rFonts w:ascii="Cambria" w:hAnsi="Cambria"/>
        </w:rPr>
        <w:t>FTS describes both the number of surviving thyroid follicular cells and the relative hormone output of the surviving cells</w:t>
      </w:r>
      <w:r w:rsidR="0068109B">
        <w:rPr>
          <w:rFonts w:ascii="Cambria" w:hAnsi="Cambria"/>
        </w:rPr>
        <w:t xml:space="preserve">.  </w:t>
      </w:r>
      <w:r w:rsidR="0076399E">
        <w:rPr>
          <w:rFonts w:ascii="Cambria" w:hAnsi="Cambria"/>
        </w:rPr>
        <w:t>FTS increases in response to follicular cell stimulation by TSH</w:t>
      </w:r>
      <w:r w:rsidR="0068109B">
        <w:rPr>
          <w:rFonts w:ascii="Cambria" w:hAnsi="Cambria"/>
        </w:rPr>
        <w:t xml:space="preserve">.  </w:t>
      </w:r>
      <w:r w:rsidR="0076399E">
        <w:rPr>
          <w:rFonts w:ascii="Cambria" w:hAnsi="Cambria"/>
        </w:rPr>
        <w:t>It also increases as the thyroid attempts to regenerate</w:t>
      </w:r>
      <w:r w:rsidR="00941D79">
        <w:rPr>
          <w:rFonts w:ascii="Cambria" w:hAnsi="Cambria"/>
        </w:rPr>
        <w:t xml:space="preserve"> via cell division and upregulates hormone secretion and excretion</w:t>
      </w:r>
      <w:r w:rsidR="0076399E">
        <w:rPr>
          <w:rFonts w:ascii="Cambria" w:hAnsi="Cambria"/>
        </w:rPr>
        <w:t xml:space="preserve"> </w:t>
      </w:r>
      <w:r w:rsidR="00941D79">
        <w:rPr>
          <w:rFonts w:ascii="Cambria" w:hAnsi="Cambria"/>
        </w:rPr>
        <w:t>in response to perturbed HPT-axis and cellular destruction</w:t>
      </w:r>
      <w:r w:rsidR="00941D79">
        <w:rPr>
          <w:rFonts w:ascii="Cambria" w:hAnsi="Cambria"/>
          <w:vertAlign w:val="superscript"/>
        </w:rPr>
        <w:t>21</w:t>
      </w:r>
      <w:r w:rsidR="0068109B">
        <w:rPr>
          <w:rFonts w:ascii="Cambria" w:hAnsi="Cambria"/>
        </w:rPr>
        <w:t xml:space="preserve">.  </w:t>
      </w:r>
      <w:r w:rsidR="00941D79">
        <w:rPr>
          <w:rFonts w:ascii="Cambria" w:hAnsi="Cambria"/>
        </w:rPr>
        <w:t>FTS decreases as a result of</w:t>
      </w:r>
      <w:r>
        <w:rPr>
          <w:rFonts w:ascii="Cambria" w:hAnsi="Cambria"/>
        </w:rPr>
        <w:t xml:space="preserve"> follicular cell destruction by TPOAb and TGAb</w:t>
      </w:r>
      <w:r w:rsidR="00941D79">
        <w:rPr>
          <w:rFonts w:ascii="Cambria" w:hAnsi="Cambria"/>
        </w:rPr>
        <w:t xml:space="preserve"> (Ab)</w:t>
      </w:r>
      <w:r>
        <w:rPr>
          <w:rFonts w:ascii="Cambria" w:hAnsi="Cambria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164"/>
      </w:tblGrid>
      <w:tr w:rsidR="00D02C1B" w:rsidRPr="00503473" w14:paraId="1C70AFFF" w14:textId="77777777" w:rsidTr="008B7A11">
        <w:trPr>
          <w:trHeight w:val="624"/>
          <w:jc w:val="center"/>
        </w:trPr>
        <w:tc>
          <w:tcPr>
            <w:tcW w:w="4390" w:type="dxa"/>
          </w:tcPr>
          <w:p w14:paraId="3B9AF3A8" w14:textId="323E2EA2" w:rsidR="00D02C1B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</w:rPr>
                      <m:t>FTS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FTS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FTS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TSH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</w:rPr>
                      <m:t>FTS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</w:rPr>
                      <m:t>Ab</m:t>
                    </m:r>
                  </m:e>
                </m:d>
              </m:oMath>
            </m:oMathPara>
          </w:p>
        </w:tc>
        <w:tc>
          <w:tcPr>
            <w:tcW w:w="640" w:type="dxa"/>
          </w:tcPr>
          <w:p w14:paraId="4282512B" w14:textId="77777777" w:rsidR="00D02C1B" w:rsidRPr="00503473" w:rsidRDefault="00D02C1B" w:rsidP="00977F39">
            <w:pPr>
              <w:jc w:val="right"/>
              <w:rPr>
                <w:rFonts w:ascii="Cambria" w:hAnsi="Cambria"/>
              </w:rPr>
            </w:pPr>
            <w:commentRangeStart w:id="4"/>
            <w:commentRangeStart w:id="5"/>
            <w:r w:rsidRPr="00503473">
              <w:rPr>
                <w:rFonts w:ascii="Cambria" w:hAnsi="Cambria"/>
              </w:rPr>
              <w:t>(5)</w:t>
            </w:r>
            <w:commentRangeEnd w:id="4"/>
            <w:r w:rsidR="00557755">
              <w:rPr>
                <w:rStyle w:val="CommentReference"/>
              </w:rPr>
              <w:commentReference w:id="4"/>
            </w:r>
            <w:commentRangeEnd w:id="5"/>
            <w:r w:rsidR="004F524E">
              <w:rPr>
                <w:rStyle w:val="CommentReference"/>
              </w:rPr>
              <w:commentReference w:id="5"/>
            </w:r>
          </w:p>
        </w:tc>
      </w:tr>
    </w:tbl>
    <w:p w14:paraId="714FEB02" w14:textId="77777777" w:rsidR="00C22765" w:rsidRDefault="00C22765" w:rsidP="0006159F">
      <w:pPr>
        <w:jc w:val="both"/>
        <w:rPr>
          <w:rFonts w:ascii="Cambria" w:hAnsi="Cambria"/>
        </w:rPr>
      </w:pPr>
    </w:p>
    <w:p w14:paraId="35177F55" w14:textId="77777777" w:rsidR="00D94402" w:rsidRDefault="00D94402" w:rsidP="00D9440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731444A7" wp14:editId="2F709E5C">
            <wp:extent cx="4866734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" b="1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34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CB68D" w14:textId="12898C55" w:rsidR="00D94402" w:rsidRPr="00D94402" w:rsidRDefault="00D94402" w:rsidP="00D94402">
      <w:pPr>
        <w:rPr>
          <w:rFonts w:ascii="Cambria" w:hAnsi="Cambria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Figure </w:t>
      </w:r>
      <w:r w:rsidR="00AD2228">
        <w:rPr>
          <w:rFonts w:ascii="Cambria" w:eastAsiaTheme="minorEastAsia" w:hAnsi="Cambria" w:cs="Arial"/>
          <w:b/>
          <w:bCs/>
          <w:sz w:val="18"/>
          <w:szCs w:val="18"/>
        </w:rPr>
        <w:t>2</w:t>
      </w: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: </w:t>
      </w:r>
      <w:r>
        <w:rPr>
          <w:rFonts w:ascii="Cambria" w:eastAsiaTheme="minorEastAsia" w:hAnsi="Cambria" w:cs="Arial"/>
          <w:sz w:val="18"/>
          <w:szCs w:val="18"/>
        </w:rPr>
        <w:t>Immune system submodel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Green arrows represent stimulatory effects causing proliferation or differentiation, while red arrows represent degradation or destruction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557755">
        <w:rPr>
          <w:rFonts w:ascii="Cambria" w:eastAsiaTheme="minorEastAsia" w:hAnsi="Cambria" w:cs="Arial"/>
          <w:sz w:val="18"/>
          <w:szCs w:val="18"/>
        </w:rPr>
        <w:t xml:space="preserve"> T4 in plasma enters the B-cell and generates T3 for </w:t>
      </w:r>
      <w:r w:rsidR="000A0426">
        <w:rPr>
          <w:rFonts w:ascii="Cambria" w:eastAsiaTheme="minorEastAsia" w:hAnsi="Cambria" w:cs="Arial"/>
          <w:sz w:val="18"/>
          <w:szCs w:val="18"/>
        </w:rPr>
        <w:t>thyromimetic</w:t>
      </w:r>
      <w:r w:rsidR="00557755">
        <w:rPr>
          <w:rFonts w:ascii="Cambria" w:eastAsiaTheme="minorEastAsia" w:hAnsi="Cambria" w:cs="Arial"/>
          <w:sz w:val="18"/>
          <w:szCs w:val="18"/>
        </w:rPr>
        <w:t xml:space="preserve"> effect</w:t>
      </w:r>
      <w:r w:rsidR="000A0426">
        <w:rPr>
          <w:rFonts w:ascii="Cambria" w:eastAsiaTheme="minorEastAsia" w:hAnsi="Cambria" w:cs="Arial"/>
          <w:sz w:val="18"/>
          <w:szCs w:val="18"/>
        </w:rPr>
        <w:t>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The double-headed black arrow from B-cells to plasma cells indicates differentiation in which a B-cell matures into a plasma cell.</w:t>
      </w:r>
    </w:p>
    <w:p w14:paraId="4C0A20D9" w14:textId="4CB97C58" w:rsidR="00D02C1B" w:rsidRDefault="00D02C1B" w:rsidP="0006159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TPOAb and TGAb are grouped into a single compartment </w:t>
      </w:r>
      <w:r>
        <w:rPr>
          <w:rFonts w:ascii="Cambria" w:hAnsi="Cambria"/>
          <w:i/>
          <w:iCs/>
        </w:rPr>
        <w:t>Ab</w:t>
      </w:r>
      <w:r w:rsidR="00557755">
        <w:rPr>
          <w:rFonts w:ascii="Cambria" w:hAnsi="Cambria"/>
          <w:i/>
          <w:iCs/>
        </w:rPr>
        <w:t xml:space="preserve"> </w:t>
      </w:r>
      <w:r w:rsidR="00557755">
        <w:rPr>
          <w:rFonts w:ascii="Cambria" w:hAnsi="Cambria"/>
        </w:rPr>
        <w:t>in ODE (6)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>The dynamics of antibody in the blood were modeled as the difference between plasma cell antibody production and the loss of antibody either through inter</w:t>
      </w:r>
      <w:r w:rsidR="0047429E">
        <w:rPr>
          <w:rFonts w:ascii="Cambria" w:hAnsi="Cambria"/>
        </w:rPr>
        <w:t xml:space="preserve">nalization by thyroid cells or due to </w:t>
      </w:r>
      <w:r w:rsidR="00955605">
        <w:rPr>
          <w:rFonts w:ascii="Cambria" w:hAnsi="Cambria"/>
        </w:rPr>
        <w:t>degradation</w:t>
      </w:r>
      <w:r w:rsidR="0047429E">
        <w:rPr>
          <w:rFonts w:ascii="Cambria" w:hAnsi="Cambria"/>
        </w:rPr>
        <w:t xml:space="preserve"> calculated from experimental </w:t>
      </w:r>
      <w:r w:rsidR="00B52F52">
        <w:rPr>
          <w:rFonts w:ascii="Cambria" w:hAnsi="Cambria"/>
        </w:rPr>
        <w:t>half-life</w:t>
      </w:r>
      <w:r w:rsidR="00B52F52">
        <w:rPr>
          <w:rFonts w:ascii="Cambria" w:hAnsi="Cambria"/>
          <w:vertAlign w:val="superscript"/>
        </w:rPr>
        <w:t>12</w:t>
      </w:r>
      <w:r w:rsidR="0068109B">
        <w:rPr>
          <w:rFonts w:ascii="Cambria" w:hAnsi="Cambria"/>
        </w:rPr>
        <w:t xml:space="preserve">.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47429E" w:rsidRPr="00503473" w14:paraId="1356FDD1" w14:textId="77777777" w:rsidTr="00F116EE">
        <w:trPr>
          <w:trHeight w:val="624"/>
          <w:jc w:val="center"/>
        </w:trPr>
        <w:tc>
          <w:tcPr>
            <w:tcW w:w="4390" w:type="dxa"/>
          </w:tcPr>
          <w:p w14:paraId="51B1D33D" w14:textId="77777777" w:rsidR="0047429E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  <w:iCs/>
                      </w:rPr>
                      <m:t>Ab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P-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  <w:iCs/>
                  </w:rPr>
                  <m:t>Ab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FTS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FTS</m:t>
                    </m:r>
                  </m:e>
                </m:d>
              </m:oMath>
            </m:oMathPara>
          </w:p>
        </w:tc>
        <w:tc>
          <w:tcPr>
            <w:tcW w:w="640" w:type="dxa"/>
          </w:tcPr>
          <w:p w14:paraId="2E01BA5B" w14:textId="77777777" w:rsidR="0047429E" w:rsidRPr="00503473" w:rsidRDefault="0047429E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(6)</w:t>
            </w:r>
          </w:p>
        </w:tc>
      </w:tr>
    </w:tbl>
    <w:p w14:paraId="7EB1B5C9" w14:textId="188C17B8" w:rsidR="004F524E" w:rsidRDefault="004F524E" w:rsidP="004F524E">
      <w:pPr>
        <w:rPr>
          <w:rFonts w:ascii="Cambria" w:eastAsiaTheme="minorEastAsia" w:hAnsi="Cambria"/>
        </w:rPr>
      </w:pPr>
      <w:r w:rsidRPr="00503473">
        <w:rPr>
          <w:rFonts w:ascii="Cambria" w:hAnsi="Cambria"/>
        </w:rPr>
        <w:t xml:space="preserve">The terms with form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C+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503473">
        <w:rPr>
          <w:rFonts w:ascii="Cambria" w:eastAsiaTheme="minorEastAsia" w:hAnsi="Cambria"/>
        </w:rPr>
        <w:t xml:space="preserve"> in the B-cell and T-cell equations (1</w:t>
      </w:r>
      <w:r>
        <w:rPr>
          <w:rFonts w:ascii="Cambria" w:eastAsiaTheme="minorEastAsia" w:hAnsi="Cambria"/>
        </w:rPr>
        <w:t>) and (4</w:t>
      </w:r>
      <w:r w:rsidRPr="00503473">
        <w:rPr>
          <w:rFonts w:ascii="Cambria" w:eastAsiaTheme="minorEastAsia" w:hAnsi="Cambria"/>
        </w:rPr>
        <w:t>) represent the saturable, threshold</w:t>
      </w:r>
      <w:r>
        <w:rPr>
          <w:rFonts w:ascii="Cambria" w:eastAsiaTheme="minorEastAsia" w:hAnsi="Cambria"/>
        </w:rPr>
        <w:t>-</w:t>
      </w:r>
      <w:r w:rsidRPr="00503473">
        <w:rPr>
          <w:rFonts w:ascii="Cambria" w:eastAsiaTheme="minorEastAsia" w:hAnsi="Cambria"/>
        </w:rPr>
        <w:t>dependent cytokine production and activation of the cells</w:t>
      </w:r>
      <w:r w:rsidR="0068109B">
        <w:rPr>
          <w:rFonts w:ascii="Cambria" w:eastAsiaTheme="minorEastAsia" w:hAnsi="Cambria"/>
        </w:rPr>
        <w:t xml:space="preserve">.  </w:t>
      </w:r>
      <w:r>
        <w:rPr>
          <w:rFonts w:ascii="Cambria" w:eastAsiaTheme="minorEastAsia" w:hAnsi="Cambria"/>
        </w:rPr>
        <w:t xml:space="preserve"> </w:t>
      </w:r>
      <w:r w:rsidRPr="00503473">
        <w:rPr>
          <w:rFonts w:ascii="Cambria" w:eastAsiaTheme="minorEastAsia" w:hAnsi="Cambria"/>
        </w:rPr>
        <w:t>Cytokine levels far below the threshold</w:t>
      </w:r>
      <w:r>
        <w:rPr>
          <w:rFonts w:ascii="Cambria" w:eastAsiaTheme="minorEastAsia" w:hAnsi="Cambria"/>
        </w:rPr>
        <w:t>s</w:t>
      </w:r>
      <w:r w:rsidRPr="00503473"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τB and tauT</m:t>
        </m:r>
      </m:oMath>
      <w:r w:rsidRPr="00503473">
        <w:rPr>
          <w:rFonts w:ascii="Cambria" w:eastAsiaTheme="minorEastAsia" w:hAnsi="Cambria"/>
        </w:rPr>
        <w:t xml:space="preserve"> have little effect on cell dynamic, while the effect of very large cytokine levels is constant after the cell receptors are saturated</w:t>
      </w:r>
      <w:r>
        <w:rPr>
          <w:rFonts w:ascii="Cambria" w:eastAsiaTheme="minorEastAsia" w:hAnsi="Cambria"/>
          <w:vertAlign w:val="superscript"/>
        </w:rPr>
        <w:t>9</w:t>
      </w:r>
      <w:r w:rsidR="0068109B">
        <w:rPr>
          <w:rFonts w:ascii="Cambria" w:eastAsiaTheme="minorEastAsia" w:hAnsi="Cambria"/>
        </w:rPr>
        <w:t xml:space="preserve">.  </w:t>
      </w:r>
      <w:r w:rsidRPr="00503473">
        <w:rPr>
          <w:rFonts w:ascii="Cambria" w:eastAsiaTheme="minorEastAsia" w:hAnsi="Cambria"/>
        </w:rPr>
        <w:t xml:space="preserve"> The term</w:t>
      </w:r>
      <w:r>
        <w:rPr>
          <w:rFonts w:ascii="Cambria" w:eastAsiaTheme="minorEastAsia" w:hAnsi="Cambr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>TSH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>FTS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>FTS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503473">
        <w:rPr>
          <w:rFonts w:ascii="Cambria" w:eastAsiaTheme="minorEastAsia" w:hAnsi="Cambria"/>
        </w:rPr>
        <w:t xml:space="preserve"> in </w:t>
      </w:r>
      <w:r w:rsidRPr="00160ED9">
        <w:rPr>
          <w:rFonts w:ascii="Cambria" w:eastAsiaTheme="minorEastAsia" w:hAnsi="Cambria"/>
          <w:i/>
          <w:iCs/>
        </w:rPr>
        <w:t>FTS</w:t>
      </w:r>
      <w:r w:rsidRPr="0050347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Eq</w:t>
      </w:r>
      <w:r w:rsidR="0068109B">
        <w:rPr>
          <w:rFonts w:ascii="Cambria" w:eastAsiaTheme="minorEastAsia" w:hAnsi="Cambria"/>
        </w:rPr>
        <w:t xml:space="preserve">.  </w:t>
      </w:r>
      <w:r w:rsidRPr="00503473">
        <w:rPr>
          <w:rFonts w:ascii="Cambria" w:eastAsiaTheme="minorEastAsia" w:hAnsi="Cambria"/>
        </w:rPr>
        <w:t>(5)</w:t>
      </w:r>
      <w:r>
        <w:rPr>
          <w:rFonts w:ascii="Cambria" w:eastAsiaTheme="minorEastAsia" w:hAnsi="Cambria"/>
        </w:rPr>
        <w:t xml:space="preserve"> represents the TSH-driven growth of functional thyroid size which increases as </w:t>
      </w:r>
      <w:r w:rsidRPr="00160ED9">
        <w:rPr>
          <w:rFonts w:ascii="Cambria" w:eastAsiaTheme="minorEastAsia" w:hAnsi="Cambria"/>
          <w:i/>
          <w:iCs/>
        </w:rPr>
        <w:t>FTS</w:t>
      </w:r>
      <w:r>
        <w:rPr>
          <w:rFonts w:ascii="Cambria" w:eastAsiaTheme="minorEastAsia" w:hAnsi="Cambria"/>
        </w:rPr>
        <w:t xml:space="preserve"> approaches zero as the body attempts to increase </w:t>
      </w:r>
      <w:r w:rsidRPr="00160ED9">
        <w:rPr>
          <w:rFonts w:ascii="Cambria" w:eastAsiaTheme="minorEastAsia" w:hAnsi="Cambria"/>
          <w:i/>
          <w:iCs/>
        </w:rPr>
        <w:t>FTS</w:t>
      </w:r>
      <w:r>
        <w:rPr>
          <w:rFonts w:ascii="Cambria" w:eastAsiaTheme="minorEastAsia" w:hAnsi="Cambria"/>
        </w:rPr>
        <w:t xml:space="preserve"> by promoting thyroid growth and upregulating the amount of thyroid hormone produced by remaining thyroid follicular cells</w:t>
      </w:r>
      <w:r w:rsidR="0068109B">
        <w:rPr>
          <w:rFonts w:ascii="Cambria" w:eastAsiaTheme="minorEastAsia" w:hAnsi="Cambria"/>
        </w:rPr>
        <w:t xml:space="preserve">.  </w:t>
      </w:r>
      <w:r>
        <w:rPr>
          <w:rFonts w:ascii="Cambria" w:eastAsiaTheme="minorEastAsia" w:hAnsi="Cambria"/>
        </w:rPr>
        <w:t xml:space="preserve"> The remaining terms represent standard growth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>) and leaks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>) as summarized in Table 1 below.</w:t>
      </w:r>
    </w:p>
    <w:p w14:paraId="7976CEEC" w14:textId="4F31774C" w:rsidR="00CE5184" w:rsidRPr="00503473" w:rsidRDefault="00E3743D" w:rsidP="00A35FA1">
      <w:pPr>
        <w:jc w:val="both"/>
        <w:rPr>
          <w:rFonts w:ascii="Cambria" w:hAnsi="Cambria"/>
        </w:rPr>
      </w:pP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II</w:t>
      </w:r>
      <w:r w:rsidR="0068109B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 xml:space="preserve">.  </w:t>
      </w: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 xml:space="preserve"> Thyroid Hormone Regulation Subsystem Mode</w:t>
      </w:r>
      <w:r w:rsidR="00746BA6"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l:</w:t>
      </w:r>
      <w:r>
        <w:rPr>
          <w:rFonts w:ascii="Cambria" w:hAnsi="Cambria"/>
        </w:rPr>
        <w:t xml:space="preserve">  </w:t>
      </w:r>
      <w:r w:rsidR="00AB3AD8">
        <w:rPr>
          <w:rFonts w:ascii="Cambria" w:hAnsi="Cambria"/>
        </w:rPr>
        <w:t>T</w:t>
      </w:r>
      <w:r w:rsidR="00CE5184" w:rsidRPr="00503473">
        <w:rPr>
          <w:rFonts w:ascii="Cambria" w:hAnsi="Cambria"/>
        </w:rPr>
        <w:t xml:space="preserve">he T3 and T4 </w:t>
      </w:r>
      <w:r w:rsidR="00CF0192">
        <w:rPr>
          <w:rFonts w:ascii="Cambria" w:hAnsi="Cambria"/>
        </w:rPr>
        <w:t xml:space="preserve">secretion rates </w:t>
      </w:r>
      <w:r w:rsidR="00AB3AD8" w:rsidRPr="00746BA6">
        <w:rPr>
          <w:rFonts w:ascii="Cambria" w:hAnsi="Cambria"/>
          <w:i/>
          <w:iCs/>
        </w:rPr>
        <w:t>SR3</w:t>
      </w:r>
      <w:r w:rsidR="00AB3AD8">
        <w:rPr>
          <w:rFonts w:ascii="Cambria" w:hAnsi="Cambria"/>
        </w:rPr>
        <w:t xml:space="preserve"> and </w:t>
      </w:r>
      <w:r w:rsidR="00AB3AD8" w:rsidRPr="00746BA6">
        <w:rPr>
          <w:rFonts w:ascii="Cambria" w:hAnsi="Cambria"/>
          <w:i/>
          <w:iCs/>
        </w:rPr>
        <w:t>SR</w:t>
      </w:r>
      <w:r w:rsidR="00AB3AD8" w:rsidRPr="00746BA6">
        <w:rPr>
          <w:rFonts w:ascii="Cambria" w:hAnsi="Cambria"/>
          <w:vertAlign w:val="subscript"/>
        </w:rPr>
        <w:t>4</w:t>
      </w:r>
      <w:r w:rsidR="00AB3AD8">
        <w:rPr>
          <w:rFonts w:ascii="Cambria" w:hAnsi="Cambria"/>
        </w:rPr>
        <w:t xml:space="preserve"> </w:t>
      </w:r>
      <w:r w:rsidR="00CF0192">
        <w:rPr>
          <w:rFonts w:ascii="Cambria" w:hAnsi="Cambria"/>
        </w:rPr>
        <w:t>in</w:t>
      </w:r>
      <w:r w:rsidR="00CE5184" w:rsidRPr="00503473">
        <w:rPr>
          <w:rFonts w:ascii="Cambria" w:hAnsi="Cambria"/>
        </w:rPr>
        <w:t xml:space="preserve"> p-</w:t>
      </w:r>
      <w:r w:rsidR="00557755" w:rsidRPr="00503473">
        <w:rPr>
          <w:rFonts w:ascii="Cambria" w:hAnsi="Cambria"/>
        </w:rPr>
        <w:t>T</w:t>
      </w:r>
      <w:r w:rsidR="00557755">
        <w:rPr>
          <w:rFonts w:ascii="Cambria" w:hAnsi="Cambria"/>
        </w:rPr>
        <w:t>HYROSIM</w:t>
      </w:r>
      <w:r w:rsidR="00557755" w:rsidRPr="00503473">
        <w:rPr>
          <w:rFonts w:ascii="Cambria" w:hAnsi="Cambria"/>
        </w:rPr>
        <w:t xml:space="preserve"> </w:t>
      </w:r>
      <w:r w:rsidR="00CE5184" w:rsidRPr="00503473">
        <w:rPr>
          <w:rFonts w:ascii="Cambria" w:hAnsi="Cambria"/>
        </w:rPr>
        <w:t xml:space="preserve">are modified </w:t>
      </w:r>
      <w:r w:rsidR="00AB3AD8">
        <w:rPr>
          <w:rFonts w:ascii="Cambria" w:hAnsi="Cambria"/>
        </w:rPr>
        <w:t xml:space="preserve">as in (7) and (8) below, </w:t>
      </w:r>
      <w:r w:rsidR="00CE5184" w:rsidRPr="00503473">
        <w:rPr>
          <w:rFonts w:ascii="Cambria" w:hAnsi="Cambria"/>
        </w:rPr>
        <w:t xml:space="preserve">to account for changing </w:t>
      </w:r>
      <w:r w:rsidR="00CE5184" w:rsidRPr="00746BA6">
        <w:rPr>
          <w:rFonts w:ascii="Cambria" w:hAnsi="Cambria"/>
          <w:i/>
          <w:iCs/>
        </w:rPr>
        <w:t>FTS</w:t>
      </w:r>
      <w:r w:rsidR="00CE5184" w:rsidRPr="00503473">
        <w:rPr>
          <w:rFonts w:ascii="Cambria" w:hAnsi="Cambria"/>
        </w:rPr>
        <w:t xml:space="preserve"> and</w:t>
      </w:r>
      <w:r w:rsidR="00955605">
        <w:rPr>
          <w:rFonts w:ascii="Cambria" w:hAnsi="Cambria"/>
        </w:rPr>
        <w:t xml:space="preserve"> </w:t>
      </w:r>
      <w:r w:rsidR="00CE5184" w:rsidRPr="00503473">
        <w:rPr>
          <w:rFonts w:ascii="Cambria" w:hAnsi="Cambria"/>
        </w:rPr>
        <w:t>corresponding thyroid hormone production rates</w:t>
      </w:r>
      <w:r w:rsidR="00AB3AD8">
        <w:rPr>
          <w:rFonts w:ascii="Cambria" w:hAnsi="Cambria"/>
        </w:rPr>
        <w:t>,</w:t>
      </w:r>
      <w:r w:rsidR="00A35FA1" w:rsidRPr="00503473">
        <w:rPr>
          <w:rFonts w:ascii="Cambria" w:hAnsi="Cambria"/>
        </w:rPr>
        <w:t xml:space="preserve"> by multiplying the</w:t>
      </w:r>
      <w:r w:rsidR="00AB3AD8">
        <w:rPr>
          <w:rFonts w:ascii="Cambria" w:hAnsi="Cambria"/>
        </w:rPr>
        <w:t>m</w:t>
      </w:r>
      <w:r w:rsidR="00A35FA1" w:rsidRPr="00503473">
        <w:rPr>
          <w:rFonts w:ascii="Cambria" w:hAnsi="Cambria"/>
        </w:rPr>
        <w:t xml:space="preserve"> by a proportionality constant dependent on the current </w:t>
      </w:r>
      <w:r w:rsidR="00A35FA1" w:rsidRPr="00746BA6">
        <w:rPr>
          <w:rFonts w:ascii="Cambria" w:hAnsi="Cambria"/>
          <w:i/>
          <w:iCs/>
        </w:rPr>
        <w:t>FTS</w:t>
      </w:r>
      <w:r w:rsidR="00A35FA1" w:rsidRPr="00503473">
        <w:rPr>
          <w:rFonts w:ascii="Cambria" w:hAnsi="Cambria"/>
        </w:rPr>
        <w:t xml:space="preserve"> and the patient’s predicted euthyroid </w:t>
      </w:r>
      <w:r w:rsidR="00A35FA1" w:rsidRPr="00746BA6">
        <w:rPr>
          <w:rFonts w:ascii="Cambria" w:hAnsi="Cambria"/>
          <w:i/>
          <w:iCs/>
        </w:rPr>
        <w:t>FTS</w:t>
      </w:r>
      <w:r w:rsidR="00AB3AD8">
        <w:rPr>
          <w:rFonts w:ascii="Cambria" w:hAnsi="Cambria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533"/>
      </w:tblGrid>
      <w:tr w:rsidR="00FC1174" w:rsidRPr="00503473" w14:paraId="56A25AEE" w14:textId="77777777" w:rsidTr="00F116EE">
        <w:trPr>
          <w:trHeight w:val="624"/>
          <w:jc w:val="center"/>
        </w:trPr>
        <w:tc>
          <w:tcPr>
            <w:tcW w:w="4497" w:type="dxa"/>
          </w:tcPr>
          <w:p w14:paraId="39392D25" w14:textId="01A5DAB4" w:rsidR="00CF0192" w:rsidRPr="00CF0192" w:rsidRDefault="00CF0192" w:rsidP="00A35FA1">
            <w:pPr>
              <w:jc w:val="both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4IM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</w:rPr>
                      <m:t>FTS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i/>
                          </w:rPr>
                          <m:t>FTS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1C18D257" w14:textId="30BC54BA" w:rsidR="00FC1174" w:rsidRPr="00503473" w:rsidRDefault="00FC1174" w:rsidP="00A35FA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533" w:type="dxa"/>
          </w:tcPr>
          <w:p w14:paraId="7F4A0B59" w14:textId="357FD827" w:rsidR="00FC1174" w:rsidRPr="00503473" w:rsidRDefault="00FC1174" w:rsidP="00FC1174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(7)</w:t>
            </w:r>
          </w:p>
        </w:tc>
      </w:tr>
      <w:tr w:rsidR="00FC1174" w:rsidRPr="00503473" w14:paraId="21D3E7C5" w14:textId="77777777" w:rsidTr="00F116EE">
        <w:trPr>
          <w:trHeight w:val="624"/>
          <w:jc w:val="center"/>
        </w:trPr>
        <w:tc>
          <w:tcPr>
            <w:tcW w:w="4497" w:type="dxa"/>
          </w:tcPr>
          <w:p w14:paraId="279D03A3" w14:textId="623E57A9" w:rsidR="00CF0192" w:rsidRPr="00CF0192" w:rsidRDefault="00CF0192" w:rsidP="00CF0192">
            <w:pPr>
              <w:jc w:val="both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3IM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  <w:iCs/>
                      </w:rPr>
                      <m:t>FTS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  <m:t>FTS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2D873135" w14:textId="7DE75413" w:rsidR="00FC1174" w:rsidRPr="00503473" w:rsidRDefault="00FC1174" w:rsidP="00A35FA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533" w:type="dxa"/>
          </w:tcPr>
          <w:p w14:paraId="36778271" w14:textId="19428B7F" w:rsidR="00FC1174" w:rsidRPr="00503473" w:rsidRDefault="00FC1174" w:rsidP="00FC1174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(8)</w:t>
            </w:r>
          </w:p>
        </w:tc>
      </w:tr>
    </w:tbl>
    <w:p w14:paraId="5D5E5A8F" w14:textId="2D3AD773" w:rsidR="00AB3AD8" w:rsidRDefault="00AB3AD8" w:rsidP="00BE6F86">
      <w:pPr>
        <w:rPr>
          <w:rFonts w:ascii="Cambria" w:hAnsi="Cambria"/>
        </w:rPr>
      </w:pPr>
      <w:commentRangeStart w:id="6"/>
      <w:r>
        <w:rPr>
          <w:rFonts w:ascii="Cambria" w:hAnsi="Cambria"/>
        </w:rPr>
        <w:t xml:space="preserve">The remaining components </w:t>
      </w:r>
      <w:r w:rsidR="00B538C6">
        <w:rPr>
          <w:rFonts w:ascii="Cambria" w:hAnsi="Cambria"/>
        </w:rPr>
        <w:t>and their parameter values in</w:t>
      </w:r>
      <w:r>
        <w:rPr>
          <w:rFonts w:ascii="Cambria" w:hAnsi="Cambria"/>
        </w:rPr>
        <w:t xml:space="preserve"> p-THYROSIM are unchanged, </w:t>
      </w:r>
      <w:r w:rsidR="00B538C6">
        <w:rPr>
          <w:rFonts w:ascii="Cambria" w:hAnsi="Cambria"/>
        </w:rPr>
        <w:t>under the assumption that only the thyroid gland and its associated component parameters are affected by</w:t>
      </w:r>
      <w:r>
        <w:rPr>
          <w:rFonts w:ascii="Cambria" w:hAnsi="Cambria"/>
        </w:rPr>
        <w:t xml:space="preserve"> the immune subs</w:t>
      </w:r>
      <w:r w:rsidR="004F524E">
        <w:rPr>
          <w:rFonts w:ascii="Cambria" w:hAnsi="Cambria"/>
        </w:rPr>
        <w:t>ys</w:t>
      </w:r>
      <w:r>
        <w:rPr>
          <w:rFonts w:ascii="Cambria" w:hAnsi="Cambria"/>
        </w:rPr>
        <w:t>tem.</w:t>
      </w:r>
      <w:commentRangeEnd w:id="6"/>
      <w:r w:rsidR="00B538C6">
        <w:rPr>
          <w:rStyle w:val="CommentReference"/>
        </w:rPr>
        <w:commentReference w:id="6"/>
      </w:r>
    </w:p>
    <w:p w14:paraId="7FA8DF56" w14:textId="69FBE013" w:rsidR="002505F7" w:rsidRDefault="00E3743D" w:rsidP="00BE6F86">
      <w:pPr>
        <w:rPr>
          <w:rFonts w:ascii="Cambria" w:eastAsiaTheme="minorEastAsia" w:hAnsi="Cambria"/>
        </w:rPr>
      </w:pP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III</w:t>
      </w:r>
      <w:r w:rsidR="0068109B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 xml:space="preserve">.  </w:t>
      </w: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Full Model</w:t>
      </w:r>
      <w:r w:rsidR="00746BA6"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:</w:t>
      </w:r>
      <w:r w:rsidRPr="00746BA6">
        <w:rPr>
          <w:rFonts w:ascii="Cambria" w:hAnsi="Cambria"/>
          <w:color w:val="808080" w:themeColor="background1" w:themeShade="80"/>
        </w:rPr>
        <w:t xml:space="preserve">  </w:t>
      </w:r>
      <w:r w:rsidR="00D94402">
        <w:rPr>
          <w:rFonts w:ascii="Cambria" w:hAnsi="Cambria"/>
        </w:rPr>
        <w:t xml:space="preserve">The full </w:t>
      </w:r>
      <w:r w:rsidR="00AB3AD8">
        <w:rPr>
          <w:rFonts w:ascii="Cambria" w:hAnsi="Cambria"/>
        </w:rPr>
        <w:t xml:space="preserve">integrated </w:t>
      </w:r>
      <w:r w:rsidR="00D94402">
        <w:rPr>
          <w:rFonts w:ascii="Cambria" w:hAnsi="Cambria"/>
        </w:rPr>
        <w:t xml:space="preserve">compartmental model is shown in figure </w:t>
      </w:r>
      <w:r w:rsidR="00AD2228">
        <w:rPr>
          <w:rFonts w:ascii="Cambria" w:hAnsi="Cambria"/>
        </w:rPr>
        <w:t>3</w:t>
      </w:r>
      <w:r w:rsidR="0068109B">
        <w:rPr>
          <w:rFonts w:ascii="Cambria" w:hAnsi="Cambria"/>
        </w:rPr>
        <w:t xml:space="preserve">.  </w:t>
      </w:r>
      <w:r w:rsidR="0014357F">
        <w:rPr>
          <w:rFonts w:ascii="Cambria" w:hAnsi="Cambria"/>
        </w:rPr>
        <w:t xml:space="preserve"> </w:t>
      </w:r>
    </w:p>
    <w:p w14:paraId="11359A69" w14:textId="77777777" w:rsidR="002505F7" w:rsidRDefault="002505F7" w:rsidP="00BE6F86">
      <w:pPr>
        <w:rPr>
          <w:rFonts w:ascii="Cambria" w:eastAsiaTheme="minorEastAsia" w:hAnsi="Cambria"/>
        </w:rPr>
      </w:pPr>
    </w:p>
    <w:p w14:paraId="4AF834BD" w14:textId="77777777" w:rsidR="008B7A11" w:rsidRDefault="008B7A11" w:rsidP="00BE6F86">
      <w:pPr>
        <w:rPr>
          <w:rFonts w:ascii="Cambria" w:eastAsiaTheme="minorEastAsia" w:hAnsi="Cambria"/>
        </w:rPr>
      </w:pPr>
    </w:p>
    <w:p w14:paraId="03E1B29E" w14:textId="558E30EF" w:rsidR="00AD2228" w:rsidRPr="0006159F" w:rsidRDefault="00AD2228" w:rsidP="00BE6F86">
      <w:pPr>
        <w:rPr>
          <w:rFonts w:ascii="Cambria" w:eastAsiaTheme="minorEastAsia" w:hAnsi="Cambria"/>
        </w:rPr>
        <w:sectPr w:rsidR="00AD2228" w:rsidRPr="0006159F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1559"/>
        <w:gridCol w:w="1843"/>
        <w:gridCol w:w="2413"/>
      </w:tblGrid>
      <w:tr w:rsidR="004B7FD2" w:rsidRPr="000B3F01" w14:paraId="69A19B7B" w14:textId="77777777" w:rsidTr="007845A4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59C893E5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EDE989F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920333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89183AF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1175A758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Source</w:t>
            </w:r>
          </w:p>
        </w:tc>
      </w:tr>
      <w:tr w:rsidR="004B7FD2" w:rsidRPr="000B3F01" w14:paraId="04A6E8F8" w14:textId="77777777" w:rsidTr="007845A4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00C1875C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B72972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B-cell activation rate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61EB9D9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3CC7BA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  <w:tcBorders>
              <w:top w:val="single" w:sz="4" w:space="0" w:color="auto"/>
            </w:tcBorders>
          </w:tcPr>
          <w:p w14:paraId="46B0B89B" w14:textId="1B0DFCED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6EF1715E" w14:textId="77777777" w:rsidTr="007845A4">
        <w:trPr>
          <w:jc w:val="center"/>
        </w:trPr>
        <w:tc>
          <w:tcPr>
            <w:tcW w:w="1701" w:type="dxa"/>
          </w:tcPr>
          <w:p w14:paraId="58E6E04A" w14:textId="77777777" w:rsidR="004B7FD2" w:rsidRPr="00057F68" w:rsidRDefault="00000000" w:rsidP="00977F39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2C376CAC" w14:textId="49B81796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 xml:space="preserve">Plasma </w:t>
            </w:r>
            <w:r w:rsidR="008F17A3">
              <w:rPr>
                <w:rFonts w:ascii="Arial" w:eastAsiaTheme="minorEastAsia" w:hAnsi="Arial" w:cs="Arial"/>
                <w:sz w:val="18"/>
                <w:szCs w:val="18"/>
              </w:rPr>
              <w:t>c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ell transformation rate</w:t>
            </w:r>
          </w:p>
        </w:tc>
        <w:tc>
          <w:tcPr>
            <w:tcW w:w="1559" w:type="dxa"/>
          </w:tcPr>
          <w:p w14:paraId="6550CAA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677ACC5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6CFE32D8" w14:textId="421D8096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7748A755" w14:textId="77777777" w:rsidTr="007845A4">
        <w:trPr>
          <w:jc w:val="center"/>
        </w:trPr>
        <w:tc>
          <w:tcPr>
            <w:tcW w:w="1701" w:type="dxa"/>
          </w:tcPr>
          <w:p w14:paraId="20293400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67BCB7C5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CD4+ helper T-cell activation rate</w:t>
            </w:r>
          </w:p>
        </w:tc>
        <w:tc>
          <w:tcPr>
            <w:tcW w:w="1559" w:type="dxa"/>
          </w:tcPr>
          <w:p w14:paraId="4DE2DD4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8.05</w:t>
            </w:r>
          </w:p>
        </w:tc>
        <w:tc>
          <w:tcPr>
            <w:tcW w:w="1843" w:type="dxa"/>
          </w:tcPr>
          <w:p w14:paraId="134ED48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cell/(mL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2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·sec)</w:t>
            </w:r>
          </w:p>
        </w:tc>
        <w:tc>
          <w:tcPr>
            <w:tcW w:w="2413" w:type="dxa"/>
          </w:tcPr>
          <w:p w14:paraId="523C8860" w14:textId="1151A78D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11</w:t>
            </w:r>
          </w:p>
        </w:tc>
      </w:tr>
      <w:tr w:rsidR="004B7FD2" w:rsidRPr="000B3F01" w14:paraId="43C510B5" w14:textId="77777777" w:rsidTr="007845A4">
        <w:trPr>
          <w:jc w:val="center"/>
        </w:trPr>
        <w:tc>
          <w:tcPr>
            <w:tcW w:w="1701" w:type="dxa"/>
          </w:tcPr>
          <w:p w14:paraId="2AA275CF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358E4225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Cytokine production rate</w:t>
            </w:r>
          </w:p>
        </w:tc>
        <w:tc>
          <w:tcPr>
            <w:tcW w:w="1559" w:type="dxa"/>
          </w:tcPr>
          <w:p w14:paraId="2D8C44E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51.84</w:t>
            </w:r>
          </w:p>
        </w:tc>
        <w:tc>
          <w:tcPr>
            <w:tcW w:w="1843" w:type="dxa"/>
          </w:tcPr>
          <w:p w14:paraId="793C4C59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molecule/(cell·sec)</w:t>
            </w:r>
          </w:p>
        </w:tc>
        <w:tc>
          <w:tcPr>
            <w:tcW w:w="2413" w:type="dxa"/>
          </w:tcPr>
          <w:p w14:paraId="1949EAE5" w14:textId="797022F8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13</w:t>
            </w:r>
          </w:p>
        </w:tc>
      </w:tr>
      <w:tr w:rsidR="004B7FD2" w:rsidRPr="000B3F01" w14:paraId="3F7DD980" w14:textId="77777777" w:rsidTr="007845A4">
        <w:trPr>
          <w:jc w:val="center"/>
        </w:trPr>
        <w:tc>
          <w:tcPr>
            <w:tcW w:w="1701" w:type="dxa"/>
          </w:tcPr>
          <w:p w14:paraId="0AE3757D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FTS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31EF02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 xml:space="preserve">Relative 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>FTS growth rate</w:t>
            </w:r>
          </w:p>
        </w:tc>
        <w:tc>
          <w:tcPr>
            <w:tcW w:w="1559" w:type="dxa"/>
          </w:tcPr>
          <w:p w14:paraId="64F1289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1e7</w:t>
            </w:r>
          </w:p>
        </w:tc>
        <w:tc>
          <w:tcPr>
            <w:tcW w:w="1843" w:type="dxa"/>
          </w:tcPr>
          <w:p w14:paraId="12B024AC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3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/(mU·s)</w:t>
            </w:r>
          </w:p>
        </w:tc>
        <w:tc>
          <w:tcPr>
            <w:tcW w:w="2413" w:type="dxa"/>
          </w:tcPr>
          <w:p w14:paraId="0A7B83D9" w14:textId="6F6A2114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8</w:t>
            </w:r>
          </w:p>
        </w:tc>
      </w:tr>
      <w:tr w:rsidR="004B7FD2" w:rsidRPr="000B3F01" w14:paraId="110F6D82" w14:textId="77777777" w:rsidTr="007845A4">
        <w:trPr>
          <w:jc w:val="center"/>
        </w:trPr>
        <w:tc>
          <w:tcPr>
            <w:tcW w:w="1701" w:type="dxa"/>
          </w:tcPr>
          <w:p w14:paraId="5E02E608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303F9BB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Ab production rate</w:t>
            </w:r>
          </w:p>
        </w:tc>
        <w:tc>
          <w:tcPr>
            <w:tcW w:w="1559" w:type="dxa"/>
          </w:tcPr>
          <w:p w14:paraId="1345C16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1e4</w:t>
            </w:r>
          </w:p>
        </w:tc>
        <w:tc>
          <w:tcPr>
            <w:tcW w:w="1843" w:type="dxa"/>
          </w:tcPr>
          <w:p w14:paraId="7618706A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molecules/(cell·s)</w:t>
            </w:r>
          </w:p>
        </w:tc>
        <w:tc>
          <w:tcPr>
            <w:tcW w:w="2413" w:type="dxa"/>
          </w:tcPr>
          <w:p w14:paraId="229D8BF8" w14:textId="201CCC4F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12</w:t>
            </w:r>
          </w:p>
        </w:tc>
      </w:tr>
      <w:tr w:rsidR="004B7FD2" w:rsidRPr="000B3F01" w14:paraId="6C9A7C00" w14:textId="77777777" w:rsidTr="007845A4">
        <w:trPr>
          <w:jc w:val="center"/>
        </w:trPr>
        <w:tc>
          <w:tcPr>
            <w:tcW w:w="1701" w:type="dxa"/>
          </w:tcPr>
          <w:p w14:paraId="575380CC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3980E847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B-cell death rate</w:t>
            </w:r>
          </w:p>
        </w:tc>
        <w:tc>
          <w:tcPr>
            <w:tcW w:w="1559" w:type="dxa"/>
          </w:tcPr>
          <w:p w14:paraId="215BC14A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2.0e-7</w:t>
            </w:r>
          </w:p>
        </w:tc>
        <w:tc>
          <w:tcPr>
            <w:tcW w:w="1843" w:type="dxa"/>
          </w:tcPr>
          <w:p w14:paraId="5812F106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69B55569" w14:textId="7C92259C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14</w:t>
            </w:r>
          </w:p>
        </w:tc>
      </w:tr>
      <w:tr w:rsidR="004B7FD2" w:rsidRPr="000B3F01" w14:paraId="3B751034" w14:textId="77777777" w:rsidTr="007845A4">
        <w:trPr>
          <w:jc w:val="center"/>
        </w:trPr>
        <w:tc>
          <w:tcPr>
            <w:tcW w:w="1701" w:type="dxa"/>
          </w:tcPr>
          <w:p w14:paraId="3365BB7C" w14:textId="77777777" w:rsidR="004B7FD2" w:rsidRPr="00057F68" w:rsidRDefault="00000000" w:rsidP="00977F39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60D64C0D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Plasma cell death rate</w:t>
            </w:r>
          </w:p>
        </w:tc>
        <w:tc>
          <w:tcPr>
            <w:tcW w:w="1559" w:type="dxa"/>
          </w:tcPr>
          <w:p w14:paraId="18307DE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2.0e-7</w:t>
            </w:r>
          </w:p>
        </w:tc>
        <w:tc>
          <w:tcPr>
            <w:tcW w:w="1843" w:type="dxa"/>
          </w:tcPr>
          <w:p w14:paraId="175B692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28DCD8C7" w14:textId="1BEED878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14</w:t>
            </w:r>
          </w:p>
        </w:tc>
      </w:tr>
      <w:tr w:rsidR="004B7FD2" w:rsidRPr="000B3F01" w14:paraId="53AF5E8A" w14:textId="77777777" w:rsidTr="007845A4">
        <w:trPr>
          <w:jc w:val="center"/>
        </w:trPr>
        <w:tc>
          <w:tcPr>
            <w:tcW w:w="1701" w:type="dxa"/>
          </w:tcPr>
          <w:p w14:paraId="0AAEFEA8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766C2A5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CD4+ T-cell death rate</w:t>
            </w:r>
          </w:p>
        </w:tc>
        <w:tc>
          <w:tcPr>
            <w:tcW w:w="1559" w:type="dxa"/>
          </w:tcPr>
          <w:p w14:paraId="2EA0B44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8.91e-7</w:t>
            </w:r>
          </w:p>
        </w:tc>
        <w:tc>
          <w:tcPr>
            <w:tcW w:w="1843" w:type="dxa"/>
          </w:tcPr>
          <w:p w14:paraId="6631DB7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21BC665A" w14:textId="2A2A2DEA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11</w:t>
            </w:r>
          </w:p>
        </w:tc>
      </w:tr>
      <w:tr w:rsidR="004B7FD2" w:rsidRPr="000B3F01" w14:paraId="17F3A9CC" w14:textId="77777777" w:rsidTr="007845A4">
        <w:trPr>
          <w:jc w:val="center"/>
        </w:trPr>
        <w:tc>
          <w:tcPr>
            <w:tcW w:w="1701" w:type="dxa"/>
          </w:tcPr>
          <w:p w14:paraId="40F98A30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40372A0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Cytokine degradation rate</w:t>
            </w:r>
          </w:p>
        </w:tc>
        <w:tc>
          <w:tcPr>
            <w:tcW w:w="1559" w:type="dxa"/>
          </w:tcPr>
          <w:p w14:paraId="1F553407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0.189</w:t>
            </w:r>
          </w:p>
        </w:tc>
        <w:tc>
          <w:tcPr>
            <w:tcW w:w="1843" w:type="dxa"/>
          </w:tcPr>
          <w:p w14:paraId="22B9BB5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4A541D45" w14:textId="3C18A59D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10</w:t>
            </w:r>
          </w:p>
        </w:tc>
      </w:tr>
      <w:tr w:rsidR="004B7FD2" w:rsidRPr="000B3F01" w14:paraId="266479B6" w14:textId="77777777" w:rsidTr="007845A4">
        <w:trPr>
          <w:jc w:val="center"/>
        </w:trPr>
        <w:tc>
          <w:tcPr>
            <w:tcW w:w="1701" w:type="dxa"/>
          </w:tcPr>
          <w:p w14:paraId="3366DD8A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FTS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0C4DC1B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Functional thyroid destruction rate</w:t>
            </w:r>
          </w:p>
        </w:tc>
        <w:tc>
          <w:tcPr>
            <w:tcW w:w="1559" w:type="dxa"/>
          </w:tcPr>
          <w:p w14:paraId="1E0C4C84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  <w:lang w:val="sv-SE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  <w:lang w:val="sv-SE"/>
              </w:rPr>
              <w:t>1e-3</w:t>
            </w:r>
          </w:p>
        </w:tc>
        <w:tc>
          <w:tcPr>
            <w:tcW w:w="1843" w:type="dxa"/>
          </w:tcPr>
          <w:p w14:paraId="58E013AE" w14:textId="5812C179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mL/(molecule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·s)</w:t>
            </w:r>
          </w:p>
        </w:tc>
        <w:tc>
          <w:tcPr>
            <w:tcW w:w="2413" w:type="dxa"/>
          </w:tcPr>
          <w:p w14:paraId="275FEF1A" w14:textId="4BFD5091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15</w:t>
            </w:r>
          </w:p>
        </w:tc>
      </w:tr>
      <w:tr w:rsidR="004B7FD2" w:rsidRPr="000B3F01" w14:paraId="6617634F" w14:textId="77777777" w:rsidTr="007845A4">
        <w:trPr>
          <w:jc w:val="center"/>
        </w:trPr>
        <w:tc>
          <w:tcPr>
            <w:tcW w:w="1701" w:type="dxa"/>
          </w:tcPr>
          <w:p w14:paraId="020AA10F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6CD15C97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Plasma Ab degradation rate</w:t>
            </w:r>
          </w:p>
        </w:tc>
        <w:tc>
          <w:tcPr>
            <w:tcW w:w="1559" w:type="dxa"/>
          </w:tcPr>
          <w:p w14:paraId="36DA0A24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1.74e-6</w:t>
            </w:r>
          </w:p>
        </w:tc>
        <w:tc>
          <w:tcPr>
            <w:tcW w:w="1843" w:type="dxa"/>
          </w:tcPr>
          <w:p w14:paraId="65C3C63E" w14:textId="19C55359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2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/(molecule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·s)</w:t>
            </w:r>
          </w:p>
        </w:tc>
        <w:tc>
          <w:tcPr>
            <w:tcW w:w="2413" w:type="dxa"/>
          </w:tcPr>
          <w:p w14:paraId="22991716" w14:textId="5838ED9E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12</w:t>
            </w:r>
          </w:p>
        </w:tc>
      </w:tr>
      <w:tr w:rsidR="004B7FD2" w:rsidRPr="000B3F01" w14:paraId="7BFF562C" w14:textId="77777777" w:rsidTr="007845A4">
        <w:trPr>
          <w:jc w:val="center"/>
        </w:trPr>
        <w:tc>
          <w:tcPr>
            <w:tcW w:w="1701" w:type="dxa"/>
          </w:tcPr>
          <w:p w14:paraId="67F1FC30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4964B7D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B-cell binding threshold</w:t>
            </w:r>
          </w:p>
        </w:tc>
        <w:tc>
          <w:tcPr>
            <w:tcW w:w="1559" w:type="dxa"/>
          </w:tcPr>
          <w:p w14:paraId="37EEB835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18e4</w:t>
            </w:r>
          </w:p>
        </w:tc>
        <w:tc>
          <w:tcPr>
            <w:tcW w:w="1843" w:type="dxa"/>
          </w:tcPr>
          <w:p w14:paraId="5C1DAD0F" w14:textId="24B86D9A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/mL</w:t>
            </w:r>
          </w:p>
        </w:tc>
        <w:tc>
          <w:tcPr>
            <w:tcW w:w="2413" w:type="dxa"/>
          </w:tcPr>
          <w:p w14:paraId="7984F030" w14:textId="246FE816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16</w:t>
            </w:r>
          </w:p>
        </w:tc>
      </w:tr>
      <w:tr w:rsidR="004B7FD2" w:rsidRPr="000B3F01" w14:paraId="4D364157" w14:textId="77777777" w:rsidTr="007845A4">
        <w:trPr>
          <w:jc w:val="center"/>
        </w:trPr>
        <w:tc>
          <w:tcPr>
            <w:tcW w:w="1701" w:type="dxa"/>
          </w:tcPr>
          <w:p w14:paraId="61BAC12F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492086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T-cell binding threshold</w:t>
            </w:r>
          </w:p>
        </w:tc>
        <w:tc>
          <w:tcPr>
            <w:tcW w:w="1559" w:type="dxa"/>
          </w:tcPr>
          <w:p w14:paraId="015A546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2e4</w:t>
            </w:r>
          </w:p>
        </w:tc>
        <w:tc>
          <w:tcPr>
            <w:tcW w:w="1843" w:type="dxa"/>
          </w:tcPr>
          <w:p w14:paraId="0165CC18" w14:textId="589F8EA8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/mL</w:t>
            </w:r>
          </w:p>
        </w:tc>
        <w:tc>
          <w:tcPr>
            <w:tcW w:w="2413" w:type="dxa"/>
          </w:tcPr>
          <w:p w14:paraId="395356D0" w14:textId="714B290E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16</w:t>
            </w:r>
          </w:p>
        </w:tc>
      </w:tr>
      <w:tr w:rsidR="004B7FD2" w:rsidRPr="000B3F01" w14:paraId="626FC52B" w14:textId="77777777" w:rsidTr="007845A4">
        <w:trPr>
          <w:jc w:val="center"/>
        </w:trPr>
        <w:tc>
          <w:tcPr>
            <w:tcW w:w="1701" w:type="dxa"/>
          </w:tcPr>
          <w:p w14:paraId="760A1B63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7CC99F8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T3 B-cell stimulation rate</w:t>
            </w:r>
          </w:p>
        </w:tc>
        <w:tc>
          <w:tcPr>
            <w:tcW w:w="1559" w:type="dxa"/>
          </w:tcPr>
          <w:p w14:paraId="5DFA9DFE" w14:textId="54582B68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100</w:t>
            </w:r>
          </w:p>
        </w:tc>
        <w:tc>
          <w:tcPr>
            <w:tcW w:w="1843" w:type="dxa"/>
          </w:tcPr>
          <w:p w14:paraId="728BF4E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cell/(mcg·s)</w:t>
            </w:r>
          </w:p>
        </w:tc>
        <w:tc>
          <w:tcPr>
            <w:tcW w:w="2413" w:type="dxa"/>
          </w:tcPr>
          <w:p w14:paraId="7E3F6E1A" w14:textId="128B1A9C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Simulation</w:t>
            </w:r>
          </w:p>
        </w:tc>
      </w:tr>
      <w:tr w:rsidR="004B7FD2" w:rsidRPr="000B3F01" w14:paraId="6CDD35FB" w14:textId="77777777" w:rsidTr="007845A4">
        <w:trPr>
          <w:jc w:val="center"/>
        </w:trPr>
        <w:tc>
          <w:tcPr>
            <w:tcW w:w="1701" w:type="dxa"/>
          </w:tcPr>
          <w:p w14:paraId="192A58E2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08A0A30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T-cell stimulation rate</w:t>
            </w:r>
          </w:p>
        </w:tc>
        <w:tc>
          <w:tcPr>
            <w:tcW w:w="1559" w:type="dxa"/>
          </w:tcPr>
          <w:p w14:paraId="159C187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9.1e-3</w:t>
            </w:r>
          </w:p>
        </w:tc>
        <w:tc>
          <w:tcPr>
            <w:tcW w:w="1843" w:type="dxa"/>
          </w:tcPr>
          <w:p w14:paraId="206378E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2322106F" w14:textId="5D32FEDA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13</w:t>
            </w:r>
            <w:r w:rsidR="004B7FD2"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 xml:space="preserve"> </w:t>
            </w:r>
          </w:p>
        </w:tc>
      </w:tr>
      <w:tr w:rsidR="004B7FD2" w:rsidRPr="00B66943" w14:paraId="2EE5CECC" w14:textId="77777777" w:rsidTr="007845A4">
        <w:trPr>
          <w:trHeight w:val="66"/>
          <w:jc w:val="center"/>
        </w:trPr>
        <w:tc>
          <w:tcPr>
            <w:tcW w:w="1701" w:type="dxa"/>
          </w:tcPr>
          <w:p w14:paraId="54BBEC5D" w14:textId="77777777" w:rsidR="004B7FD2" w:rsidRPr="00057F68" w:rsidRDefault="004B7FD2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3119" w:type="dxa"/>
          </w:tcPr>
          <w:p w14:paraId="48678C3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Maximal growth ratio</w:t>
            </w:r>
          </w:p>
        </w:tc>
        <w:tc>
          <w:tcPr>
            <w:tcW w:w="1559" w:type="dxa"/>
          </w:tcPr>
          <w:p w14:paraId="477B116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0.250</w:t>
            </w:r>
          </w:p>
        </w:tc>
        <w:tc>
          <w:tcPr>
            <w:tcW w:w="1843" w:type="dxa"/>
          </w:tcPr>
          <w:p w14:paraId="5757FDE0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mU/mL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13" w:type="dxa"/>
          </w:tcPr>
          <w:p w14:paraId="65B36991" w14:textId="128B76EF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8</w:t>
            </w:r>
          </w:p>
        </w:tc>
      </w:tr>
      <w:tr w:rsidR="004B7FD2" w:rsidRPr="000B3F01" w14:paraId="464B0F3A" w14:textId="77777777" w:rsidTr="007845A4">
        <w:trPr>
          <w:trHeight w:val="66"/>
          <w:jc w:val="center"/>
        </w:trPr>
        <w:tc>
          <w:tcPr>
            <w:tcW w:w="1701" w:type="dxa"/>
          </w:tcPr>
          <w:p w14:paraId="15C32277" w14:textId="77777777" w:rsidR="004B7FD2" w:rsidRPr="00057F68" w:rsidRDefault="00000000" w:rsidP="00977F39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  <m:t>FTS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7A0DF4C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 xml:space="preserve">Euthyroid </w:t>
            </w:r>
            <w:r w:rsidRPr="00BD2453">
              <w:rPr>
                <w:rFonts w:ascii="Arial" w:eastAsiaTheme="minorEastAsia" w:hAnsi="Arial" w:cs="Arial"/>
                <w:i/>
                <w:iCs/>
                <w:sz w:val="18"/>
                <w:szCs w:val="18"/>
              </w:rPr>
              <w:t>FTS</w:t>
            </w:r>
          </w:p>
          <w:p w14:paraId="0473CC4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96FDDB6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13.5</w:t>
            </w:r>
          </w:p>
        </w:tc>
        <w:tc>
          <w:tcPr>
            <w:tcW w:w="1843" w:type="dxa"/>
          </w:tcPr>
          <w:p w14:paraId="039971E0" w14:textId="1F3AAC3D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</w:t>
            </w:r>
          </w:p>
        </w:tc>
        <w:tc>
          <w:tcPr>
            <w:tcW w:w="2413" w:type="dxa"/>
          </w:tcPr>
          <w:p w14:paraId="30B2614A" w14:textId="4BBD5B4A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17</w:t>
            </w:r>
          </w:p>
        </w:tc>
      </w:tr>
    </w:tbl>
    <w:p w14:paraId="33F28014" w14:textId="479E8643" w:rsidR="00515499" w:rsidRDefault="004B7FD2" w:rsidP="004B7FD2">
      <w:pPr>
        <w:rPr>
          <w:rFonts w:ascii="Cambria" w:eastAsiaTheme="minorEastAsia" w:hAnsi="Cambria" w:cs="Arial"/>
          <w:sz w:val="18"/>
          <w:szCs w:val="18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Table 1: </w:t>
      </w:r>
      <w:r>
        <w:rPr>
          <w:rFonts w:ascii="Cambria" w:eastAsiaTheme="minorEastAsia" w:hAnsi="Cambria" w:cs="Arial"/>
          <w:sz w:val="18"/>
          <w:szCs w:val="18"/>
        </w:rPr>
        <w:t xml:space="preserve">Initial parameter estimates 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and sources </w:t>
      </w:r>
      <w:r>
        <w:rPr>
          <w:rFonts w:ascii="Cambria" w:eastAsiaTheme="minorEastAsia" w:hAnsi="Cambria" w:cs="Arial"/>
          <w:sz w:val="18"/>
          <w:szCs w:val="18"/>
        </w:rPr>
        <w:t>for Thyr</w:t>
      </w:r>
      <w:r w:rsidR="0014357F">
        <w:rPr>
          <w:rFonts w:ascii="Cambria" w:eastAsiaTheme="minorEastAsia" w:hAnsi="Cambria" w:cs="Arial"/>
          <w:sz w:val="18"/>
          <w:szCs w:val="18"/>
        </w:rPr>
        <w:t>IM</w:t>
      </w:r>
      <w:r>
        <w:rPr>
          <w:rFonts w:ascii="Cambria" w:eastAsiaTheme="minorEastAsia" w:hAnsi="Cambria" w:cs="Arial"/>
          <w:sz w:val="18"/>
          <w:szCs w:val="18"/>
        </w:rPr>
        <w:t>sim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 xml:space="preserve">The rate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  <w:highlight w:val="yellow"/>
          </w:rPr>
          <m:t xml:space="preserve"> </m:t>
        </m:r>
      </m:oMath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 xml:space="preserve">at which </w:t>
      </w:r>
      <w:r w:rsidR="005A0B0E">
        <w:rPr>
          <w:rFonts w:ascii="Cambria" w:eastAsiaTheme="minorEastAsia" w:hAnsi="Cambria" w:cs="Arial"/>
          <w:sz w:val="18"/>
          <w:szCs w:val="18"/>
          <w:highlight w:val="yellow"/>
        </w:rPr>
        <w:t xml:space="preserve">plasma 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>T</w:t>
      </w:r>
      <w:r w:rsidR="005A0B0E">
        <w:rPr>
          <w:rFonts w:ascii="Cambria" w:eastAsiaTheme="minorEastAsia" w:hAnsi="Cambria" w:cs="Arial"/>
          <w:sz w:val="18"/>
          <w:szCs w:val="18"/>
          <w:highlight w:val="yellow"/>
        </w:rPr>
        <w:t>4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 xml:space="preserve"> </w:t>
      </w:r>
      <w:r w:rsidR="005A0B0E">
        <w:rPr>
          <w:rFonts w:ascii="Cambria" w:eastAsiaTheme="minorEastAsia" w:hAnsi="Cambria" w:cs="Arial"/>
          <w:sz w:val="18"/>
          <w:szCs w:val="18"/>
          <w:highlight w:val="yellow"/>
        </w:rPr>
        <w:t xml:space="preserve">(via conversion to T3 in the cell) 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>stimulates B-cell proliferation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is unknown and is estimated using the initial Thyr</w:t>
      </w:r>
      <w:r w:rsidR="005A0B0E">
        <w:rPr>
          <w:rFonts w:ascii="Cambria" w:eastAsiaTheme="minorEastAsia" w:hAnsi="Cambria" w:cs="Arial"/>
          <w:sz w:val="18"/>
          <w:szCs w:val="18"/>
        </w:rPr>
        <w:t>IM</w:t>
      </w:r>
      <w:r w:rsidR="0006159F">
        <w:rPr>
          <w:rFonts w:ascii="Cambria" w:eastAsiaTheme="minorEastAsia" w:hAnsi="Cambria" w:cs="Arial"/>
          <w:sz w:val="18"/>
          <w:szCs w:val="18"/>
        </w:rPr>
        <w:t>sim model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Note </w:t>
      </w:r>
      <w:r w:rsidR="00E9796F">
        <w:rPr>
          <w:rFonts w:ascii="Cambria" w:eastAsiaTheme="minorEastAsia" w:hAnsi="Cambria" w:cs="Arial"/>
          <w:sz w:val="18"/>
          <w:szCs w:val="18"/>
        </w:rPr>
        <w:t>s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tate variables </w:t>
      </w:r>
      <w:r w:rsidR="005A0B0E">
        <w:rPr>
          <w:rFonts w:ascii="Cambria" w:eastAsiaTheme="minorEastAsia" w:hAnsi="Cambria" w:cs="Arial"/>
          <w:sz w:val="18"/>
          <w:szCs w:val="18"/>
        </w:rPr>
        <w:t xml:space="preserve">of the full model </w:t>
      </w:r>
      <w:r w:rsidR="00BD2453">
        <w:rPr>
          <w:rFonts w:ascii="Cambria" w:eastAsiaTheme="minorEastAsia" w:hAnsi="Cambria" w:cs="Arial"/>
          <w:sz w:val="18"/>
          <w:szCs w:val="18"/>
        </w:rPr>
        <w:t xml:space="preserve">are </w:t>
      </w:r>
      <w:r w:rsidR="0006159F">
        <w:rPr>
          <w:rFonts w:ascii="Cambria" w:eastAsiaTheme="minorEastAsia" w:hAnsi="Cambria" w:cs="Arial"/>
          <w:sz w:val="18"/>
          <w:szCs w:val="18"/>
        </w:rPr>
        <w:t>influenced by parameters listed in terms of mole</w:t>
      </w:r>
      <w:r w:rsidR="00955605">
        <w:rPr>
          <w:rFonts w:ascii="Cambria" w:eastAsiaTheme="minorEastAsia" w:hAnsi="Cambria" w:cs="Arial"/>
          <w:sz w:val="18"/>
          <w:szCs w:val="18"/>
        </w:rPr>
        <w:t>c</w:t>
      </w:r>
      <w:r w:rsidR="0006159F">
        <w:rPr>
          <w:rFonts w:ascii="Cambria" w:eastAsiaTheme="minorEastAsia" w:hAnsi="Cambria" w:cs="Arial"/>
          <w:sz w:val="18"/>
          <w:szCs w:val="18"/>
        </w:rPr>
        <w:t>ule</w:t>
      </w:r>
      <w:r w:rsidR="005A0B0E">
        <w:rPr>
          <w:rFonts w:ascii="Cambria" w:eastAsiaTheme="minorEastAsia" w:hAnsi="Cambria" w:cs="Arial"/>
          <w:sz w:val="18"/>
          <w:szCs w:val="18"/>
        </w:rPr>
        <w:t xml:space="preserve"> number </w:t>
      </w:r>
      <w:r w:rsidR="0006159F">
        <w:rPr>
          <w:rFonts w:ascii="Cambria" w:eastAsiaTheme="minorEastAsia" w:hAnsi="Cambria" w:cs="Arial"/>
          <w:sz w:val="18"/>
          <w:szCs w:val="18"/>
        </w:rPr>
        <w:t>are converted t</w:t>
      </w:r>
      <w:r w:rsidR="00BD2453">
        <w:rPr>
          <w:rFonts w:ascii="Cambria" w:eastAsiaTheme="minorEastAsia" w:hAnsi="Cambria" w:cs="Arial"/>
          <w:sz w:val="18"/>
          <w:szCs w:val="18"/>
        </w:rPr>
        <w:t>o standard units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before plotting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 xml:space="preserve">Parameters for the thyroid </w:t>
      </w:r>
      <w:r w:rsidR="005A0B0E">
        <w:rPr>
          <w:rFonts w:ascii="Cambria" w:eastAsiaTheme="minorEastAsia" w:hAnsi="Cambria" w:cs="Arial"/>
          <w:sz w:val="18"/>
          <w:szCs w:val="18"/>
        </w:rPr>
        <w:t xml:space="preserve">hormone regulation </w:t>
      </w:r>
      <w:r>
        <w:rPr>
          <w:rFonts w:ascii="Cambria" w:eastAsiaTheme="minorEastAsia" w:hAnsi="Cambria" w:cs="Arial"/>
          <w:sz w:val="18"/>
          <w:szCs w:val="18"/>
        </w:rPr>
        <w:t>submodel can be found in</w:t>
      </w:r>
      <w:r w:rsidR="0006159F" w:rsidRPr="0006159F">
        <w:rPr>
          <w:rFonts w:ascii="Cambria" w:eastAsiaTheme="minorEastAsia" w:hAnsi="Cambria" w:cs="Arial"/>
          <w:sz w:val="18"/>
          <w:szCs w:val="18"/>
        </w:rPr>
        <w:t xml:space="preserve"> Cruz-Loya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et al</w:t>
      </w:r>
      <w:r w:rsidR="00B52F52">
        <w:rPr>
          <w:rFonts w:ascii="Cambria" w:eastAsiaTheme="minorEastAsia" w:hAnsi="Cambria" w:cs="Arial"/>
          <w:sz w:val="18"/>
          <w:szCs w:val="18"/>
          <w:vertAlign w:val="superscript"/>
        </w:rPr>
        <w:t>6</w:t>
      </w:r>
      <w:r w:rsidR="0006159F">
        <w:rPr>
          <w:rFonts w:ascii="Cambria" w:eastAsiaTheme="minorEastAsia" w:hAnsi="Cambria" w:cs="Arial"/>
          <w:sz w:val="18"/>
          <w:szCs w:val="18"/>
        </w:rPr>
        <w:t>.</w:t>
      </w:r>
    </w:p>
    <w:p w14:paraId="1B3FDA5F" w14:textId="77777777" w:rsidR="00515499" w:rsidRDefault="00515499" w:rsidP="004B7FD2">
      <w:pPr>
        <w:rPr>
          <w:rFonts w:ascii="Cambria" w:eastAsiaTheme="minorEastAsia" w:hAnsi="Cambria" w:cs="Arial"/>
          <w:sz w:val="18"/>
          <w:szCs w:val="18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1559"/>
        <w:gridCol w:w="1843"/>
        <w:gridCol w:w="2413"/>
      </w:tblGrid>
      <w:tr w:rsidR="004B7FD2" w:rsidRPr="000B3F01" w14:paraId="79803B83" w14:textId="77777777" w:rsidTr="007845A4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6A86932B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State Variable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7C8C09F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B927218" w14:textId="1F549E0A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2FF6DC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171E1E61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Source</w:t>
            </w:r>
          </w:p>
        </w:tc>
      </w:tr>
      <w:tr w:rsidR="004B7FD2" w:rsidRPr="000B3F01" w14:paraId="5C5457DF" w14:textId="77777777" w:rsidTr="007845A4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63A4D371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45507429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Activated B-cells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A852821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1614EA9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cells/mL</w:t>
            </w:r>
          </w:p>
        </w:tc>
        <w:tc>
          <w:tcPr>
            <w:tcW w:w="2413" w:type="dxa"/>
            <w:tcBorders>
              <w:top w:val="single" w:sz="4" w:space="0" w:color="auto"/>
            </w:tcBorders>
          </w:tcPr>
          <w:p w14:paraId="2D13669D" w14:textId="278482D5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47480663" w14:textId="77777777" w:rsidTr="007845A4">
        <w:trPr>
          <w:jc w:val="center"/>
        </w:trPr>
        <w:tc>
          <w:tcPr>
            <w:tcW w:w="1701" w:type="dxa"/>
          </w:tcPr>
          <w:p w14:paraId="04A9FE52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  <w:t>P</w:t>
            </w:r>
          </w:p>
        </w:tc>
        <w:tc>
          <w:tcPr>
            <w:tcW w:w="3119" w:type="dxa"/>
          </w:tcPr>
          <w:p w14:paraId="088E37BB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Plasma Cells</w:t>
            </w:r>
          </w:p>
        </w:tc>
        <w:tc>
          <w:tcPr>
            <w:tcW w:w="1559" w:type="dxa"/>
          </w:tcPr>
          <w:p w14:paraId="52FCAD4A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1843" w:type="dxa"/>
          </w:tcPr>
          <w:p w14:paraId="4290DE1A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cells/mL</w:t>
            </w:r>
          </w:p>
        </w:tc>
        <w:tc>
          <w:tcPr>
            <w:tcW w:w="2413" w:type="dxa"/>
          </w:tcPr>
          <w:p w14:paraId="4AA56CB4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Simulation</w:t>
            </w:r>
          </w:p>
        </w:tc>
      </w:tr>
      <w:tr w:rsidR="004B7FD2" w:rsidRPr="000B3F01" w14:paraId="66D2ED51" w14:textId="77777777" w:rsidTr="007845A4">
        <w:trPr>
          <w:jc w:val="center"/>
        </w:trPr>
        <w:tc>
          <w:tcPr>
            <w:tcW w:w="1701" w:type="dxa"/>
          </w:tcPr>
          <w:p w14:paraId="3037421A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  <w:t>T</w:t>
            </w:r>
          </w:p>
        </w:tc>
        <w:tc>
          <w:tcPr>
            <w:tcW w:w="3119" w:type="dxa"/>
          </w:tcPr>
          <w:p w14:paraId="52EFA7D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Activated CD4+ Helper T-Cells</w:t>
            </w:r>
          </w:p>
        </w:tc>
        <w:tc>
          <w:tcPr>
            <w:tcW w:w="1559" w:type="dxa"/>
          </w:tcPr>
          <w:p w14:paraId="4F06355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805</w:t>
            </w:r>
          </w:p>
        </w:tc>
        <w:tc>
          <w:tcPr>
            <w:tcW w:w="1843" w:type="dxa"/>
          </w:tcPr>
          <w:p w14:paraId="3C388BAB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cells/mL</w:t>
            </w:r>
          </w:p>
        </w:tc>
        <w:tc>
          <w:tcPr>
            <w:tcW w:w="2413" w:type="dxa"/>
          </w:tcPr>
          <w:p w14:paraId="6052E2C8" w14:textId="01B339F6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18</w:t>
            </w:r>
          </w:p>
        </w:tc>
      </w:tr>
      <w:tr w:rsidR="004B7FD2" w:rsidRPr="000B3F01" w14:paraId="33B742EC" w14:textId="77777777" w:rsidTr="007845A4">
        <w:trPr>
          <w:jc w:val="center"/>
        </w:trPr>
        <w:tc>
          <w:tcPr>
            <w:tcW w:w="1701" w:type="dxa"/>
          </w:tcPr>
          <w:p w14:paraId="74D18C62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3119" w:type="dxa"/>
          </w:tcPr>
          <w:p w14:paraId="26038450" w14:textId="3D351975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Cytokines</w:t>
            </w:r>
          </w:p>
        </w:tc>
        <w:tc>
          <w:tcPr>
            <w:tcW w:w="1559" w:type="dxa"/>
          </w:tcPr>
          <w:p w14:paraId="6FF7BC8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6.022e15</w:t>
            </w:r>
          </w:p>
        </w:tc>
        <w:tc>
          <w:tcPr>
            <w:tcW w:w="1843" w:type="dxa"/>
          </w:tcPr>
          <w:p w14:paraId="0E07EA6C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molecules/mL</w:t>
            </w:r>
          </w:p>
        </w:tc>
        <w:tc>
          <w:tcPr>
            <w:tcW w:w="2413" w:type="dxa"/>
          </w:tcPr>
          <w:p w14:paraId="60B8FC63" w14:textId="035B982B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633DD2FF" w14:textId="77777777" w:rsidTr="007845A4">
        <w:trPr>
          <w:jc w:val="center"/>
        </w:trPr>
        <w:tc>
          <w:tcPr>
            <w:tcW w:w="1701" w:type="dxa"/>
          </w:tcPr>
          <w:p w14:paraId="48ACE33B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FTS</w:t>
            </w:r>
          </w:p>
        </w:tc>
        <w:tc>
          <w:tcPr>
            <w:tcW w:w="3119" w:type="dxa"/>
          </w:tcPr>
          <w:p w14:paraId="2B9619E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Functional thyroid size</w:t>
            </w:r>
          </w:p>
        </w:tc>
        <w:tc>
          <w:tcPr>
            <w:tcW w:w="1559" w:type="dxa"/>
          </w:tcPr>
          <w:p w14:paraId="386BEFEF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14:paraId="1FE06ED4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mL</w:t>
            </w:r>
          </w:p>
        </w:tc>
        <w:tc>
          <w:tcPr>
            <w:tcW w:w="2413" w:type="dxa"/>
          </w:tcPr>
          <w:p w14:paraId="00088E0A" w14:textId="1D7578DF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17</w:t>
            </w:r>
          </w:p>
        </w:tc>
      </w:tr>
      <w:tr w:rsidR="004B7FD2" w:rsidRPr="000B3F01" w14:paraId="45DA0B86" w14:textId="77777777" w:rsidTr="007845A4">
        <w:trPr>
          <w:trHeight w:val="81"/>
          <w:jc w:val="center"/>
        </w:trPr>
        <w:tc>
          <w:tcPr>
            <w:tcW w:w="1701" w:type="dxa"/>
          </w:tcPr>
          <w:p w14:paraId="5303C710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Ab</w:t>
            </w:r>
          </w:p>
        </w:tc>
        <w:tc>
          <w:tcPr>
            <w:tcW w:w="3119" w:type="dxa"/>
          </w:tcPr>
          <w:p w14:paraId="52F88C60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Thyroid peroxidase antibody</w:t>
            </w:r>
          </w:p>
        </w:tc>
        <w:tc>
          <w:tcPr>
            <w:tcW w:w="1559" w:type="dxa"/>
          </w:tcPr>
          <w:p w14:paraId="242E175E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3.122e6</w:t>
            </w:r>
          </w:p>
        </w:tc>
        <w:tc>
          <w:tcPr>
            <w:tcW w:w="1843" w:type="dxa"/>
          </w:tcPr>
          <w:p w14:paraId="1743387C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molecules/mL</w:t>
            </w:r>
          </w:p>
        </w:tc>
        <w:tc>
          <w:tcPr>
            <w:tcW w:w="2413" w:type="dxa"/>
          </w:tcPr>
          <w:p w14:paraId="08DA9D87" w14:textId="12D14A30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17</w:t>
            </w:r>
          </w:p>
        </w:tc>
      </w:tr>
      <w:tr w:rsidR="004B7FD2" w:rsidRPr="000B3F01" w14:paraId="6442C08D" w14:textId="77777777" w:rsidTr="007845A4">
        <w:trPr>
          <w:trHeight w:val="81"/>
          <w:jc w:val="center"/>
        </w:trPr>
        <w:tc>
          <w:tcPr>
            <w:tcW w:w="1701" w:type="dxa"/>
          </w:tcPr>
          <w:p w14:paraId="7F788232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D27B345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71548B1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9273FC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13" w:type="dxa"/>
          </w:tcPr>
          <w:p w14:paraId="4B78618A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C0F2341" w14:textId="4975C407" w:rsidR="00346FCC" w:rsidRPr="004D215E" w:rsidRDefault="004B7FD2" w:rsidP="00B46549">
      <w:pPr>
        <w:rPr>
          <w:rFonts w:ascii="Cambria" w:eastAsiaTheme="minorEastAsia" w:hAnsi="Cambria" w:cs="Arial"/>
          <w:sz w:val="18"/>
          <w:szCs w:val="18"/>
        </w:rPr>
      </w:pPr>
      <w:commentRangeStart w:id="7"/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Table </w:t>
      </w:r>
      <w:commentRangeStart w:id="8"/>
      <w:r>
        <w:rPr>
          <w:rFonts w:ascii="Cambria" w:eastAsiaTheme="minorEastAsia" w:hAnsi="Cambria" w:cs="Arial"/>
          <w:b/>
          <w:bCs/>
          <w:sz w:val="18"/>
          <w:szCs w:val="18"/>
        </w:rPr>
        <w:t>2</w:t>
      </w:r>
      <w:commentRangeEnd w:id="7"/>
      <w:commentRangeEnd w:id="8"/>
      <w:r w:rsidR="00BD2453">
        <w:rPr>
          <w:rStyle w:val="CommentReference"/>
        </w:rPr>
        <w:commentReference w:id="8"/>
      </w:r>
      <w:r w:rsidR="008F17A3">
        <w:rPr>
          <w:rStyle w:val="CommentReference"/>
        </w:rPr>
        <w:commentReference w:id="7"/>
      </w:r>
      <w:r>
        <w:rPr>
          <w:rFonts w:ascii="Cambria" w:eastAsiaTheme="minorEastAsia" w:hAnsi="Cambria" w:cs="Arial"/>
          <w:b/>
          <w:bCs/>
          <w:sz w:val="18"/>
          <w:szCs w:val="18"/>
        </w:rPr>
        <w:t>:</w:t>
      </w:r>
      <w:r>
        <w:rPr>
          <w:rFonts w:ascii="Cambria" w:eastAsiaTheme="minorEastAsia" w:hAnsi="Cambria" w:cs="Arial"/>
          <w:sz w:val="18"/>
          <w:szCs w:val="18"/>
        </w:rPr>
        <w:t xml:space="preserve"> State variable initial conditions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and sources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06159F">
        <w:rPr>
          <w:rFonts w:ascii="Cambria" w:eastAsiaTheme="minorEastAsia" w:hAnsi="Cambria" w:cs="Arial"/>
          <w:sz w:val="18"/>
          <w:szCs w:val="18"/>
        </w:rPr>
        <w:t>The cytokine state variable was estimated using the average value of plasma IL2 and IL4 recorded by Atite</w:t>
      </w:r>
      <w:r w:rsidR="008B7A11">
        <w:rPr>
          <w:rFonts w:ascii="Cambria" w:eastAsiaTheme="minorEastAsia" w:hAnsi="Cambria" w:cs="Arial"/>
          <w:sz w:val="18"/>
          <w:szCs w:val="18"/>
        </w:rPr>
        <w:t>y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et al</w:t>
      </w:r>
      <w:r w:rsidR="00B52F52">
        <w:rPr>
          <w:rFonts w:ascii="Cambria" w:eastAsiaTheme="minorEastAsia" w:hAnsi="Cambria" w:cs="Arial"/>
          <w:sz w:val="18"/>
          <w:szCs w:val="18"/>
          <w:vertAlign w:val="superscript"/>
        </w:rPr>
        <w:t>9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Note </w:t>
      </w:r>
      <w:r w:rsidR="004D215E" w:rsidRPr="004D215E">
        <w:rPr>
          <w:rFonts w:ascii="Cambria" w:eastAsiaTheme="minorEastAsia" w:hAnsi="Cambria" w:cs="Arial"/>
          <w:i/>
          <w:iCs/>
          <w:sz w:val="18"/>
          <w:szCs w:val="18"/>
        </w:rPr>
        <w:t>B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, </w:t>
      </w:r>
      <w:r w:rsidR="004D215E" w:rsidRPr="004D215E">
        <w:rPr>
          <w:rFonts w:ascii="Cambria" w:eastAsiaTheme="minorEastAsia" w:hAnsi="Cambria" w:cs="Arial"/>
          <w:i/>
          <w:iCs/>
          <w:sz w:val="18"/>
          <w:szCs w:val="18"/>
        </w:rPr>
        <w:t>P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 and </w:t>
      </w:r>
      <w:r w:rsidR="004D215E" w:rsidRPr="004D215E">
        <w:rPr>
          <w:rFonts w:ascii="Cambria" w:eastAsiaTheme="minorEastAsia" w:hAnsi="Cambria" w:cs="Arial"/>
          <w:i/>
          <w:iCs/>
          <w:sz w:val="18"/>
          <w:szCs w:val="18"/>
        </w:rPr>
        <w:t>T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 are combined into a single </w:t>
      </w:r>
      <w:r w:rsidR="004D215E">
        <w:rPr>
          <w:rFonts w:ascii="Cambria" w:eastAsiaTheme="minorEastAsia" w:hAnsi="Cambria" w:cs="Arial"/>
          <w:i/>
          <w:iCs/>
          <w:sz w:val="18"/>
          <w:szCs w:val="18"/>
        </w:rPr>
        <w:t>Leukocyte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 compartment for graphing and parameter estimation.</w:t>
      </w:r>
    </w:p>
    <w:p w14:paraId="7CBAD6BD" w14:textId="3382E704" w:rsidR="008B7A11" w:rsidRDefault="008B7A11" w:rsidP="00B46549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>
        <w:rPr>
          <w:rFonts w:ascii="Roboto" w:hAnsi="Roboto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EF19FB6" wp14:editId="6D3A9AC9">
            <wp:extent cx="6654818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18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29A9" w14:textId="47823C51" w:rsidR="008B7A11" w:rsidRPr="00AD2228" w:rsidRDefault="008B7A11" w:rsidP="00B46549">
      <w:pPr>
        <w:rPr>
          <w:rFonts w:ascii="Cambria" w:eastAsiaTheme="minorEastAsia" w:hAnsi="Cambria" w:cs="Arial"/>
          <w:sz w:val="18"/>
          <w:szCs w:val="18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lastRenderedPageBreak/>
        <w:t xml:space="preserve">Figure </w:t>
      </w:r>
      <w:r w:rsidR="00AD2228">
        <w:rPr>
          <w:rFonts w:ascii="Cambria" w:eastAsiaTheme="minorEastAsia" w:hAnsi="Cambria" w:cs="Arial"/>
          <w:b/>
          <w:bCs/>
          <w:sz w:val="18"/>
          <w:szCs w:val="18"/>
        </w:rPr>
        <w:t>3</w:t>
      </w:r>
      <w:r>
        <w:rPr>
          <w:rFonts w:ascii="Cambria" w:eastAsiaTheme="minorEastAsia" w:hAnsi="Cambria" w:cs="Arial"/>
          <w:b/>
          <w:bCs/>
          <w:sz w:val="18"/>
          <w:szCs w:val="18"/>
        </w:rPr>
        <w:t>:</w:t>
      </w:r>
      <w:r>
        <w:rPr>
          <w:rFonts w:ascii="Cambria" w:eastAsiaTheme="minorEastAsia" w:hAnsi="Cambria" w:cs="Arial"/>
          <w:sz w:val="18"/>
          <w:szCs w:val="18"/>
        </w:rPr>
        <w:t xml:space="preserve"> Complete model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Thyroid immune interaction occurs primarily via the functional thyroid compartment (</w:t>
      </w:r>
      <w:r w:rsidRPr="0068109B">
        <w:rPr>
          <w:rFonts w:ascii="Cambria" w:eastAsiaTheme="minorEastAsia" w:hAnsi="Cambria" w:cs="Arial"/>
          <w:i/>
          <w:iCs/>
          <w:sz w:val="18"/>
          <w:szCs w:val="18"/>
        </w:rPr>
        <w:t>FTS</w:t>
      </w:r>
      <w:r>
        <w:rPr>
          <w:rFonts w:ascii="Cambria" w:eastAsiaTheme="minorEastAsia" w:hAnsi="Cambria" w:cs="Arial"/>
          <w:sz w:val="18"/>
          <w:szCs w:val="18"/>
        </w:rPr>
        <w:t>) which is upregulated by the thyroid subsystem and downregulated by the immune system in Hashimoto’s disease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T3 also plays a role in controlling B-cell dynamics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Thyroid subsystem development and details can be found in</w:t>
      </w:r>
      <w:r w:rsidRPr="0006159F">
        <w:rPr>
          <w:rFonts w:ascii="Cambria" w:eastAsiaTheme="minorEastAsia" w:hAnsi="Cambria" w:cs="Arial"/>
          <w:sz w:val="18"/>
          <w:szCs w:val="18"/>
        </w:rPr>
        <w:t xml:space="preserve"> Cruz-Loya</w:t>
      </w:r>
      <w:r>
        <w:rPr>
          <w:rFonts w:ascii="Cambria" w:eastAsiaTheme="minorEastAsia" w:hAnsi="Cambria" w:cs="Arial"/>
          <w:sz w:val="18"/>
          <w:szCs w:val="18"/>
        </w:rPr>
        <w:t xml:space="preserve"> et al</w:t>
      </w:r>
      <w:r w:rsidR="00B52F52">
        <w:rPr>
          <w:rFonts w:ascii="Cambria" w:eastAsiaTheme="minorEastAsia" w:hAnsi="Cambria" w:cs="Arial"/>
          <w:sz w:val="18"/>
          <w:szCs w:val="18"/>
          <w:vertAlign w:val="superscript"/>
        </w:rPr>
        <w:t>6</w:t>
      </w:r>
      <w:r>
        <w:rPr>
          <w:rFonts w:ascii="Cambria" w:eastAsiaTheme="minorEastAsia" w:hAnsi="Cambria" w:cs="Arial"/>
          <w:sz w:val="18"/>
          <w:szCs w:val="18"/>
        </w:rPr>
        <w:t>.</w:t>
      </w:r>
    </w:p>
    <w:p w14:paraId="1BD06DFD" w14:textId="4BE5D68E" w:rsidR="00DA4E2C" w:rsidRDefault="00FE2D2C" w:rsidP="00B46549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Parameter Estimation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="0019610D">
        <w:rPr>
          <w:rFonts w:ascii="Cambria" w:hAnsi="Cambria"/>
          <w:color w:val="000000" w:themeColor="text1"/>
        </w:rPr>
        <w:t>The system of ODEs was implemented in the</w:t>
      </w:r>
      <w:r w:rsidR="0019610D" w:rsidRPr="0068109B">
        <w:rPr>
          <w:rFonts w:ascii="Cambria" w:hAnsi="Cambria"/>
          <w:i/>
          <w:iCs/>
          <w:color w:val="000000" w:themeColor="text1"/>
        </w:rPr>
        <w:t xml:space="preserve"> Julia</w:t>
      </w:r>
      <w:r w:rsidR="0019610D">
        <w:rPr>
          <w:rFonts w:ascii="Cambria" w:hAnsi="Cambria"/>
          <w:color w:val="000000" w:themeColor="text1"/>
        </w:rPr>
        <w:t xml:space="preserve"> programming language</w:t>
      </w:r>
      <w:r w:rsidR="0068109B">
        <w:rPr>
          <w:rFonts w:ascii="Cambria" w:hAnsi="Cambria"/>
          <w:color w:val="000000" w:themeColor="text1"/>
          <w:vertAlign w:val="superscript"/>
        </w:rPr>
        <w:t>22</w:t>
      </w:r>
      <w:r w:rsidR="0019610D">
        <w:rPr>
          <w:rFonts w:ascii="Cambria" w:hAnsi="Cambria"/>
          <w:color w:val="000000" w:themeColor="text1"/>
        </w:rPr>
        <w:t xml:space="preserve"> and solved using the </w:t>
      </w:r>
      <w:r w:rsidR="0019610D" w:rsidRPr="0068109B">
        <w:rPr>
          <w:rFonts w:ascii="Cambria" w:hAnsi="Cambria"/>
          <w:i/>
          <w:iCs/>
          <w:color w:val="000000" w:themeColor="text1"/>
        </w:rPr>
        <w:t>DifferentialEquations.jl</w:t>
      </w:r>
      <w:r w:rsidR="0068109B">
        <w:rPr>
          <w:rFonts w:ascii="Cambria" w:hAnsi="Cambria"/>
          <w:color w:val="000000" w:themeColor="text1"/>
          <w:vertAlign w:val="superscript"/>
        </w:rPr>
        <w:t>23</w:t>
      </w:r>
      <w:r w:rsidR="0068109B">
        <w:rPr>
          <w:rFonts w:ascii="Cambria" w:hAnsi="Cambria"/>
          <w:color w:val="000000" w:themeColor="text1"/>
        </w:rPr>
        <w:t xml:space="preserve"> </w:t>
      </w:r>
      <w:r w:rsidR="0019610D">
        <w:rPr>
          <w:rFonts w:ascii="Cambria" w:hAnsi="Cambria"/>
          <w:color w:val="000000" w:themeColor="text1"/>
        </w:rPr>
        <w:t>library</w:t>
      </w:r>
      <w:r w:rsidR="0068109B">
        <w:rPr>
          <w:rFonts w:ascii="Cambria" w:hAnsi="Cambria"/>
          <w:color w:val="000000" w:themeColor="text1"/>
        </w:rPr>
        <w:t xml:space="preserve">.  </w:t>
      </w:r>
      <w:r w:rsidR="008F17A3">
        <w:rPr>
          <w:rFonts w:ascii="Cambria" w:hAnsi="Cambria"/>
          <w:color w:val="000000" w:themeColor="text1"/>
        </w:rPr>
        <w:t xml:space="preserve"> </w:t>
      </w:r>
      <w:r w:rsidR="00DA4E2C">
        <w:rPr>
          <w:rFonts w:ascii="Cambria" w:hAnsi="Cambria"/>
          <w:color w:val="000000" w:themeColor="text1"/>
        </w:rPr>
        <w:t xml:space="preserve">The library includes callback functionality, providing a simple way to incorporate discrete </w:t>
      </w:r>
      <w:r w:rsidR="008F17A3">
        <w:rPr>
          <w:rFonts w:ascii="Cambria" w:hAnsi="Cambria"/>
          <w:color w:val="000000" w:themeColor="text1"/>
        </w:rPr>
        <w:t xml:space="preserve">levothyroxine </w:t>
      </w:r>
      <w:r w:rsidR="00CF0192">
        <w:rPr>
          <w:rFonts w:ascii="Cambria" w:hAnsi="Cambria"/>
          <w:color w:val="000000" w:themeColor="text1"/>
        </w:rPr>
        <w:t xml:space="preserve">and </w:t>
      </w:r>
      <w:r w:rsidR="008F17A3">
        <w:rPr>
          <w:rFonts w:ascii="Cambria" w:hAnsi="Cambria"/>
          <w:color w:val="000000" w:themeColor="text1"/>
        </w:rPr>
        <w:t xml:space="preserve">liothyronine </w:t>
      </w:r>
      <w:r w:rsidR="00CF0192">
        <w:rPr>
          <w:rFonts w:ascii="Cambria" w:hAnsi="Cambria"/>
          <w:color w:val="000000" w:themeColor="text1"/>
        </w:rPr>
        <w:t>dosages</w:t>
      </w:r>
      <w:r w:rsidR="0068109B">
        <w:rPr>
          <w:rFonts w:ascii="Cambria" w:hAnsi="Cambria"/>
          <w:color w:val="000000" w:themeColor="text1"/>
        </w:rPr>
        <w:t xml:space="preserve">.  </w:t>
      </w:r>
      <w:r w:rsidR="0019610D">
        <w:rPr>
          <w:rFonts w:ascii="Cambria" w:hAnsi="Cambria"/>
          <w:color w:val="000000" w:themeColor="text1"/>
        </w:rPr>
        <w:t>Initial parameter values were estimated from literature</w:t>
      </w:r>
      <w:r w:rsidR="00CF0192">
        <w:rPr>
          <w:rFonts w:ascii="Cambria" w:hAnsi="Cambria"/>
          <w:color w:val="000000" w:themeColor="text1"/>
        </w:rPr>
        <w:t xml:space="preserve"> when available</w:t>
      </w:r>
      <w:r w:rsidR="0019610D">
        <w:rPr>
          <w:rFonts w:ascii="Cambria" w:hAnsi="Cambria"/>
          <w:color w:val="000000" w:themeColor="text1"/>
        </w:rPr>
        <w:t xml:space="preserve"> (Table 1)</w:t>
      </w:r>
      <w:r w:rsidR="0068109B">
        <w:rPr>
          <w:rFonts w:ascii="Cambria" w:hAnsi="Cambria"/>
          <w:color w:val="000000" w:themeColor="text1"/>
        </w:rPr>
        <w:t xml:space="preserve">.  </w:t>
      </w:r>
      <w:r w:rsidR="008F17A3">
        <w:rPr>
          <w:rFonts w:ascii="Cambria" w:hAnsi="Cambria"/>
          <w:color w:val="000000" w:themeColor="text1"/>
        </w:rPr>
        <w:t xml:space="preserve"> </w:t>
      </w:r>
      <w:r w:rsidR="0019610D">
        <w:rPr>
          <w:rFonts w:ascii="Cambria" w:hAnsi="Cambria"/>
          <w:color w:val="000000" w:themeColor="text1"/>
        </w:rPr>
        <w:t>The model was fit</w:t>
      </w:r>
      <w:r w:rsidR="008F17A3">
        <w:rPr>
          <w:rFonts w:ascii="Cambria" w:hAnsi="Cambria"/>
          <w:color w:val="000000" w:themeColor="text1"/>
        </w:rPr>
        <w:t>ted</w:t>
      </w:r>
      <w:r w:rsidR="0019610D">
        <w:rPr>
          <w:rFonts w:ascii="Cambria" w:hAnsi="Cambria"/>
          <w:color w:val="000000" w:themeColor="text1"/>
        </w:rPr>
        <w:t xml:space="preserve"> to </w:t>
      </w:r>
      <w:r w:rsidR="00CF0192">
        <w:rPr>
          <w:rFonts w:ascii="Cambria" w:hAnsi="Cambria"/>
          <w:color w:val="000000" w:themeColor="text1"/>
        </w:rPr>
        <w:t>patient data</w:t>
      </w:r>
      <w:r w:rsidR="00DA4E2C">
        <w:rPr>
          <w:rFonts w:ascii="Cambria" w:hAnsi="Cambria"/>
          <w:color w:val="000000" w:themeColor="text1"/>
        </w:rPr>
        <w:t xml:space="preserve"> in two stages</w:t>
      </w:r>
      <w:r w:rsidR="0068109B">
        <w:rPr>
          <w:rFonts w:ascii="Cambria" w:hAnsi="Cambria"/>
          <w:color w:val="000000" w:themeColor="text1"/>
        </w:rPr>
        <w:t xml:space="preserve">.  </w:t>
      </w:r>
      <w:r w:rsidR="00DA4E2C">
        <w:rPr>
          <w:rFonts w:ascii="Cambria" w:hAnsi="Cambria"/>
          <w:color w:val="000000" w:themeColor="text1"/>
        </w:rPr>
        <w:t xml:space="preserve">First, the model was fit to median values </w:t>
      </w:r>
      <w:r w:rsidR="00CF0192">
        <w:rPr>
          <w:rFonts w:ascii="Cambria" w:hAnsi="Cambria"/>
          <w:color w:val="000000" w:themeColor="text1"/>
        </w:rPr>
        <w:t xml:space="preserve">of all available patient data </w:t>
      </w:r>
      <w:r w:rsidR="00DA4E2C">
        <w:rPr>
          <w:rFonts w:ascii="Cambria" w:hAnsi="Cambria"/>
          <w:color w:val="000000" w:themeColor="text1"/>
        </w:rPr>
        <w:t xml:space="preserve">for </w:t>
      </w:r>
      <w:r w:rsidR="00CF0192">
        <w:rPr>
          <w:rFonts w:ascii="Cambria" w:hAnsi="Cambria"/>
          <w:color w:val="000000" w:themeColor="text1"/>
        </w:rPr>
        <w:t xml:space="preserve">each state variable, yielding baseline </w:t>
      </w:r>
      <w:r w:rsidR="0019610D">
        <w:rPr>
          <w:rFonts w:ascii="Cambria" w:hAnsi="Cambria"/>
          <w:color w:val="000000" w:themeColor="text1"/>
        </w:rPr>
        <w:t>parameter values</w:t>
      </w:r>
      <w:r w:rsidR="0068109B">
        <w:rPr>
          <w:rFonts w:ascii="Cambria" w:hAnsi="Cambria"/>
          <w:color w:val="000000" w:themeColor="text1"/>
        </w:rPr>
        <w:t xml:space="preserve">.  </w:t>
      </w:r>
      <w:r w:rsidR="00DA4E2C">
        <w:rPr>
          <w:rFonts w:ascii="Cambria" w:hAnsi="Cambria"/>
          <w:color w:val="000000" w:themeColor="text1"/>
        </w:rPr>
        <w:t>The model was then fit</w:t>
      </w:r>
      <w:r w:rsidR="008F17A3">
        <w:rPr>
          <w:rFonts w:ascii="Cambria" w:hAnsi="Cambria"/>
          <w:color w:val="000000" w:themeColor="text1"/>
        </w:rPr>
        <w:t>ted to</w:t>
      </w:r>
      <w:r w:rsidR="00DA4E2C">
        <w:rPr>
          <w:rFonts w:ascii="Cambria" w:hAnsi="Cambria"/>
          <w:color w:val="000000" w:themeColor="text1"/>
        </w:rPr>
        <w:t xml:space="preserve"> </w:t>
      </w:r>
      <w:r w:rsidR="001D3BD8">
        <w:rPr>
          <w:rFonts w:ascii="Cambria" w:hAnsi="Cambria"/>
          <w:color w:val="000000" w:themeColor="text1"/>
        </w:rPr>
        <w:t>individual</w:t>
      </w:r>
      <w:r w:rsidR="0068109B">
        <w:rPr>
          <w:rFonts w:ascii="Cambria" w:hAnsi="Cambria"/>
          <w:color w:val="000000" w:themeColor="text1"/>
        </w:rPr>
        <w:t xml:space="preserve"> </w:t>
      </w:r>
      <w:r w:rsidR="001D3BD8">
        <w:rPr>
          <w:rFonts w:ascii="Cambria" w:hAnsi="Cambria"/>
          <w:color w:val="000000" w:themeColor="text1"/>
        </w:rPr>
        <w:t>patient</w:t>
      </w:r>
      <w:r w:rsidR="00CF0192">
        <w:rPr>
          <w:rFonts w:ascii="Cambria" w:hAnsi="Cambria"/>
          <w:color w:val="000000" w:themeColor="text1"/>
        </w:rPr>
        <w:t xml:space="preserve"> lab and medication data, giving a total of </w:t>
      </w:r>
      <w:r w:rsidR="00CF0192" w:rsidRPr="00CF0192">
        <w:rPr>
          <w:rFonts w:ascii="Cambria" w:hAnsi="Cambria"/>
          <w:color w:val="000000" w:themeColor="text1"/>
          <w:highlight w:val="yellow"/>
        </w:rPr>
        <w:t>__</w:t>
      </w:r>
      <w:r w:rsidR="00CF0192">
        <w:rPr>
          <w:rFonts w:ascii="Cambria" w:hAnsi="Cambria"/>
          <w:color w:val="000000" w:themeColor="text1"/>
        </w:rPr>
        <w:t xml:space="preserve"> sets of parameters  averaged to obtain</w:t>
      </w:r>
      <w:r w:rsidR="001D3BD8">
        <w:rPr>
          <w:rFonts w:ascii="Cambria" w:hAnsi="Cambria"/>
          <w:color w:val="000000" w:themeColor="text1"/>
        </w:rPr>
        <w:t xml:space="preserve"> the final parameter estimates presented in </w:t>
      </w:r>
      <w:r w:rsidR="001D3BD8" w:rsidRPr="00CF0192">
        <w:rPr>
          <w:rFonts w:ascii="Cambria" w:hAnsi="Cambria"/>
          <w:color w:val="000000" w:themeColor="text1"/>
          <w:highlight w:val="yellow"/>
        </w:rPr>
        <w:t xml:space="preserve">Table </w:t>
      </w:r>
      <w:r w:rsidR="00CF0192" w:rsidRPr="00CF0192">
        <w:rPr>
          <w:rFonts w:ascii="Cambria" w:hAnsi="Cambria"/>
          <w:color w:val="000000" w:themeColor="text1"/>
          <w:highlight w:val="yellow"/>
        </w:rPr>
        <w:t>X (TODO)</w:t>
      </w:r>
      <w:r w:rsidR="001D3BD8">
        <w:rPr>
          <w:rFonts w:ascii="Cambria" w:hAnsi="Cambria"/>
          <w:color w:val="000000" w:themeColor="text1"/>
        </w:rPr>
        <w:t>.</w:t>
      </w:r>
    </w:p>
    <w:p w14:paraId="28B223EF" w14:textId="6208F997" w:rsidR="004D215E" w:rsidRDefault="001D3BD8" w:rsidP="00B465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The f</w:t>
      </w:r>
      <w:r w:rsidR="0019610D">
        <w:rPr>
          <w:rFonts w:ascii="Cambria" w:hAnsi="Cambria"/>
          <w:color w:val="000000" w:themeColor="text1"/>
        </w:rPr>
        <w:t xml:space="preserve">itting </w:t>
      </w:r>
      <w:r>
        <w:rPr>
          <w:rFonts w:ascii="Cambria" w:hAnsi="Cambria"/>
          <w:color w:val="000000" w:themeColor="text1"/>
        </w:rPr>
        <w:t xml:space="preserve">process </w:t>
      </w:r>
      <w:r w:rsidR="0019610D">
        <w:rPr>
          <w:rFonts w:ascii="Cambria" w:hAnsi="Cambria"/>
          <w:color w:val="000000" w:themeColor="text1"/>
        </w:rPr>
        <w:t xml:space="preserve">was performed using the </w:t>
      </w:r>
      <w:r w:rsidR="008F17A3">
        <w:rPr>
          <w:rFonts w:ascii="Cambria" w:hAnsi="Cambria"/>
          <w:color w:val="000000" w:themeColor="text1"/>
        </w:rPr>
        <w:t>Nelder</w:t>
      </w:r>
      <w:r w:rsidR="0019610D">
        <w:rPr>
          <w:rFonts w:ascii="Cambria" w:hAnsi="Cambria"/>
          <w:color w:val="000000" w:themeColor="text1"/>
        </w:rPr>
        <w:t xml:space="preserve">-Mead optimization </w:t>
      </w:r>
      <w:r w:rsidR="008F17A3">
        <w:rPr>
          <w:rFonts w:ascii="Cambria" w:hAnsi="Cambria"/>
          <w:color w:val="000000" w:themeColor="text1"/>
        </w:rPr>
        <w:t xml:space="preserve">search </w:t>
      </w:r>
      <w:r w:rsidR="0019610D">
        <w:rPr>
          <w:rFonts w:ascii="Cambria" w:hAnsi="Cambria"/>
          <w:color w:val="000000" w:themeColor="text1"/>
        </w:rPr>
        <w:t xml:space="preserve">routine in the </w:t>
      </w:r>
      <w:r w:rsidR="0019610D" w:rsidRPr="0068109B">
        <w:rPr>
          <w:rFonts w:ascii="Cambria" w:hAnsi="Cambria"/>
          <w:i/>
          <w:iCs/>
          <w:color w:val="000000" w:themeColor="text1"/>
        </w:rPr>
        <w:t>Optim.jl</w:t>
      </w:r>
      <w:r w:rsidR="00997685">
        <w:rPr>
          <w:rFonts w:ascii="Cambria" w:hAnsi="Cambria"/>
          <w:color w:val="000000" w:themeColor="text1"/>
          <w:vertAlign w:val="superscript"/>
        </w:rPr>
        <w:t>24</w:t>
      </w:r>
      <w:r w:rsidR="0019610D">
        <w:rPr>
          <w:rFonts w:ascii="Cambria" w:hAnsi="Cambria"/>
          <w:color w:val="000000" w:themeColor="text1"/>
        </w:rPr>
        <w:t xml:space="preserve"> </w:t>
      </w:r>
      <w:r w:rsidR="000F0C8D">
        <w:rPr>
          <w:rFonts w:ascii="Cambria" w:hAnsi="Cambria"/>
          <w:color w:val="000000" w:themeColor="text1"/>
        </w:rPr>
        <w:t>library</w:t>
      </w:r>
      <w:r w:rsidR="0068109B">
        <w:rPr>
          <w:rFonts w:ascii="Cambria" w:hAnsi="Cambria"/>
          <w:color w:val="000000" w:themeColor="text1"/>
        </w:rPr>
        <w:t xml:space="preserve">.  </w:t>
      </w:r>
      <w:r w:rsidR="008F17A3">
        <w:rPr>
          <w:rFonts w:ascii="Cambria" w:hAnsi="Cambria"/>
          <w:color w:val="000000" w:themeColor="text1"/>
        </w:rPr>
        <w:t xml:space="preserve"> The cost function for optimization</w:t>
      </w:r>
      <w:r w:rsidR="000F0C8D">
        <w:rPr>
          <w:rFonts w:ascii="Cambria" w:hAnsi="Cambria"/>
          <w:color w:val="000000" w:themeColor="text1"/>
        </w:rPr>
        <w:t xml:space="preserve"> </w:t>
      </w:r>
      <w:r w:rsidR="008F17A3">
        <w:rPr>
          <w:rFonts w:ascii="Cambria" w:hAnsi="Cambria"/>
          <w:color w:val="000000" w:themeColor="text1"/>
        </w:rPr>
        <w:t xml:space="preserve">was </w:t>
      </w:r>
      <w:r w:rsidR="000F0C8D">
        <w:rPr>
          <w:rFonts w:ascii="Cambria" w:hAnsi="Cambria"/>
          <w:color w:val="000000" w:themeColor="text1"/>
        </w:rPr>
        <w:t xml:space="preserve">weighted least squares </w:t>
      </w:r>
      <w:r w:rsidR="00A64A18">
        <w:rPr>
          <w:rFonts w:ascii="Cambria" w:hAnsi="Cambria"/>
          <w:color w:val="000000" w:themeColor="text1"/>
        </w:rPr>
        <w:t>(</w:t>
      </w:r>
      <w:r w:rsidR="00A64A18" w:rsidRPr="00997685">
        <w:rPr>
          <w:rFonts w:ascii="Cambria" w:hAnsi="Cambria"/>
          <w:i/>
          <w:iCs/>
          <w:color w:val="000000" w:themeColor="text1"/>
        </w:rPr>
        <w:t>WLS</w:t>
      </w:r>
      <w:r w:rsidR="00A64A18">
        <w:rPr>
          <w:rFonts w:ascii="Cambria" w:hAnsi="Cambria"/>
          <w:color w:val="000000" w:themeColor="text1"/>
        </w:rPr>
        <w:t xml:space="preserve">) </w:t>
      </w:r>
      <w:r>
        <w:rPr>
          <w:rFonts w:ascii="Cambria" w:hAnsi="Cambria"/>
          <w:color w:val="000000" w:themeColor="text1"/>
        </w:rPr>
        <w:t>(9)</w:t>
      </w:r>
      <w:r w:rsidR="008F17A3">
        <w:rPr>
          <w:rFonts w:ascii="Cambria" w:hAnsi="Cambria"/>
          <w:color w:val="000000" w:themeColor="text1"/>
        </w:rPr>
        <w:t>:</w:t>
      </w:r>
    </w:p>
    <w:p w14:paraId="44806515" w14:textId="3F942478" w:rsidR="004D215E" w:rsidRPr="004D215E" w:rsidRDefault="004D215E" w:rsidP="00B46549">
      <w:pPr>
        <w:rPr>
          <w:rFonts w:ascii="Cambria" w:eastAsiaTheme="minorEastAsia" w:hAnsi="Cambr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WLS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hAnsi="Cambria Math"/>
                  <w:color w:val="000000" w:themeColor="text1"/>
                </w:rPr>
                <m:t>j=1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</m:nary>
            </m:e>
          </m:nary>
          <m:r>
            <w:rPr>
              <w:rFonts w:ascii="Cambria Math" w:hAnsi="Cambria Math"/>
              <w:color w:val="000000" w:themeColor="text1"/>
            </w:rPr>
            <m:t xml:space="preserve">                       (9)</m:t>
          </m:r>
        </m:oMath>
      </m:oMathPara>
    </w:p>
    <w:p w14:paraId="53A8D716" w14:textId="6A918AB4" w:rsidR="001D3BD8" w:rsidRDefault="008C53F6" w:rsidP="00B46549">
      <w:pPr>
        <w:rPr>
          <w:rFonts w:ascii="Cambr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where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>p</w:t>
      </w:r>
      <w:r>
        <w:rPr>
          <w:rFonts w:ascii="Cambria" w:eastAsiaTheme="minorEastAsia" w:hAnsi="Cambria"/>
          <w:color w:val="000000" w:themeColor="text1"/>
        </w:rPr>
        <w:t xml:space="preserve"> i</w:t>
      </w:r>
      <w:r w:rsidR="00A64A18">
        <w:rPr>
          <w:rFonts w:ascii="Cambria" w:eastAsiaTheme="minorEastAsia" w:hAnsi="Cambria"/>
          <w:color w:val="000000" w:themeColor="text1"/>
        </w:rPr>
        <w:t>s the vector of unknown optimized</w:t>
      </w:r>
      <w:r w:rsidR="008473EF">
        <w:rPr>
          <w:rFonts w:ascii="Cambria" w:eastAsiaTheme="minorEastAsia" w:hAnsi="Cambria"/>
          <w:color w:val="000000" w:themeColor="text1"/>
        </w:rPr>
        <w:t xml:space="preserve"> </w:t>
      </w:r>
      <w:r w:rsidR="00A64A18">
        <w:rPr>
          <w:rFonts w:ascii="Cambria" w:eastAsiaTheme="minorEastAsia" w:hAnsi="Cambria"/>
          <w:color w:val="000000" w:themeColor="text1"/>
        </w:rPr>
        <w:t>parameters</w:t>
      </w:r>
      <w:r w:rsidR="008473EF">
        <w:rPr>
          <w:rFonts w:ascii="Cambria" w:eastAsiaTheme="minorEastAsia" w:hAnsi="Cambria"/>
          <w:color w:val="000000" w:themeColor="text1"/>
        </w:rPr>
        <w:t>;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>i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>
        <w:rPr>
          <w:rFonts w:ascii="Cambria" w:eastAsiaTheme="minorEastAsia" w:hAnsi="Cambria"/>
          <w:color w:val="000000" w:themeColor="text1"/>
        </w:rPr>
        <w:t>is the</w:t>
      </w:r>
      <w:r w:rsidR="00A64A18">
        <w:rPr>
          <w:rFonts w:ascii="Cambria" w:eastAsiaTheme="minorEastAsia" w:hAnsi="Cambria"/>
          <w:color w:val="000000" w:themeColor="text1"/>
        </w:rPr>
        <w:t xml:space="preserve"> index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="00A64A18">
        <w:rPr>
          <w:rFonts w:ascii="Cambria" w:eastAsiaTheme="minorEastAsia" w:hAnsi="Cambria"/>
          <w:color w:val="000000" w:themeColor="text1"/>
        </w:rPr>
        <w:t xml:space="preserve">of </w:t>
      </w:r>
      <w:r>
        <w:rPr>
          <w:rFonts w:ascii="Cambria" w:eastAsiaTheme="minorEastAsia" w:hAnsi="Cambria"/>
          <w:color w:val="000000" w:themeColor="text1"/>
        </w:rPr>
        <w:t>time point</w:t>
      </w:r>
      <w:r w:rsidR="00A64A18">
        <w:rPr>
          <w:rFonts w:ascii="Cambria" w:eastAsiaTheme="minorEastAsia" w:hAnsi="Cambria"/>
          <w:color w:val="000000" w:themeColor="text1"/>
        </w:rPr>
        <w:t>s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>t</w:t>
      </w:r>
      <w:r w:rsidR="00A64A18" w:rsidRPr="00997685">
        <w:rPr>
          <w:rFonts w:ascii="Cambria" w:eastAsiaTheme="minorEastAsia" w:hAnsi="Cambria"/>
          <w:i/>
          <w:iCs/>
          <w:color w:val="000000" w:themeColor="text1"/>
          <w:vertAlign w:val="subscript"/>
        </w:rPr>
        <w:t>i</w:t>
      </w:r>
      <w:r w:rsidR="008473EF">
        <w:rPr>
          <w:rFonts w:ascii="Cambria" w:eastAsiaTheme="minorEastAsia" w:hAnsi="Cambria"/>
          <w:color w:val="000000" w:themeColor="text1"/>
        </w:rPr>
        <w:t>;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Pr="00997685">
        <w:rPr>
          <w:rFonts w:ascii="Cambria" w:eastAsiaTheme="minorEastAsia" w:hAnsi="Cambria"/>
          <w:i/>
          <w:iCs/>
          <w:color w:val="000000" w:themeColor="text1"/>
        </w:rPr>
        <w:t>j</w:t>
      </w:r>
      <w:r>
        <w:rPr>
          <w:rFonts w:ascii="Cambria" w:eastAsiaTheme="minorEastAsia" w:hAnsi="Cambria"/>
          <w:color w:val="000000" w:themeColor="text1"/>
        </w:rPr>
        <w:t xml:space="preserve"> is the </w:t>
      </w:r>
      <w:r w:rsidR="00A64A18">
        <w:rPr>
          <w:rFonts w:ascii="Cambria" w:eastAsiaTheme="minorEastAsia" w:hAnsi="Cambria"/>
          <w:color w:val="000000" w:themeColor="text1"/>
        </w:rPr>
        <w:t>index of the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 xml:space="preserve"> jth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>
        <w:rPr>
          <w:rFonts w:ascii="Cambria" w:eastAsiaTheme="minorEastAsia" w:hAnsi="Cambria"/>
          <w:color w:val="000000" w:themeColor="text1"/>
        </w:rPr>
        <w:t>m</w:t>
      </w:r>
      <w:r w:rsidR="008473EF">
        <w:rPr>
          <w:rFonts w:ascii="Cambria" w:eastAsiaTheme="minorEastAsia" w:hAnsi="Cambria"/>
          <w:color w:val="000000" w:themeColor="text1"/>
        </w:rPr>
        <w:t>odel</w:t>
      </w:r>
      <w:r>
        <w:rPr>
          <w:rFonts w:ascii="Cambria" w:eastAsiaTheme="minorEastAsia" w:hAnsi="Cambria"/>
          <w:color w:val="000000" w:themeColor="text1"/>
        </w:rPr>
        <w:t xml:space="preserve"> output </w:t>
      </w:r>
      <w:r w:rsidRPr="00997685">
        <w:rPr>
          <w:rFonts w:ascii="Cambria" w:eastAsiaTheme="minorEastAsia" w:hAnsi="Cambria"/>
          <w:i/>
          <w:iCs/>
          <w:color w:val="000000" w:themeColor="text1"/>
        </w:rPr>
        <w:t>y</w:t>
      </w:r>
      <w:r w:rsidR="008473EF">
        <w:rPr>
          <w:rFonts w:ascii="Cambria" w:eastAsiaTheme="minorEastAsia" w:hAnsi="Cambria"/>
          <w:i/>
          <w:iCs/>
          <w:color w:val="000000" w:themeColor="text1"/>
          <w:vertAlign w:val="subscript"/>
        </w:rPr>
        <w:t>ij</w:t>
      </w:r>
      <w:r w:rsidR="00A64A18">
        <w:rPr>
          <w:rFonts w:ascii="Cambria" w:eastAsiaTheme="minorEastAsia" w:hAnsi="Cambria"/>
          <w:i/>
          <w:iCs/>
          <w:color w:val="000000" w:themeColor="text1"/>
        </w:rPr>
        <w:t xml:space="preserve"> </w:t>
      </w:r>
      <w:r w:rsidR="008473EF">
        <w:rPr>
          <w:rFonts w:ascii="Cambria" w:eastAsiaTheme="minorEastAsia" w:hAnsi="Cambria"/>
          <w:color w:val="000000" w:themeColor="text1"/>
        </w:rPr>
        <w:t xml:space="preserve">or output data measurement </w:t>
      </w:r>
      <w:r w:rsidR="008473EF" w:rsidRPr="00997685">
        <w:rPr>
          <w:rFonts w:ascii="Cambria" w:eastAsiaTheme="minorEastAsia" w:hAnsi="Cambria"/>
          <w:i/>
          <w:iCs/>
          <w:color w:val="000000" w:themeColor="text1"/>
        </w:rPr>
        <w:t>z</w:t>
      </w:r>
      <w:r w:rsidR="008473EF" w:rsidRPr="00997685">
        <w:rPr>
          <w:rFonts w:ascii="Cambria" w:eastAsiaTheme="minorEastAsia" w:hAnsi="Cambria"/>
          <w:i/>
          <w:iCs/>
          <w:color w:val="000000" w:themeColor="text1"/>
          <w:vertAlign w:val="subscript"/>
        </w:rPr>
        <w:t>ij</w:t>
      </w:r>
      <w:r w:rsidR="008473EF">
        <w:rPr>
          <w:rFonts w:ascii="Cambria" w:eastAsiaTheme="minorEastAsia" w:hAnsi="Cambria"/>
          <w:color w:val="000000" w:themeColor="text1"/>
        </w:rPr>
        <w:t xml:space="preserve"> </w:t>
      </w:r>
      <w:r w:rsidR="00A64A18">
        <w:rPr>
          <w:rFonts w:ascii="Cambria" w:eastAsiaTheme="minorEastAsia" w:hAnsi="Cambria"/>
          <w:color w:val="000000" w:themeColor="text1"/>
        </w:rPr>
        <w:t>at time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160ED9">
        <w:rPr>
          <w:rFonts w:ascii="Cambria" w:eastAsiaTheme="minorEastAsia" w:hAnsi="Cambria"/>
          <w:i/>
          <w:iCs/>
          <w:color w:val="000000" w:themeColor="text1"/>
        </w:rPr>
        <w:t>t</w:t>
      </w:r>
      <w:r w:rsidR="00A64A18" w:rsidRPr="00160ED9">
        <w:rPr>
          <w:rFonts w:ascii="Cambria" w:eastAsiaTheme="minorEastAsia" w:hAnsi="Cambria"/>
          <w:i/>
          <w:iCs/>
          <w:color w:val="000000" w:themeColor="text1"/>
          <w:vertAlign w:val="subscript"/>
        </w:rPr>
        <w:t>i</w:t>
      </w:r>
      <w:r w:rsidR="0068109B">
        <w:rPr>
          <w:rFonts w:ascii="Cambria" w:eastAsiaTheme="minorEastAsia" w:hAnsi="Cambria"/>
          <w:color w:val="000000" w:themeColor="text1"/>
        </w:rPr>
        <w:t xml:space="preserve">.  </w:t>
      </w:r>
      <w:r w:rsidR="008473EF">
        <w:rPr>
          <w:rFonts w:ascii="Cambria" w:eastAsiaTheme="minorEastAsia" w:hAnsi="Cambria"/>
          <w:color w:val="000000" w:themeColor="text1"/>
        </w:rPr>
        <w:t xml:space="preserve"> The measures state variables or combinations of state variables are </w:t>
      </w:r>
      <m:oMath>
        <m:r>
          <w:rPr>
            <w:rFonts w:ascii="Cambria Math" w:eastAsiaTheme="minorEastAsia" w:hAnsi="Cambria Math"/>
            <w:color w:val="000000" w:themeColor="text1"/>
          </w:rPr>
          <m:t>F</m:t>
        </m:r>
        <m:r>
          <w:rPr>
            <w:rFonts w:ascii="Cambria Math" w:eastAsiaTheme="minorEastAsia" w:hAnsi="Cambria Math"/>
            <w:color w:val="000000" w:themeColor="text1"/>
          </w:rPr>
          <m:t>TS</m:t>
        </m:r>
        <m:r>
          <w:rPr>
            <w:rFonts w:ascii="Cambria Math" w:eastAsiaTheme="minorEastAsia" w:hAnsi="Cambria Math"/>
            <w:color w:val="000000" w:themeColor="text1"/>
          </w:rPr>
          <m:t>,</m:t>
        </m:r>
        <m:r>
          <m:rPr>
            <m:nor/>
          </m:rPr>
          <w:rPr>
            <w:rFonts w:ascii="Cambria Math" w:eastAsiaTheme="minorEastAsia" w:hAnsi="Cambria Math"/>
            <w:i/>
            <w:iCs/>
            <w:color w:val="000000" w:themeColor="text1"/>
          </w:rPr>
          <m:t>T4, T3, TSH, Lymphocytes, Ab</m:t>
        </m:r>
      </m:oMath>
      <w:r w:rsidR="00385933">
        <w:rPr>
          <w:rFonts w:ascii="Cambria" w:eastAsiaTheme="minorEastAsia" w:hAnsi="Cambria"/>
          <w:iCs/>
          <w:color w:val="000000" w:themeColor="text1"/>
        </w:rPr>
        <w:t xml:space="preserve">, </w:t>
      </w:r>
      <w:r w:rsidR="004D215E">
        <w:rPr>
          <w:rFonts w:ascii="Cambria" w:eastAsiaTheme="minorEastAsia" w:hAnsi="Cambria"/>
          <w:color w:val="000000" w:themeColor="text1"/>
        </w:rPr>
        <w:t>where</w:t>
      </w:r>
      <w:r w:rsidR="00385933">
        <w:rPr>
          <w:rFonts w:ascii="Cambria" w:eastAsiaTheme="minorEastAsia" w:hAnsi="Cambria"/>
          <w:color w:val="000000" w:themeColor="text1"/>
        </w:rPr>
        <w:t xml:space="preserve">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Ab = TPOAb</w:t>
      </w:r>
      <w:r w:rsidR="00385933">
        <w:rPr>
          <w:rFonts w:ascii="Cambria" w:eastAsiaTheme="minorEastAsia" w:hAnsi="Cambria"/>
          <w:color w:val="000000" w:themeColor="text1"/>
        </w:rPr>
        <w:t xml:space="preserve"> and Lymphocytes =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B</w:t>
      </w:r>
      <w:r w:rsidR="00385933">
        <w:rPr>
          <w:rFonts w:ascii="Cambria" w:eastAsiaTheme="minorEastAsia" w:hAnsi="Cambria"/>
          <w:color w:val="000000" w:themeColor="text1"/>
        </w:rPr>
        <w:t xml:space="preserve"> +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T</w:t>
      </w:r>
      <w:r w:rsidR="00385933">
        <w:rPr>
          <w:rFonts w:ascii="Cambria" w:eastAsiaTheme="minorEastAsia" w:hAnsi="Cambria"/>
          <w:color w:val="000000" w:themeColor="text1"/>
        </w:rPr>
        <w:t xml:space="preserve"> +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P</w:t>
      </w:r>
      <w:r w:rsidR="0068109B">
        <w:rPr>
          <w:rFonts w:ascii="Cambria" w:eastAsiaTheme="minorEastAsia" w:hAnsi="Cambria"/>
          <w:color w:val="000000" w:themeColor="text1"/>
        </w:rPr>
        <w:t xml:space="preserve">.  </w:t>
      </w:r>
      <w:r w:rsidR="000F0C8D">
        <w:rPr>
          <w:rFonts w:ascii="Cambria" w:hAnsi="Cambria"/>
          <w:color w:val="000000" w:themeColor="text1"/>
        </w:rPr>
        <w:t>Variabilities for the estimated parameters w</w:t>
      </w:r>
      <w:r w:rsidR="001D3BD8">
        <w:rPr>
          <w:rFonts w:ascii="Cambria" w:hAnsi="Cambria"/>
          <w:color w:val="000000" w:themeColor="text1"/>
        </w:rPr>
        <w:t xml:space="preserve">ere then </w:t>
      </w:r>
      <w:r w:rsidR="000F0C8D">
        <w:rPr>
          <w:rFonts w:ascii="Cambria" w:hAnsi="Cambria"/>
          <w:color w:val="000000" w:themeColor="text1"/>
        </w:rPr>
        <w:t xml:space="preserve">obtained using Newton’s method along with a maximum likelihood loss </w:t>
      </w:r>
      <w:r>
        <w:rPr>
          <w:rFonts w:ascii="Cambria" w:hAnsi="Cambria"/>
          <w:color w:val="000000" w:themeColor="text1"/>
        </w:rPr>
        <w:t xml:space="preserve">function </w:t>
      </w:r>
      <w:r w:rsidR="000F0C8D">
        <w:rPr>
          <w:rFonts w:ascii="Cambria" w:hAnsi="Cambria"/>
          <w:color w:val="000000" w:themeColor="text1"/>
        </w:rPr>
        <w:t>starting at the optimal parameters found via Nel</w:t>
      </w:r>
      <w:r w:rsidR="00AF7712">
        <w:rPr>
          <w:rFonts w:ascii="Cambria" w:hAnsi="Cambria"/>
          <w:color w:val="000000" w:themeColor="text1"/>
        </w:rPr>
        <w:t>d</w:t>
      </w:r>
      <w:r w:rsidR="000F0C8D">
        <w:rPr>
          <w:rFonts w:ascii="Cambria" w:hAnsi="Cambria"/>
          <w:color w:val="000000" w:themeColor="text1"/>
        </w:rPr>
        <w:t>er-Mead search</w:t>
      </w:r>
      <w:r>
        <w:rPr>
          <w:rFonts w:ascii="Cambria" w:hAnsi="Cambria"/>
          <w:color w:val="000000" w:themeColor="text1"/>
        </w:rPr>
        <w:t>,</w:t>
      </w:r>
      <w:r w:rsidR="000F0C8D">
        <w:rPr>
          <w:rFonts w:ascii="Cambria" w:hAnsi="Cambria"/>
          <w:color w:val="000000" w:themeColor="text1"/>
        </w:rPr>
        <w:t xml:space="preserve"> as explained in detail in Cruz-Loya et al. </w:t>
      </w:r>
      <w:r w:rsidR="00DA4E2C">
        <w:rPr>
          <w:rFonts w:ascii="Cambria" w:hAnsi="Cambria"/>
          <w:color w:val="000000" w:themeColor="text1"/>
        </w:rPr>
        <w:t xml:space="preserve">Approximations of the inverse Hessian used in the search routine provide variability estimates for each fitted </w:t>
      </w:r>
      <w:r w:rsidR="002942D5">
        <w:rPr>
          <w:rFonts w:ascii="Cambria" w:hAnsi="Cambria"/>
          <w:color w:val="000000" w:themeColor="text1"/>
        </w:rPr>
        <w:t xml:space="preserve">parameter </w:t>
      </w:r>
      <w:r w:rsidR="00385933">
        <w:rPr>
          <w:rFonts w:ascii="Cambria" w:hAnsi="Cambria"/>
          <w:color w:val="000000" w:themeColor="text1"/>
        </w:rPr>
        <w:t xml:space="preserve">[DiStefano 2015] </w:t>
      </w:r>
      <w:r w:rsidR="002942D5">
        <w:rPr>
          <w:rFonts w:ascii="Cambria" w:hAnsi="Cambria"/>
          <w:color w:val="000000" w:themeColor="text1"/>
        </w:rPr>
        <w:t>and are given in Table 4</w:t>
      </w:r>
      <w:r w:rsidR="00DA4E2C">
        <w:rPr>
          <w:rFonts w:ascii="Cambria" w:hAnsi="Cambria"/>
          <w:color w:val="000000" w:themeColor="text1"/>
        </w:rPr>
        <w:t>.</w:t>
      </w:r>
    </w:p>
    <w:p w14:paraId="5B4518CE" w14:textId="664E6383" w:rsidR="008A5127" w:rsidRPr="00AF7712" w:rsidRDefault="008A5127" w:rsidP="00B46549">
      <w:pPr>
        <w:rPr>
          <w:rFonts w:ascii="Cambria" w:eastAsiaTheme="minorEastAs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Parameter Estimate Variability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Pr="008A5127">
        <w:rPr>
          <w:rFonts w:ascii="Cambria" w:hAnsi="Cambria"/>
          <w:color w:val="000000" w:themeColor="text1"/>
          <w:highlight w:val="yellow"/>
        </w:rPr>
        <w:t>TODO</w:t>
      </w:r>
    </w:p>
    <w:p w14:paraId="6CDAE7C0" w14:textId="6A76B6A0" w:rsidR="00346FCC" w:rsidRDefault="00346FCC" w:rsidP="00B46549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>
        <w:rPr>
          <w:rFonts w:ascii="Roboto" w:hAnsi="Roboto"/>
          <w:b/>
          <w:bCs/>
          <w:color w:val="1F3864" w:themeColor="accent1" w:themeShade="80"/>
          <w:sz w:val="28"/>
          <w:szCs w:val="28"/>
        </w:rPr>
        <w:t>Results</w:t>
      </w:r>
    </w:p>
    <w:p w14:paraId="21C2EBD6" w14:textId="54865FF0" w:rsidR="00F116EE" w:rsidRDefault="00EA30A0" w:rsidP="00F116EE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Euthyroid Comparison to </w:t>
      </w:r>
      <w:r w:rsidR="00997685">
        <w:rPr>
          <w:rFonts w:ascii="Roboto" w:hAnsi="Roboto"/>
          <w:b/>
          <w:bCs/>
          <w:color w:val="595959" w:themeColor="text1" w:themeTint="A6"/>
          <w:sz w:val="24"/>
          <w:szCs w:val="24"/>
        </w:rPr>
        <w:t>p-THYROSIM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>
        <w:rPr>
          <w:rFonts w:ascii="Cambria" w:hAnsi="Cambria"/>
          <w:color w:val="000000" w:themeColor="text1"/>
        </w:rPr>
        <w:t>Before simulating Hashimoto’s disease, the Thyr</w:t>
      </w:r>
      <w:r w:rsidR="00385933">
        <w:rPr>
          <w:rFonts w:ascii="Cambria" w:hAnsi="Cambria"/>
          <w:color w:val="000000" w:themeColor="text1"/>
        </w:rPr>
        <w:t>IM</w:t>
      </w:r>
      <w:r>
        <w:rPr>
          <w:rFonts w:ascii="Cambria" w:hAnsi="Cambria"/>
          <w:color w:val="000000" w:themeColor="text1"/>
        </w:rPr>
        <w:t xml:space="preserve">sim model was validated for euthyroid patients by setting the initial values for all immune state variables </w:t>
      </w:r>
      <w:r w:rsidR="00385933">
        <w:rPr>
          <w:rFonts w:ascii="Cambria" w:hAnsi="Cambria"/>
          <w:color w:val="000000" w:themeColor="text1"/>
        </w:rPr>
        <w:t xml:space="preserve">in Table 2 </w:t>
      </w:r>
      <w:r>
        <w:rPr>
          <w:rFonts w:ascii="Cambria" w:hAnsi="Cambria"/>
          <w:color w:val="000000" w:themeColor="text1"/>
        </w:rPr>
        <w:t>to zero and running the model for 30 days</w:t>
      </w:r>
      <w:r w:rsidR="0068109B">
        <w:rPr>
          <w:rFonts w:ascii="Cambria" w:hAnsi="Cambria"/>
          <w:color w:val="000000" w:themeColor="text1"/>
        </w:rPr>
        <w:t xml:space="preserve">.  </w:t>
      </w:r>
      <w:r>
        <w:rPr>
          <w:rFonts w:ascii="Cambria" w:hAnsi="Cambria"/>
          <w:color w:val="000000" w:themeColor="text1"/>
        </w:rPr>
        <w:t xml:space="preserve">The results of this simulation were then plotted and compared to p-Thyrosim as shown in Figure </w:t>
      </w:r>
      <w:r w:rsidR="00AD2228">
        <w:rPr>
          <w:rFonts w:ascii="Cambria" w:hAnsi="Cambria"/>
          <w:color w:val="000000" w:themeColor="text1"/>
        </w:rPr>
        <w:t>4</w:t>
      </w:r>
      <w:r w:rsidR="0068109B">
        <w:rPr>
          <w:rFonts w:ascii="Cambria" w:hAnsi="Cambria"/>
          <w:color w:val="000000" w:themeColor="text1"/>
        </w:rPr>
        <w:t xml:space="preserve">.  </w:t>
      </w:r>
      <w:r w:rsidR="00131854">
        <w:rPr>
          <w:rFonts w:ascii="Cambria" w:hAnsi="Cambria"/>
          <w:color w:val="000000" w:themeColor="text1"/>
        </w:rPr>
        <w:t>Identical results in the two models indicate that ThyrosimIM is stable for euthyroid patients and will not switch from euthyroid to hypothyroid conditions without immune subsystem stimulation</w:t>
      </w:r>
      <w:r w:rsidR="0068109B">
        <w:rPr>
          <w:rFonts w:ascii="Cambria" w:hAnsi="Cambria"/>
          <w:color w:val="000000" w:themeColor="text1"/>
        </w:rPr>
        <w:t xml:space="preserve">.  </w:t>
      </w:r>
      <w:r w:rsidR="00385933">
        <w:rPr>
          <w:rFonts w:ascii="Cambria" w:hAnsi="Cambria"/>
          <w:color w:val="000000" w:themeColor="text1"/>
        </w:rPr>
        <w:t xml:space="preserve">ThyrIMsim </w:t>
      </w:r>
      <w:r w:rsidR="00F116EE">
        <w:rPr>
          <w:rFonts w:ascii="Cambria" w:hAnsi="Cambria"/>
          <w:color w:val="000000" w:themeColor="text1"/>
        </w:rPr>
        <w:t>was then run using the immune submodel parameters and initial conditions listed in Table 1 and Table 2</w:t>
      </w:r>
      <w:r w:rsidR="0068109B">
        <w:rPr>
          <w:rFonts w:ascii="Cambria" w:hAnsi="Cambria"/>
          <w:color w:val="000000" w:themeColor="text1"/>
        </w:rPr>
        <w:t xml:space="preserve">.  </w:t>
      </w:r>
      <w:r w:rsidR="00F116EE">
        <w:rPr>
          <w:rFonts w:ascii="Cambria" w:hAnsi="Cambria"/>
          <w:color w:val="000000" w:themeColor="text1"/>
        </w:rPr>
        <w:t>The results are plotted in Figure 5</w:t>
      </w:r>
      <w:r w:rsidR="0068109B">
        <w:rPr>
          <w:rFonts w:ascii="Cambria" w:hAnsi="Cambria"/>
          <w:color w:val="000000" w:themeColor="text1"/>
        </w:rPr>
        <w:t xml:space="preserve">.  </w:t>
      </w:r>
      <w:r w:rsidR="008D4929" w:rsidRPr="008D4929">
        <w:rPr>
          <w:rFonts w:ascii="Cambria" w:hAnsi="Cambria"/>
          <w:color w:val="000000" w:themeColor="text1"/>
          <w:highlight w:val="yellow"/>
        </w:rPr>
        <w:t>(FIGURE 4-5 TO BE ADDED)</w:t>
      </w:r>
    </w:p>
    <w:p w14:paraId="776BD21E" w14:textId="221FC930" w:rsidR="008A5127" w:rsidRDefault="008D4929" w:rsidP="008A5127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S</w:t>
      </w:r>
      <w:r w:rsidR="008A5127">
        <w:rPr>
          <w:rFonts w:ascii="Roboto" w:hAnsi="Roboto"/>
          <w:b/>
          <w:bCs/>
          <w:color w:val="595959" w:themeColor="text1" w:themeTint="A6"/>
          <w:sz w:val="24"/>
          <w:szCs w:val="24"/>
        </w:rPr>
        <w:t>imulation of S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teady-State Hypothyroidism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="008A5127" w:rsidRPr="008A5127">
        <w:rPr>
          <w:rFonts w:ascii="Cambria" w:hAnsi="Cambria"/>
          <w:color w:val="000000" w:themeColor="text1"/>
          <w:highlight w:val="yellow"/>
        </w:rPr>
        <w:t>TODO</w:t>
      </w:r>
    </w:p>
    <w:p w14:paraId="011944CB" w14:textId="23F0EA40" w:rsidR="008A5127" w:rsidRPr="008A5127" w:rsidRDefault="008A5127" w:rsidP="008A5127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Predicting Treatment Response in HD Patients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Pr="008A5127">
        <w:rPr>
          <w:rFonts w:ascii="Cambria" w:hAnsi="Cambria"/>
          <w:color w:val="000000" w:themeColor="text1"/>
          <w:highlight w:val="yellow"/>
        </w:rPr>
        <w:t>TODO</w:t>
      </w:r>
    </w:p>
    <w:p w14:paraId="3319D551" w14:textId="77777777" w:rsidR="008A5127" w:rsidRPr="008A5127" w:rsidRDefault="008A5127" w:rsidP="00F116EE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</w:p>
    <w:p w14:paraId="5EADF742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654B8F1C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7A20A56E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6DF43262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2308B0A0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17C5BF43" w14:textId="77777777" w:rsidR="00F116EE" w:rsidRPr="002A3EFA" w:rsidRDefault="00F116EE" w:rsidP="00F116EE">
      <w:pPr>
        <w:rPr>
          <w:rFonts w:ascii="Roboto" w:hAnsi="Roboto"/>
          <w:b/>
          <w:bCs/>
          <w:color w:val="1F3864" w:themeColor="accent1" w:themeShade="80"/>
          <w:sz w:val="28"/>
          <w:szCs w:val="28"/>
          <w:lang w:val="sv-SE"/>
        </w:rPr>
      </w:pPr>
      <w:r>
        <w:rPr>
          <w:rFonts w:ascii="Roboto" w:hAnsi="Roboto"/>
          <w:b/>
          <w:bCs/>
          <w:color w:val="1F3864" w:themeColor="accent1" w:themeShade="80"/>
          <w:sz w:val="28"/>
          <w:szCs w:val="28"/>
        </w:rPr>
        <w:lastRenderedPageBreak/>
        <w:t>Discussion</w:t>
      </w:r>
    </w:p>
    <w:p w14:paraId="164AA9BC" w14:textId="58546D8A" w:rsidR="00AD2228" w:rsidRPr="00CC555B" w:rsidRDefault="00F116EE">
      <w:pPr>
        <w:rPr>
          <w:rFonts w:ascii="Cambria" w:eastAsiaTheme="minorEastAsia" w:hAnsi="Cambria" w:cs="Arial"/>
          <w:sz w:val="18"/>
          <w:szCs w:val="18"/>
        </w:rPr>
      </w:pPr>
      <w:r w:rsidRPr="00AF7712">
        <w:rPr>
          <w:rFonts w:ascii="Cambria" w:hAnsi="Cambria"/>
        </w:rPr>
        <w:t xml:space="preserve">The work presented in this paper addresses a crucial yet missing element in dynamical thyroid modeling by augmenting </w:t>
      </w:r>
      <w:r w:rsidR="0046476B">
        <w:rPr>
          <w:rFonts w:ascii="Cambria" w:hAnsi="Cambria"/>
        </w:rPr>
        <w:t>p-THYROSIM</w:t>
      </w:r>
      <w:r w:rsidRPr="00AF7712">
        <w:rPr>
          <w:rFonts w:ascii="Cambria" w:hAnsi="Cambria"/>
        </w:rPr>
        <w:t xml:space="preserve">, a program compiling over </w:t>
      </w:r>
      <w:r w:rsidR="00385933">
        <w:rPr>
          <w:rFonts w:ascii="Cambria" w:hAnsi="Cambria"/>
        </w:rPr>
        <w:t>5</w:t>
      </w:r>
      <w:r w:rsidRPr="00AF7712">
        <w:rPr>
          <w:rFonts w:ascii="Cambria" w:hAnsi="Cambria"/>
        </w:rPr>
        <w:t xml:space="preserve">0 years of our group’s research in computational </w:t>
      </w:r>
      <w:r w:rsidR="00515499" w:rsidRPr="00AF7712">
        <w:rPr>
          <w:rFonts w:ascii="Cambria" w:hAnsi="Cambria"/>
        </w:rPr>
        <w:t xml:space="preserve">thyroid </w:t>
      </w:r>
      <w:r w:rsidR="00385933">
        <w:rPr>
          <w:rFonts w:ascii="Cambria" w:hAnsi="Cambria"/>
        </w:rPr>
        <w:t xml:space="preserve">regulation system </w:t>
      </w:r>
      <w:r w:rsidR="00515499" w:rsidRPr="00AF7712">
        <w:rPr>
          <w:rFonts w:ascii="Cambria" w:hAnsi="Cambria"/>
        </w:rPr>
        <w:t>modeling</w:t>
      </w:r>
      <w:r w:rsidR="00B52F52" w:rsidRPr="00AF7712">
        <w:rPr>
          <w:rFonts w:ascii="Cambria" w:hAnsi="Cambria"/>
          <w:vertAlign w:val="superscript"/>
        </w:rPr>
        <w:t>6,19</w:t>
      </w:r>
      <w:r w:rsidR="0068109B">
        <w:rPr>
          <w:rFonts w:ascii="Cambria" w:hAnsi="Cambria"/>
        </w:rPr>
        <w:t xml:space="preserve">.  </w:t>
      </w:r>
      <w:r w:rsidR="00385933">
        <w:rPr>
          <w:rFonts w:ascii="Cambria" w:hAnsi="Cambria"/>
        </w:rPr>
        <w:t xml:space="preserve"> </w:t>
      </w:r>
      <w:r w:rsidR="00515499" w:rsidRPr="00AF7712">
        <w:rPr>
          <w:rFonts w:ascii="Cambria" w:hAnsi="Cambria"/>
        </w:rPr>
        <w:t>The addition of an immune submodel not only improve</w:t>
      </w:r>
      <w:r w:rsidR="00385933">
        <w:rPr>
          <w:rFonts w:ascii="Cambria" w:hAnsi="Cambria"/>
        </w:rPr>
        <w:t>s</w:t>
      </w:r>
      <w:r w:rsidR="00515499" w:rsidRPr="00AF7712">
        <w:rPr>
          <w:rFonts w:ascii="Cambria" w:hAnsi="Cambria"/>
        </w:rPr>
        <w:t xml:space="preserve"> simulation accuracy for T3 and T4 levels but also provide insight into the quantitative levels of immune components </w:t>
      </w:r>
      <w:r w:rsidR="00385933">
        <w:rPr>
          <w:rFonts w:ascii="Cambria" w:hAnsi="Cambria"/>
        </w:rPr>
        <w:t xml:space="preserve">and their interplay with thyroid </w:t>
      </w:r>
      <w:r w:rsidR="00C41498">
        <w:rPr>
          <w:rFonts w:ascii="Cambria" w:hAnsi="Cambria"/>
        </w:rPr>
        <w:t xml:space="preserve">system variables, </w:t>
      </w:r>
      <w:r w:rsidR="00515499" w:rsidRPr="00AF7712">
        <w:rPr>
          <w:rFonts w:ascii="Cambria" w:hAnsi="Cambria"/>
        </w:rPr>
        <w:t>and how they change over time in Hashimoto’s thyroiditis</w:t>
      </w:r>
      <w:r w:rsidR="0068109B">
        <w:rPr>
          <w:rFonts w:ascii="Cambria" w:hAnsi="Cambria"/>
        </w:rPr>
        <w:t xml:space="preserve">.  </w:t>
      </w:r>
      <w:r w:rsidR="00515499" w:rsidRPr="00AF7712">
        <w:rPr>
          <w:rFonts w:ascii="Cambria" w:hAnsi="Cambria"/>
        </w:rPr>
        <w:t>Clinically, the model may provide physicians with continuous predictions of antibody levels, which often go unmeasured, allowing them to tailor treatment accordingly</w:t>
      </w:r>
      <w:r w:rsidR="008A5127">
        <w:rPr>
          <w:rFonts w:ascii="Cambria" w:hAnsi="Cambria"/>
        </w:rPr>
        <w:t>…</w:t>
      </w:r>
      <w:r w:rsidR="0068109B">
        <w:rPr>
          <w:rFonts w:ascii="Cambria" w:hAnsi="Cambria"/>
        </w:rPr>
        <w:t xml:space="preserve">.  </w:t>
      </w:r>
      <w:r w:rsidR="008A5127" w:rsidRPr="008A5127">
        <w:rPr>
          <w:rFonts w:ascii="Cambria" w:hAnsi="Cambria"/>
          <w:highlight w:val="yellow"/>
        </w:rPr>
        <w:t>TO FINISH</w:t>
      </w:r>
    </w:p>
    <w:p w14:paraId="43E54A8C" w14:textId="77777777" w:rsidR="00AD2228" w:rsidRDefault="00AD2228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6B66D8AA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19027A2C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4F45DB80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6AFF0716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5E6A6E03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3360649A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0DB1CC83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7DEF1CE9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3B3FC665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2D2962F3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6C2C1EF9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56EBA501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7E081010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1A9E78E1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0799E1BE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5FD17950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0FCA9174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7619ED67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1BC4F252" w14:textId="757DDB55" w:rsidR="00940D33" w:rsidRDefault="00940D33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  <w:r w:rsidRPr="00940D33">
        <w:rPr>
          <w:rFonts w:ascii="Roboto" w:hAnsi="Roboto"/>
          <w:b/>
          <w:bCs/>
          <w:color w:val="1F3864" w:themeColor="accent1" w:themeShade="80"/>
          <w:sz w:val="32"/>
          <w:szCs w:val="32"/>
        </w:rPr>
        <w:lastRenderedPageBreak/>
        <w:t>References</w:t>
      </w:r>
    </w:p>
    <w:p w14:paraId="3BCE393D" w14:textId="77777777" w:rsidR="006904E9" w:rsidRDefault="006904E9" w:rsidP="006904E9">
      <w:pPr>
        <w:spacing w:after="40"/>
        <w:rPr>
          <w:rFonts w:ascii="Cambria" w:hAnsi="Cambria"/>
          <w:sz w:val="20"/>
          <w:szCs w:val="20"/>
        </w:rPr>
        <w:sectPr w:rsidR="006904E9" w:rsidSect="00C71339">
          <w:headerReference w:type="default" r:id="rId1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92D758" w14:textId="5C59CE97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 w:rsidRPr="00E91B41">
        <w:rPr>
          <w:rFonts w:ascii="Cambria" w:hAnsi="Cambria"/>
          <w:sz w:val="20"/>
          <w:szCs w:val="20"/>
        </w:rPr>
        <w:t>1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Ragusa, F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Hashimotos’ thyroiditis: Epidemiology, pathogenesis, clinic and therapy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Best Practice &amp; Research Clinical Endocrinology &amp; Metabolism 33, 101367 (2019).</w:t>
      </w:r>
    </w:p>
    <w:p w14:paraId="537093BD" w14:textId="07A37654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Ralli,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Hashimoto’s thyroiditis: An update on pathogenic mechanisms, diagnostic protocols, therapeutic strategies, and potential malignant transformation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Autoimmun Rev 19, 102649 (2020).</w:t>
      </w:r>
    </w:p>
    <w:p w14:paraId="6225AB91" w14:textId="7161354E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Jing, 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Zhang, Q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Intrathyroidal feedforward and feedback network regulating thyroid hormone synthesis and secretion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Front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Endocrinol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13, 992883 (2022).</w:t>
      </w:r>
    </w:p>
    <w:p w14:paraId="10297636" w14:textId="23EC79D2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Jara, E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Modulating the function of the immune system by thyroid hormones and thyrotropin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Immunology Letters 184, 76–83 (2017).</w:t>
      </w:r>
    </w:p>
    <w:p w14:paraId="5D019FAF" w14:textId="26D742B9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Wenzek, C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The interplay of thyroid hormones and the immune system – where we stand and why we need to know about it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European Journal of Endocrinology 186, R65–R77 (2022).</w:t>
      </w:r>
    </w:p>
    <w:p w14:paraId="21CBCF86" w14:textId="3DC41C0E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6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Cruz-Loya, M., Chu, B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B., Jonklaas, J., Schneider, D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DiStefano, 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Optimized Replacement T4 and T4+T3 Dosing in Male and Female Hypothyroid Patients With Different BMIs Using a Personalized Mechanistic Model of Thyroid Hormone Regulation Dynamics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Front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Endocrinol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13, 888429 (2022).</w:t>
      </w:r>
    </w:p>
    <w:p w14:paraId="46A93203" w14:textId="022E9C51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7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Thakar, J., Poss, M., Albert, R., Long, G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Zhang, R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Dynamic models of immune responses: what is the ideal level of detail? Theor Biol Med Model 7, 35 (2010).</w:t>
      </w:r>
    </w:p>
    <w:p w14:paraId="1B3D5811" w14:textId="2222442D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8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Pandiyan, B., Merrill, 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J., Di Bari, F., Antonelli, 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Benvenga, 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 patient-specific treatment model for Graves’ hyperthyroidism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Theor Biol Med Model 15, 1 (2018).</w:t>
      </w:r>
    </w:p>
    <w:p w14:paraId="09B8817F" w14:textId="66C7B4B9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9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Atitey, K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Anchang, B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Mathematical Modeling of Proliferative Immune Response Initiated by Interactions Between Classical Antigen-Presenting Cells Under Joint Antagonistic IL-2 and IL-4 Signaling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Frontiers in Molecular Biosciences 9, (2022).</w:t>
      </w:r>
    </w:p>
    <w:p w14:paraId="706D4A84" w14:textId="1673ECBB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10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Conlon, P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J., Tyler, S., Grabstein, K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Morrissey, P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Interleukin-4 (B-cell stimulatory factor-1) augments the in vivo generation of cytotoxic cells in immunosuppressed animals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Biotechnol Ther 1, 31–41 (1989).</w:t>
      </w:r>
    </w:p>
    <w:p w14:paraId="07582FB4" w14:textId="5332E214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11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Tsukamoto, H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Age-associated increase in lifespan of naïve CD4 T cells contributes to T-cell homeostasis but facilitates development of functional defects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Proceedings of the National Academy of Sciences 106, 18333–18338 (2009).</w:t>
      </w:r>
    </w:p>
    <w:p w14:paraId="4B9C7E7E" w14:textId="79F382E2" w:rsid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12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Bonin, C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R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B., Fernandes, G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C., dos Santos, R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W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Lobosco,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 xml:space="preserve">Mathematical modeling based on ordinary differential equations: A promising approach to </w:t>
      </w:r>
      <w:r w:rsidRPr="00E91B41">
        <w:rPr>
          <w:rFonts w:ascii="Cambria" w:hAnsi="Cambria"/>
          <w:sz w:val="20"/>
          <w:szCs w:val="20"/>
        </w:rPr>
        <w:t>vaccinology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Human Vaccines &amp; Immunotherapeutics 13, 484–489 (2017).</w:t>
      </w:r>
    </w:p>
    <w:p w14:paraId="62CA1A52" w14:textId="3341041B" w:rsidR="00B52F52" w:rsidRPr="00E91B41" w:rsidRDefault="00B52F52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13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Bianca, C., Chiacchio, F., Pappalardo, F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Pennisi,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Mathematical modeling of the immune system recognition to mammary carcinoma antigen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BMC Bioinformatics 13 Suppl 17, S21 (2012).</w:t>
      </w:r>
    </w:p>
    <w:p w14:paraId="15F5E2D4" w14:textId="17E347E4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</w:t>
      </w:r>
      <w:r w:rsidR="00B52F52">
        <w:rPr>
          <w:rFonts w:ascii="Cambria" w:hAnsi="Cambria"/>
          <w:sz w:val="20"/>
          <w:szCs w:val="20"/>
        </w:rPr>
        <w:t>4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Amanna, I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Slifka,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K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Mechanisms that determine plasma cell lifespan and the duration of humoral immunity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Immunol Rev 236, 125–138 (2010)</w:t>
      </w:r>
    </w:p>
    <w:p w14:paraId="5BFC1EBF" w14:textId="1FDBC408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</w:t>
      </w:r>
      <w:r w:rsidR="00B52F52">
        <w:rPr>
          <w:rFonts w:ascii="Cambria" w:hAnsi="Cambria"/>
          <w:sz w:val="20"/>
          <w:szCs w:val="20"/>
        </w:rPr>
        <w:t>5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Korem Kohanim, 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Dynamics of thyroid diseases and thyroid‐axis gland masses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Molecular Systems Biology 18, (2022).</w:t>
      </w:r>
    </w:p>
    <w:p w14:paraId="28621EDA" w14:textId="6C65D582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16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Burke,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Modeling the Proliferative Response of T Cells to IL-2 and IL-4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Cellular Immunology 178, 42–52 (1997).</w:t>
      </w:r>
    </w:p>
    <w:p w14:paraId="3EC240C7" w14:textId="14FB621E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17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Carlé, 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Thyroid Volume in Hypothyroidism due to Autoimmune Disease Follows a Unimodal Distribution: Evidence against Primary Thyroid Atrophy and Autoimmune Thyroiditis Being Distinct Diseases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The Journal of Clinical Endocrinology &amp; Metabolism 94, 833–839 (2009).</w:t>
      </w:r>
    </w:p>
    <w:p w14:paraId="3C3284CE" w14:textId="41501B23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18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den Braber, I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Maintenance of Peripheral Naive T Cells Is Sustained by Thymus Output in Mice but Not Humans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Immunity 36, 288–297 (2012).</w:t>
      </w:r>
    </w:p>
    <w:p w14:paraId="7FE6D801" w14:textId="5E370FE5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Eisenberg, M., Samuels,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DiStefano, 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Extensions, Validation, and Clinical Applications of a Feedback Control System Simulator of the Hypothalamo-Pituitary-Thyroid Axis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Thyroid 18, 1071–1085 (2008).</w:t>
      </w:r>
    </w:p>
    <w:p w14:paraId="55F98AC9" w14:textId="7A201BE2" w:rsid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Delivanis, D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Pembrolizumab-Induced Thyroiditis: Comprehensive Clinical Review and Insights Into Underlying Involved Mechanisms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 Clin Endocrinol Metab 102, 2770–2780 (2017).</w:t>
      </w:r>
    </w:p>
    <w:p w14:paraId="44ECAA93" w14:textId="1E21BD1D" w:rsidR="0076399E" w:rsidRDefault="0076399E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21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Ozaki, 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Thyroid Regeneration: Characterization of Clear Cells After Partial Thyroidectomy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Endocrinology 153, 2514–2525 (2012).</w:t>
      </w:r>
    </w:p>
    <w:p w14:paraId="5FC0EA4C" w14:textId="4322D622" w:rsidR="0068109B" w:rsidRDefault="0068109B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22.  </w:t>
      </w:r>
      <w:r w:rsidRPr="0068109B">
        <w:rPr>
          <w:rFonts w:ascii="Cambria" w:hAnsi="Cambria"/>
          <w:sz w:val="20"/>
          <w:szCs w:val="20"/>
        </w:rPr>
        <w:t>Bezanson, J., Edelman, A., Karpinski, S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&amp; Shah, V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B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Julia: A Fresh Approach to Numerical Computing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SIAM Rev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59, 65–98 (2017).</w:t>
      </w:r>
    </w:p>
    <w:p w14:paraId="7E894265" w14:textId="1F51E270" w:rsidR="0068109B" w:rsidRDefault="0068109B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23</w:t>
      </w:r>
      <w:r w:rsidRPr="0068109B">
        <w:rPr>
          <w:rFonts w:ascii="Cambria" w:hAnsi="Cambria"/>
          <w:sz w:val="20"/>
          <w:szCs w:val="20"/>
        </w:rPr>
        <w:t>. Rackauckas, C. &amp; Nie, Q. DifferentialEquations.jl – A Performant and Feature-Rich Ecosystem for Solving Differential Equations in Julia. The Journal of Open Research Software 5, (2017).</w:t>
      </w:r>
    </w:p>
    <w:p w14:paraId="2B2A1592" w14:textId="0C20AC84" w:rsidR="0068109B" w:rsidRPr="00E91B41" w:rsidRDefault="0068109B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24</w:t>
      </w:r>
      <w:r w:rsidRPr="0068109B">
        <w:rPr>
          <w:rFonts w:ascii="Cambria" w:hAnsi="Cambria"/>
          <w:sz w:val="20"/>
          <w:szCs w:val="20"/>
        </w:rPr>
        <w:t>. Mogensen, P. K. &amp; Riseth, A. N. Optim: A mathematical optimization package for Julia. Journal of Open Source Software 3, 615 (2018).</w:t>
      </w:r>
    </w:p>
    <w:p w14:paraId="614E1490" w14:textId="77777777" w:rsidR="00E91B41" w:rsidRPr="00E91B41" w:rsidRDefault="00E91B41" w:rsidP="00E91B41">
      <w:pPr>
        <w:rPr>
          <w:rFonts w:ascii="Cambria" w:hAnsi="Cambria"/>
          <w:sz w:val="24"/>
          <w:szCs w:val="24"/>
        </w:rPr>
      </w:pPr>
    </w:p>
    <w:p w14:paraId="34342C63" w14:textId="77777777" w:rsidR="006904E9" w:rsidRDefault="006904E9" w:rsidP="002A3EFA">
      <w:pPr>
        <w:rPr>
          <w:rFonts w:ascii="Cambria" w:hAnsi="Cambria"/>
          <w:sz w:val="24"/>
          <w:szCs w:val="24"/>
        </w:rPr>
      </w:pPr>
    </w:p>
    <w:p w14:paraId="7176A2BD" w14:textId="06A99E8D" w:rsidR="006904E9" w:rsidRDefault="006904E9" w:rsidP="002A3EFA">
      <w:pPr>
        <w:rPr>
          <w:rFonts w:ascii="Cambria" w:hAnsi="Cambria"/>
          <w:sz w:val="24"/>
          <w:szCs w:val="24"/>
        </w:rPr>
        <w:sectPr w:rsidR="006904E9" w:rsidSect="006904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17F756" w14:textId="09D3B723" w:rsidR="00FE2D2C" w:rsidRDefault="002A3EFA" w:rsidP="00FE2D2C">
      <w:pPr>
        <w:spacing w:after="0"/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  <w:r>
        <w:rPr>
          <w:rFonts w:ascii="Roboto" w:hAnsi="Roboto"/>
          <w:b/>
          <w:bCs/>
          <w:color w:val="1F3864" w:themeColor="accent1" w:themeShade="80"/>
          <w:sz w:val="32"/>
          <w:szCs w:val="32"/>
        </w:rPr>
        <w:lastRenderedPageBreak/>
        <w:t>Appendix</w:t>
      </w:r>
    </w:p>
    <w:p w14:paraId="1A256E64" w14:textId="4FCA1399" w:rsidR="00FE2D2C" w:rsidRPr="00FE2D2C" w:rsidRDefault="00FE2D2C" w:rsidP="002A3EFA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43043909" w14:textId="63AE3016" w:rsidR="008B7A11" w:rsidRDefault="008B7A11" w:rsidP="00FE2D2C">
      <w:pPr>
        <w:spacing w:after="0"/>
        <w:jc w:val="center"/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 w:rsidRPr="00FE2D2C">
        <w:rPr>
          <w:rFonts w:ascii="Roboto" w:hAnsi="Roboto"/>
          <w:i/>
          <w:iCs/>
          <w:color w:val="595959" w:themeColor="text1" w:themeTint="A6"/>
          <w:sz w:val="24"/>
          <w:szCs w:val="24"/>
        </w:rPr>
        <w:t>Complete code for the</w:t>
      </w:r>
      <w:r w:rsidR="00FE2D2C">
        <w:rPr>
          <w:rFonts w:ascii="Roboto" w:hAnsi="Roboto"/>
          <w:i/>
          <w:iCs/>
          <w:color w:val="595959" w:themeColor="text1" w:themeTint="A6"/>
          <w:sz w:val="24"/>
          <w:szCs w:val="24"/>
        </w:rPr>
        <w:t xml:space="preserve"> current</w:t>
      </w:r>
      <w:r w:rsidRPr="00FE2D2C">
        <w:rPr>
          <w:rFonts w:ascii="Roboto" w:hAnsi="Roboto"/>
          <w:i/>
          <w:iCs/>
          <w:color w:val="595959" w:themeColor="text1" w:themeTint="A6"/>
          <w:sz w:val="24"/>
          <w:szCs w:val="24"/>
        </w:rPr>
        <w:t xml:space="preserve"> model is available at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</w:t>
      </w:r>
      <w:hyperlink r:id="rId17" w:history="1">
        <w:r w:rsidR="00FE2D2C" w:rsidRPr="00FE2D2C">
          <w:rPr>
            <w:rStyle w:val="Hyperlink"/>
            <w:rFonts w:ascii="Roboto" w:hAnsi="Roboto"/>
            <w:b/>
            <w:bCs/>
            <w:sz w:val="24"/>
            <w:szCs w:val="24"/>
          </w:rPr>
          <w:t>https://github.com/aidanboyne/BioCyb_UCLA</w:t>
        </w:r>
      </w:hyperlink>
    </w:p>
    <w:p w14:paraId="487EA09B" w14:textId="19F38481" w:rsidR="00FE2D2C" w:rsidRPr="00FE2D2C" w:rsidRDefault="00FE2D2C" w:rsidP="002A3EFA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2B98F46F" w14:textId="4F163EA6" w:rsidR="002A3EFA" w:rsidRDefault="002A3EFA" w:rsidP="002A3EFA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Summary of cy</w:t>
      </w:r>
      <w:r w:rsidRPr="002A3EFA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tokines 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action in</w:t>
      </w:r>
      <w:r w:rsidRPr="002A3EFA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Hashimoto’s 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t</w:t>
      </w:r>
      <w:r w:rsidRPr="002A3EFA">
        <w:rPr>
          <w:rFonts w:ascii="Roboto" w:hAnsi="Roboto"/>
          <w:b/>
          <w:bCs/>
          <w:color w:val="595959" w:themeColor="text1" w:themeTint="A6"/>
          <w:sz w:val="24"/>
          <w:szCs w:val="24"/>
        </w:rPr>
        <w:t>hyroiditis</w:t>
      </w:r>
    </w:p>
    <w:p w14:paraId="236E391A" w14:textId="77C026A5" w:rsidR="00C32F67" w:rsidRPr="00C32F67" w:rsidRDefault="00C32F67" w:rsidP="002A3EFA">
      <w:pPr>
        <w:rPr>
          <w:rFonts w:ascii="Roboto" w:hAnsi="Roboto"/>
          <w:i/>
          <w:iCs/>
          <w:color w:val="595959" w:themeColor="text1" w:themeTint="A6"/>
          <w:sz w:val="24"/>
          <w:szCs w:val="24"/>
        </w:rPr>
      </w:pPr>
      <w:r>
        <w:rPr>
          <w:rFonts w:ascii="Roboto" w:hAnsi="Roboto"/>
          <w:i/>
          <w:iCs/>
          <w:color w:val="595959" w:themeColor="text1" w:themeTint="A6"/>
          <w:sz w:val="24"/>
          <w:szCs w:val="24"/>
        </w:rPr>
        <w:t>Note: References cited in text</w:t>
      </w:r>
    </w:p>
    <w:p w14:paraId="25E6178C" w14:textId="55859422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IFN</w:t>
      </w:r>
      <w:r w:rsidRPr="008B7A11">
        <w:rPr>
          <w:rFonts w:ascii="Cambria" w:hAnsi="Cambria"/>
        </w:rPr>
        <w:t>-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8B7A11">
        <w:rPr>
          <w:rFonts w:ascii="Cambria" w:hAnsi="Cambria"/>
        </w:rPr>
        <w:t>: macrophage, NK, neutrophil activator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A relationship could be demonstrated between high y-IFN production and natural killer (NK) activity in T cell clones from thyroid and peripheral blood of HT patients (del Prete)</w:t>
      </w:r>
      <w:r w:rsidR="0068109B">
        <w:rPr>
          <w:rFonts w:ascii="Cambria" w:hAnsi="Cambria"/>
        </w:rPr>
        <w:t xml:space="preserve">.  </w:t>
      </w:r>
    </w:p>
    <w:p w14:paraId="07222BCE" w14:textId="70AAC2CE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Tau G, Rothman P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Biologic functions of the IFN-gamma receptors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Allergy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1999 Dec;54(12):1233-51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10.1034/j.1398-9995.1999.00099.x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10688427; PMCID: PMC4154595.</w:t>
      </w:r>
    </w:p>
    <w:p w14:paraId="44F73E6D" w14:textId="46E3E587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Del Prete GF, Tiri A, Mariotti S, Pinchera M, Rici M, Romagnani 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Enhanced production of IFNγ by thyroid-derived T cell clones from patients with Hashimoto's thyroiditis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Clin Exp Immunol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1987;69:323–31</w:t>
      </w:r>
      <w:r w:rsidR="0068109B">
        <w:rPr>
          <w:rFonts w:ascii="Cambria" w:hAnsi="Cambria"/>
        </w:rPr>
        <w:t xml:space="preserve">.  </w:t>
      </w:r>
    </w:p>
    <w:p w14:paraId="5C22A51A" w14:textId="77777777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 w:rsidRPr="008B7A11">
        <w:rPr>
          <w:rFonts w:ascii="Cambria" w:hAnsi="Cambria"/>
          <w:b/>
          <w:bCs/>
        </w:rPr>
        <w:t>TNF-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8B7A11">
        <w:rPr>
          <w:rFonts w:ascii="Cambria" w:hAnsi="Cambria"/>
        </w:rPr>
        <w:t>: promotes inflammation and cell death, significantly higher in Hashimoto's and many other autoimmune disorders.</w:t>
      </w:r>
    </w:p>
    <w:p w14:paraId="3824B78E" w14:textId="2BF4FCAA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Jang DI, Lee AH, Shin HY, Song HR, Park JH, Kang TB, Lee SR, Yang SH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The Role of Tumor Necrosis Factor Alpha (TNF-α) in Autoimmune Disease and Current TNF-α Inhibitors in Therapeutics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Int J Mol Sci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2021 Mar 8;22(5):2719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10.3390/ijms22052719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33800290; PMCID: PMC7962638.</w:t>
      </w:r>
    </w:p>
    <w:p w14:paraId="73A285A5" w14:textId="5214A52A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lang w:val="sv-SE"/>
        </w:rPr>
        <w:t>Díez, Juan J et al</w:t>
      </w:r>
      <w:r w:rsidR="0068109B">
        <w:rPr>
          <w:rFonts w:ascii="Cambria" w:hAnsi="Cambria"/>
          <w:lang w:val="sv-SE"/>
        </w:rPr>
        <w:t xml:space="preserve">.  </w:t>
      </w:r>
      <w:r w:rsidRPr="008B7A11">
        <w:rPr>
          <w:rFonts w:ascii="Cambria" w:hAnsi="Cambria"/>
        </w:rPr>
        <w:t>“Serum concentrations of tumour necrosis factor-alpha (TNF-alpha) and soluble TNF-alpha receptor p55 in patients with hypothyroidism and hyperthyroidism before and after normalization of thyroid function.” Clinical endocrinology vol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57,4 (2002): 515-21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doi:10.1046/j.1365-2265.2002.01629.x</w:t>
      </w:r>
    </w:p>
    <w:p w14:paraId="3CEDFA96" w14:textId="77777777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 w:rsidRPr="008B7A11">
        <w:rPr>
          <w:rFonts w:ascii="Cambria" w:hAnsi="Cambria"/>
          <w:b/>
          <w:bCs/>
        </w:rPr>
        <w:t>TGF</w:t>
      </w:r>
      <w:r w:rsidRPr="008B7A11">
        <w:rPr>
          <w:rFonts w:ascii="Cambria" w:hAnsi="Cambria"/>
        </w:rPr>
        <w:t>-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B7A11">
        <w:rPr>
          <w:rFonts w:ascii="Cambria" w:hAnsi="Cambria"/>
        </w:rPr>
        <w:t>:</w:t>
      </w:r>
    </w:p>
    <w:p w14:paraId="10B318D9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Suppresses the proliferation and differentiation of effector T-cells via inhibition of Th2-produced IL-2</w:t>
      </w:r>
    </w:p>
    <w:p w14:paraId="41CCF3D4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Initially suppresses Hashimoto's, then stimulates fibrosis at end stages of disease.</w:t>
      </w:r>
    </w:p>
    <w:p w14:paraId="6EB2F24A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Stimulates naive CD4+ T-cells transformation to effector T-cells</w:t>
      </w:r>
    </w:p>
    <w:p w14:paraId="6205FEC3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3.Alters the type of produced cytokines and mediates phenotypic metamorphosis among effector T-cells</w:t>
      </w:r>
    </w:p>
    <w:p w14:paraId="1B0B5EAD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4.Enhances TNF production by both CD4+ and CD8+ T-cells</w:t>
      </w:r>
    </w:p>
    <w:p w14:paraId="1E3BD28A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5.Enhances the proliferation of CD8+ cells (in experimental mouse models)</w:t>
      </w:r>
    </w:p>
    <w:p w14:paraId="7808BABE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6.Stimulates transformation of nTregs to iTregs via increased Foxp3 expression</w:t>
      </w:r>
    </w:p>
    <w:p w14:paraId="01F0F739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7.Promotes Treg-induced inhibition of the exocytosis of granules</w:t>
      </w:r>
    </w:p>
    <w:p w14:paraId="14490446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8.Inhibits the generation and activation of cytotoxic T lymphocytes (CTLs)</w:t>
      </w:r>
    </w:p>
    <w:p w14:paraId="5035BE9C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9.Suppresses the cytotoxicity of the CTLs via the transcriptional regression of genes encoding proteins, which are vital for CTLs function</w:t>
      </w:r>
    </w:p>
    <w:p w14:paraId="38DE3499" w14:textId="171BA5A2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10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Inhibits B-cell activation</w:t>
      </w:r>
    </w:p>
    <w:p w14:paraId="101634B9" w14:textId="7B758A2B" w:rsidR="00A4573E" w:rsidRPr="008B7A11" w:rsidRDefault="002A3EFA" w:rsidP="00A4573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Kardalas E, Maraka S, Papagianni M, Paltoglou G, Siristatidis C, Mastorakos G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TGF-β Physiology as a Novel Therapeutic Target Regarding Autoimmune Thyroid Diseases: Where Do We Stand and What to Expect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Medicina (Kaunas)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2021 Jun 14;57(6):621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10.3390/medicina57060621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34198624; PMCID: PMC8232149.</w:t>
      </w:r>
    </w:p>
    <w:p w14:paraId="1BAF22AB" w14:textId="040EE65D" w:rsidR="00A4573E" w:rsidRPr="008B7A11" w:rsidRDefault="00A4573E" w:rsidP="00A4573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IL2</w:t>
      </w:r>
      <w:r w:rsidR="00C32F67">
        <w:rPr>
          <w:rFonts w:ascii="Cambria" w:hAnsi="Cambria"/>
          <w:b/>
          <w:bCs/>
        </w:rPr>
        <w:t xml:space="preserve">: </w:t>
      </w:r>
      <w:r w:rsidR="00C32F67">
        <w:rPr>
          <w:rFonts w:ascii="Cambria" w:hAnsi="Cambria"/>
        </w:rPr>
        <w:t>promotes T-cell, B-cell proliferation</w:t>
      </w:r>
      <w:r w:rsidR="0068109B">
        <w:rPr>
          <w:rFonts w:ascii="Cambria" w:hAnsi="Cambria"/>
        </w:rPr>
        <w:t xml:space="preserve">.  </w:t>
      </w:r>
      <w:r w:rsidR="00C32F67">
        <w:rPr>
          <w:rFonts w:ascii="Cambria" w:hAnsi="Cambria"/>
        </w:rPr>
        <w:t>Upregulated by IL4</w:t>
      </w:r>
      <w:r w:rsidR="0068109B">
        <w:rPr>
          <w:rFonts w:ascii="Cambria" w:hAnsi="Cambria"/>
        </w:rPr>
        <w:t xml:space="preserve">.  </w:t>
      </w:r>
      <w:r w:rsidR="00C32F67">
        <w:rPr>
          <w:rFonts w:ascii="Cambria" w:hAnsi="Cambria"/>
        </w:rPr>
        <w:t>Primarily produced by B-cells</w:t>
      </w:r>
      <w:r w:rsidR="00C32F67">
        <w:rPr>
          <w:rFonts w:ascii="Cambria" w:hAnsi="Cambria"/>
          <w:vertAlign w:val="superscript"/>
        </w:rPr>
        <w:t>9</w:t>
      </w:r>
      <w:r w:rsidR="0068109B">
        <w:rPr>
          <w:rFonts w:ascii="Cambria" w:hAnsi="Cambria"/>
        </w:rPr>
        <w:t xml:space="preserve">.  </w:t>
      </w:r>
      <w:r w:rsidR="00C32F67">
        <w:rPr>
          <w:rFonts w:ascii="Cambria" w:hAnsi="Cambria"/>
        </w:rPr>
        <w:t>One of primary cytokines considered in the model.</w:t>
      </w:r>
    </w:p>
    <w:p w14:paraId="44F7261D" w14:textId="03806BE3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 w:rsidRPr="008B7A11">
        <w:rPr>
          <w:rFonts w:ascii="Cambria" w:hAnsi="Cambria"/>
          <w:b/>
          <w:bCs/>
        </w:rPr>
        <w:lastRenderedPageBreak/>
        <w:t>IL4</w:t>
      </w:r>
      <w:r w:rsidRPr="008B7A11">
        <w:rPr>
          <w:rFonts w:ascii="Cambria" w:hAnsi="Cambria"/>
        </w:rPr>
        <w:t>: promotes B, T-cell growth and induces CD4+ differentiation indirectly upregulating IL2,4,10 production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Likewise, indirectly inhibits IFN-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68109B">
        <w:rPr>
          <w:rFonts w:ascii="Cambria" w:hAnsi="Cambria"/>
        </w:rPr>
        <w:t xml:space="preserve">.  </w:t>
      </w:r>
      <w:r w:rsidR="00A4573E" w:rsidRPr="008B7A11">
        <w:rPr>
          <w:rFonts w:ascii="Cambria" w:hAnsi="Cambria"/>
        </w:rPr>
        <w:t>One of the primary cytokines considered in the model along with IL2</w:t>
      </w:r>
    </w:p>
    <w:p w14:paraId="587E05EB" w14:textId="2E8C6F3B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Stephen T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Smiley, Michael J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Grusby, in Encyclopedia of Immunology (Second Edition), 1998</w:t>
      </w:r>
    </w:p>
    <w:p w14:paraId="75B5EAF9" w14:textId="55C8C899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lang w:val="sv-SE"/>
        </w:rPr>
        <w:t>Bossowski, A., Harasymczuk, J., Moniuszko, A</w:t>
      </w:r>
      <w:r w:rsidR="0068109B">
        <w:rPr>
          <w:rFonts w:ascii="Cambria" w:hAnsi="Cambria"/>
          <w:lang w:val="sv-SE"/>
        </w:rPr>
        <w:t xml:space="preserve">.  </w:t>
      </w:r>
      <w:r w:rsidRPr="008B7A11">
        <w:rPr>
          <w:rFonts w:ascii="Cambria" w:hAnsi="Cambria"/>
          <w:lang w:val="sv-SE"/>
        </w:rPr>
        <w:t>et al</w:t>
      </w:r>
      <w:r w:rsidR="0068109B">
        <w:rPr>
          <w:rFonts w:ascii="Cambria" w:hAnsi="Cambria"/>
          <w:lang w:val="sv-SE"/>
        </w:rPr>
        <w:t xml:space="preserve">.  </w:t>
      </w:r>
      <w:r w:rsidRPr="008B7A11">
        <w:rPr>
          <w:rFonts w:ascii="Cambria" w:hAnsi="Cambria"/>
        </w:rPr>
        <w:t>Cytometric evaluation of intracellular IFN-γ and IL-4 levels in thyroid follicular cells from patients with autoimmune thyroid diseases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Thyroid Res 4, 13 (2011)</w:t>
      </w:r>
      <w:r w:rsidR="0068109B">
        <w:rPr>
          <w:rFonts w:ascii="Cambria" w:hAnsi="Cambria"/>
        </w:rPr>
        <w:t xml:space="preserve">.  </w:t>
      </w:r>
      <w:hyperlink r:id="rId18" w:history="1">
        <w:r w:rsidRPr="008B7A11">
          <w:rPr>
            <w:rStyle w:val="Hyperlink"/>
            <w:rFonts w:ascii="Cambria" w:hAnsi="Cambria"/>
          </w:rPr>
          <w:t>https://doi.org/10.1186/1756-6614-4-13</w:t>
        </w:r>
      </w:hyperlink>
    </w:p>
    <w:p w14:paraId="441D6C8E" w14:textId="17B39439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IL9</w:t>
      </w:r>
      <w:r w:rsidRPr="008B7A11">
        <w:rPr>
          <w:rFonts w:ascii="Cambria" w:hAnsi="Cambria"/>
        </w:rPr>
        <w:t xml:space="preserve"> - immune responses against parasites and pathogenesis of allergic diseases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Unlikely to be contributor to HT pathology.</w:t>
      </w:r>
    </w:p>
    <w:p w14:paraId="37DA5E40" w14:textId="5A702393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Rojas-Zuleta, Wilmer Gerardo, and Elizabeth Sanchez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“IL-9: Function, Sources, and Detection.” Methods in molecular biology (Clifton, N.J.) vol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1585 (2017): 21-35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doi:10.1007/978-1-4939-6877-0_2</w:t>
      </w:r>
    </w:p>
    <w:p w14:paraId="4F5E8ED9" w14:textId="44EBC539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IL10</w:t>
      </w:r>
      <w:r w:rsidRPr="008B7A11">
        <w:rPr>
          <w:rFonts w:ascii="Cambria" w:hAnsi="Cambria"/>
        </w:rPr>
        <w:t xml:space="preserve"> – immune response inhibitor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 Hashimoto’s disease, Th1 response overrides the effects of anti-inflammatory Th2-dependent mediators such as IL-10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When autoimmune processes have subsided (i.e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 late stage Hashimoto’s), IL-10 expression progressively decreases, even in the presence of lymphomononuclear infiltration.</w:t>
      </w:r>
    </w:p>
    <w:p w14:paraId="57F05E2D" w14:textId="37A4DB6D" w:rsidR="00C32F67" w:rsidRPr="008A5127" w:rsidRDefault="002A3EFA" w:rsidP="00C32F6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de la Vega JR, Vilaplana JC, Biro A, Hammond L, Bottazzo GF, Mirakian R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IL-10 expression in thyroid glands: protective or harmful role against thyroid autoimmunity? Clin Exp Immunol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1998 Jul;113(1):126-35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10.1046/j.1365-2249.1998.00628.x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9697995; PMCID: PMC1905025.</w:t>
      </w:r>
    </w:p>
    <w:sectPr w:rsidR="00C32F67" w:rsidRPr="008A5127" w:rsidSect="00C713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idan Boyne" w:date="2023-07-07T12:49:00Z" w:initials="AB">
    <w:p w14:paraId="629EB4ED" w14:textId="10A2D42B" w:rsidR="003907B8" w:rsidRDefault="003907B8">
      <w:pPr>
        <w:pStyle w:val="CommentText"/>
      </w:pPr>
      <w:r>
        <w:rPr>
          <w:rStyle w:val="CommentReference"/>
        </w:rPr>
        <w:annotationRef/>
      </w:r>
      <w:r w:rsidR="00000000">
        <w:rPr>
          <w:noProof/>
        </w:rPr>
        <w:t>Will check and see how man</w:t>
      </w:r>
      <w:r w:rsidR="00000000">
        <w:rPr>
          <w:noProof/>
        </w:rPr>
        <w:t xml:space="preserve">y patients we have if we exclude combo therapy... if </w:t>
      </w:r>
      <w:r w:rsidR="00000000">
        <w:rPr>
          <w:noProof/>
        </w:rPr>
        <w:t xml:space="preserve">we have enough with only LT4 I'll go ahead and </w:t>
      </w:r>
      <w:r w:rsidR="00000000">
        <w:rPr>
          <w:noProof/>
        </w:rPr>
        <w:t>exclude</w:t>
      </w:r>
      <w:r w:rsidR="00000000">
        <w:rPr>
          <w:noProof/>
        </w:rPr>
        <w:t xml:space="preserve">. Already have code to deal with </w:t>
      </w:r>
      <w:r w:rsidR="00000000">
        <w:rPr>
          <w:noProof/>
        </w:rPr>
        <w:t xml:space="preserve">T3 so no big </w:t>
      </w:r>
      <w:r w:rsidR="00000000">
        <w:rPr>
          <w:noProof/>
        </w:rPr>
        <w:t>deal if we</w:t>
      </w:r>
      <w:r w:rsidR="00000000">
        <w:rPr>
          <w:noProof/>
        </w:rPr>
        <w:t xml:space="preserve"> </w:t>
      </w:r>
      <w:r w:rsidR="00000000">
        <w:rPr>
          <w:noProof/>
        </w:rPr>
        <w:t>decide to include.</w:t>
      </w:r>
    </w:p>
  </w:comment>
  <w:comment w:id="1" w:author="Joe DiStefano III" w:date="2023-06-29T18:35:00Z" w:initials="JD">
    <w:p w14:paraId="1EAF1CCF" w14:textId="77777777" w:rsidR="00557755" w:rsidRDefault="00557755" w:rsidP="00070FE2">
      <w:pPr>
        <w:pStyle w:val="CommentText"/>
      </w:pPr>
      <w:r>
        <w:rPr>
          <w:rStyle w:val="CommentReference"/>
        </w:rPr>
        <w:annotationRef/>
      </w:r>
      <w:r>
        <w:t>Maybe we leave out combo therapy...maybe not?</w:t>
      </w:r>
    </w:p>
  </w:comment>
  <w:comment w:id="3" w:author="Aidan Boyne" w:date="2023-07-07T12:50:00Z" w:initials="AB">
    <w:p w14:paraId="2709F9D8" w14:textId="19908430" w:rsidR="003907B8" w:rsidRDefault="003907B8">
      <w:pPr>
        <w:pStyle w:val="CommentText"/>
      </w:pPr>
      <w:r>
        <w:rPr>
          <w:rStyle w:val="CommentReference"/>
        </w:rPr>
        <w:annotationRef/>
      </w:r>
      <w:r w:rsidR="00000000">
        <w:rPr>
          <w:noProof/>
        </w:rPr>
        <w:t>Need to i</w:t>
      </w:r>
      <w:r w:rsidR="00000000">
        <w:rPr>
          <w:noProof/>
        </w:rPr>
        <w:t xml:space="preserve">mplement this </w:t>
      </w:r>
      <w:r w:rsidR="00000000">
        <w:rPr>
          <w:noProof/>
        </w:rPr>
        <w:t xml:space="preserve">w/ </w:t>
      </w:r>
      <w:r w:rsidR="00000000">
        <w:rPr>
          <w:noProof/>
        </w:rPr>
        <w:t>Sue.</w:t>
      </w:r>
    </w:p>
  </w:comment>
  <w:comment w:id="4" w:author="Joe DiStefano III" w:date="2023-06-29T18:36:00Z" w:initials="JD">
    <w:p w14:paraId="2EE321D5" w14:textId="77777777" w:rsidR="00557755" w:rsidRDefault="00557755" w:rsidP="00541E4D">
      <w:pPr>
        <w:pStyle w:val="CommentText"/>
      </w:pPr>
      <w:r>
        <w:rPr>
          <w:rStyle w:val="CommentReference"/>
        </w:rPr>
        <w:annotationRef/>
      </w:r>
      <w:r>
        <w:t>The first term here needs more explanation</w:t>
      </w:r>
    </w:p>
  </w:comment>
  <w:comment w:id="5" w:author="Joe DiStefano III" w:date="2023-06-30T18:26:00Z" w:initials="JD">
    <w:p w14:paraId="324BE950" w14:textId="77777777" w:rsidR="004F524E" w:rsidRDefault="004F524E" w:rsidP="00BF7E33">
      <w:pPr>
        <w:pStyle w:val="CommentText"/>
      </w:pPr>
      <w:r>
        <w:rPr>
          <w:rStyle w:val="CommentReference"/>
        </w:rPr>
        <w:annotationRef/>
      </w:r>
      <w:r>
        <w:t>Fixed below by moving it up</w:t>
      </w:r>
    </w:p>
  </w:comment>
  <w:comment w:id="6" w:author="Joe DiStefano III" w:date="2023-06-30T18:16:00Z" w:initials="JD">
    <w:p w14:paraId="1045F13D" w14:textId="77777777" w:rsidR="00B538C6" w:rsidRDefault="00B538C6" w:rsidP="00A3524D">
      <w:pPr>
        <w:pStyle w:val="CommentText"/>
      </w:pPr>
      <w:r>
        <w:rPr>
          <w:rStyle w:val="CommentReference"/>
        </w:rPr>
        <w:annotationRef/>
      </w:r>
      <w:r>
        <w:t>We have to verify this and perhaps give refs</w:t>
      </w:r>
    </w:p>
  </w:comment>
  <w:comment w:id="8" w:author="Aidan Boyne" w:date="2023-07-07T17:59:00Z" w:initials="AB">
    <w:p w14:paraId="31E78198" w14:textId="37717128" w:rsidR="00BD2453" w:rsidRDefault="00BD2453">
      <w:pPr>
        <w:pStyle w:val="CommentText"/>
      </w:pPr>
      <w:r>
        <w:rPr>
          <w:rStyle w:val="CommentReference"/>
        </w:rPr>
        <w:annotationRef/>
      </w:r>
      <w:r w:rsidR="00000000">
        <w:rPr>
          <w:noProof/>
        </w:rPr>
        <w:t xml:space="preserve">Not sure </w:t>
      </w:r>
      <w:r w:rsidR="00000000">
        <w:rPr>
          <w:noProof/>
        </w:rPr>
        <w:t>what this comment means, could you clari</w:t>
      </w:r>
      <w:r w:rsidR="00000000">
        <w:rPr>
          <w:noProof/>
        </w:rPr>
        <w:t>fy?</w:t>
      </w:r>
    </w:p>
  </w:comment>
  <w:comment w:id="7" w:author="Joe DiStefano III" w:date="2023-06-30T18:44:00Z" w:initials="JD">
    <w:p w14:paraId="03572243" w14:textId="77777777" w:rsidR="008F17A3" w:rsidRDefault="008F17A3" w:rsidP="00FC6CD7">
      <w:pPr>
        <w:pStyle w:val="CommentText"/>
      </w:pPr>
      <w:r>
        <w:rPr>
          <w:rStyle w:val="CommentReference"/>
        </w:rPr>
        <w:annotationRef/>
      </w:r>
      <w:r>
        <w:t>First column all sub zero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9EB4ED" w15:done="0"/>
  <w15:commentEx w15:paraId="1EAF1CCF" w15:done="0"/>
  <w15:commentEx w15:paraId="2709F9D8" w15:done="0"/>
  <w15:commentEx w15:paraId="2EE321D5" w15:done="0"/>
  <w15:commentEx w15:paraId="324BE950" w15:paraIdParent="2EE321D5" w15:done="0"/>
  <w15:commentEx w15:paraId="1045F13D" w15:done="0"/>
  <w15:commentEx w15:paraId="31E78198" w15:done="0"/>
  <w15:commentEx w15:paraId="035722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28862" w16cex:dateUtc="2023-07-07T17:49:00Z"/>
  <w16cex:commentExtensible w16cex:durableId="28484D8D" w16cex:dateUtc="2023-06-30T01:35:00Z"/>
  <w16cex:commentExtensible w16cex:durableId="285288B2" w16cex:dateUtc="2023-07-07T17:50:00Z"/>
  <w16cex:commentExtensible w16cex:durableId="28484DAE" w16cex:dateUtc="2023-06-30T01:36:00Z"/>
  <w16cex:commentExtensible w16cex:durableId="28499CDE" w16cex:dateUtc="2023-07-01T01:26:00Z"/>
  <w16cex:commentExtensible w16cex:durableId="28499A74" w16cex:dateUtc="2023-07-01T01:16:00Z"/>
  <w16cex:commentExtensible w16cex:durableId="2852D0EA" w16cex:dateUtc="2023-07-07T22:59:00Z"/>
  <w16cex:commentExtensible w16cex:durableId="2849A127" w16cex:dateUtc="2023-07-01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9EB4ED" w16cid:durableId="28528862"/>
  <w16cid:commentId w16cid:paraId="1EAF1CCF" w16cid:durableId="28484D8D"/>
  <w16cid:commentId w16cid:paraId="2709F9D8" w16cid:durableId="285288B2"/>
  <w16cid:commentId w16cid:paraId="2EE321D5" w16cid:durableId="28484DAE"/>
  <w16cid:commentId w16cid:paraId="324BE950" w16cid:durableId="28499CDE"/>
  <w16cid:commentId w16cid:paraId="1045F13D" w16cid:durableId="28499A74"/>
  <w16cid:commentId w16cid:paraId="31E78198" w16cid:durableId="2852D0EA"/>
  <w16cid:commentId w16cid:paraId="03572243" w16cid:durableId="2849A1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6DBD" w14:textId="77777777" w:rsidR="004E2B2E" w:rsidRDefault="004E2B2E" w:rsidP="00940D33">
      <w:pPr>
        <w:spacing w:after="0" w:line="240" w:lineRule="auto"/>
      </w:pPr>
      <w:r>
        <w:separator/>
      </w:r>
    </w:p>
  </w:endnote>
  <w:endnote w:type="continuationSeparator" w:id="0">
    <w:p w14:paraId="2500E650" w14:textId="77777777" w:rsidR="004E2B2E" w:rsidRDefault="004E2B2E" w:rsidP="0094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F466" w14:textId="77777777" w:rsidR="004E2B2E" w:rsidRDefault="004E2B2E" w:rsidP="00940D33">
      <w:pPr>
        <w:spacing w:after="0" w:line="240" w:lineRule="auto"/>
      </w:pPr>
      <w:r>
        <w:separator/>
      </w:r>
    </w:p>
  </w:footnote>
  <w:footnote w:type="continuationSeparator" w:id="0">
    <w:p w14:paraId="14C82063" w14:textId="77777777" w:rsidR="004E2B2E" w:rsidRDefault="004E2B2E" w:rsidP="0094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D879" w14:textId="24F69891" w:rsidR="005952C4" w:rsidRPr="005952C4" w:rsidRDefault="005952C4" w:rsidP="005952C4">
    <w:pPr>
      <w:pStyle w:val="Header"/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</w:rPr>
      <w:t>UCLA Biocybernetics Group</w:t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 w:rsidRPr="005952C4">
      <w:rPr>
        <w:rFonts w:ascii="Cambria" w:hAnsi="Cambria"/>
        <w:sz w:val="18"/>
        <w:szCs w:val="18"/>
      </w:rPr>
      <w:t xml:space="preserve"> Boyne </w:t>
    </w:r>
    <w:sdt>
      <w:sdtPr>
        <w:rPr>
          <w:rFonts w:ascii="Cambria" w:hAnsi="Cambria"/>
          <w:sz w:val="18"/>
          <w:szCs w:val="18"/>
        </w:rPr>
        <w:id w:val="4361837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952C4">
          <w:rPr>
            <w:rFonts w:ascii="Cambria" w:hAnsi="Cambria"/>
            <w:sz w:val="18"/>
            <w:szCs w:val="18"/>
          </w:rPr>
          <w:fldChar w:fldCharType="begin"/>
        </w:r>
        <w:r w:rsidRPr="005952C4">
          <w:rPr>
            <w:rFonts w:ascii="Cambria" w:hAnsi="Cambria"/>
            <w:sz w:val="18"/>
            <w:szCs w:val="18"/>
          </w:rPr>
          <w:instrText xml:space="preserve"> PAGE   \* MERGEFORMAT </w:instrText>
        </w:r>
        <w:r w:rsidRPr="005952C4">
          <w:rPr>
            <w:rFonts w:ascii="Cambria" w:hAnsi="Cambria"/>
            <w:sz w:val="18"/>
            <w:szCs w:val="18"/>
          </w:rPr>
          <w:fldChar w:fldCharType="separate"/>
        </w:r>
        <w:r w:rsidRPr="005952C4">
          <w:rPr>
            <w:rFonts w:ascii="Cambria" w:hAnsi="Cambria"/>
            <w:noProof/>
            <w:sz w:val="18"/>
            <w:szCs w:val="18"/>
          </w:rPr>
          <w:t>2</w:t>
        </w:r>
        <w:r w:rsidRPr="005952C4">
          <w:rPr>
            <w:rFonts w:ascii="Cambria" w:hAnsi="Cambria"/>
            <w:noProof/>
            <w:sz w:val="18"/>
            <w:szCs w:val="18"/>
          </w:rPr>
          <w:fldChar w:fldCharType="end"/>
        </w:r>
      </w:sdtContent>
    </w:sdt>
  </w:p>
  <w:p w14:paraId="41A4E7A4" w14:textId="77777777" w:rsidR="005952C4" w:rsidRDefault="005952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56AA" w14:textId="7B9F9592" w:rsidR="005952C4" w:rsidRPr="005952C4" w:rsidRDefault="005952C4" w:rsidP="005952C4">
    <w:pPr>
      <w:pStyle w:val="Header"/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</w:rPr>
      <w:t>UCLA Biocybernetics Group</w:t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 w:rsidRPr="005952C4">
      <w:rPr>
        <w:rFonts w:ascii="Cambria" w:hAnsi="Cambria"/>
        <w:sz w:val="18"/>
        <w:szCs w:val="18"/>
      </w:rPr>
      <w:t xml:space="preserve"> Boyne </w:t>
    </w:r>
    <w:sdt>
      <w:sdtPr>
        <w:rPr>
          <w:rFonts w:ascii="Cambria" w:hAnsi="Cambria"/>
          <w:sz w:val="18"/>
          <w:szCs w:val="18"/>
        </w:rPr>
        <w:id w:val="-1847311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952C4">
          <w:rPr>
            <w:rFonts w:ascii="Cambria" w:hAnsi="Cambria"/>
            <w:sz w:val="18"/>
            <w:szCs w:val="18"/>
          </w:rPr>
          <w:fldChar w:fldCharType="begin"/>
        </w:r>
        <w:r w:rsidRPr="005952C4">
          <w:rPr>
            <w:rFonts w:ascii="Cambria" w:hAnsi="Cambria"/>
            <w:sz w:val="18"/>
            <w:szCs w:val="18"/>
          </w:rPr>
          <w:instrText xml:space="preserve"> PAGE   \* MERGEFORMAT </w:instrText>
        </w:r>
        <w:r w:rsidRPr="005952C4">
          <w:rPr>
            <w:rFonts w:ascii="Cambria" w:hAnsi="Cambria"/>
            <w:sz w:val="18"/>
            <w:szCs w:val="18"/>
          </w:rPr>
          <w:fldChar w:fldCharType="separate"/>
        </w:r>
        <w:r>
          <w:rPr>
            <w:rFonts w:ascii="Cambria" w:hAnsi="Cambria"/>
            <w:sz w:val="18"/>
            <w:szCs w:val="18"/>
          </w:rPr>
          <w:t>2</w:t>
        </w:r>
        <w:r w:rsidRPr="005952C4">
          <w:rPr>
            <w:rFonts w:ascii="Cambria" w:hAnsi="Cambria"/>
            <w:noProof/>
            <w:sz w:val="18"/>
            <w:szCs w:val="18"/>
          </w:rPr>
          <w:fldChar w:fldCharType="end"/>
        </w:r>
      </w:sdtContent>
    </w:sdt>
  </w:p>
  <w:p w14:paraId="448C089C" w14:textId="77777777" w:rsidR="005952C4" w:rsidRDefault="00595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D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701229"/>
    <w:multiLevelType w:val="hybridMultilevel"/>
    <w:tmpl w:val="AB42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1B48"/>
    <w:multiLevelType w:val="hybridMultilevel"/>
    <w:tmpl w:val="9FDE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40AAD"/>
    <w:multiLevelType w:val="hybridMultilevel"/>
    <w:tmpl w:val="078A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5082F"/>
    <w:multiLevelType w:val="hybridMultilevel"/>
    <w:tmpl w:val="94228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77303">
    <w:abstractNumId w:val="4"/>
  </w:num>
  <w:num w:numId="2" w16cid:durableId="444428893">
    <w:abstractNumId w:val="1"/>
  </w:num>
  <w:num w:numId="3" w16cid:durableId="404690428">
    <w:abstractNumId w:val="0"/>
  </w:num>
  <w:num w:numId="4" w16cid:durableId="307134461">
    <w:abstractNumId w:val="3"/>
  </w:num>
  <w:num w:numId="5" w16cid:durableId="210167828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n Boyne">
    <w15:presenceInfo w15:providerId="Windows Live" w15:userId="31a702b7fa8d0130"/>
  </w15:person>
  <w15:person w15:author="Joe DiStefano III">
    <w15:presenceInfo w15:providerId="Windows Live" w15:userId="d6f5e4d4ed809f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A7"/>
    <w:rsid w:val="00011F8B"/>
    <w:rsid w:val="000378C4"/>
    <w:rsid w:val="000423D3"/>
    <w:rsid w:val="0006159F"/>
    <w:rsid w:val="00072930"/>
    <w:rsid w:val="000A0426"/>
    <w:rsid w:val="000C53B2"/>
    <w:rsid w:val="000F0C8D"/>
    <w:rsid w:val="00104E64"/>
    <w:rsid w:val="00106B0C"/>
    <w:rsid w:val="00131854"/>
    <w:rsid w:val="00134F5E"/>
    <w:rsid w:val="0014357F"/>
    <w:rsid w:val="00154F33"/>
    <w:rsid w:val="00167F67"/>
    <w:rsid w:val="00176D73"/>
    <w:rsid w:val="0017747F"/>
    <w:rsid w:val="0019610D"/>
    <w:rsid w:val="00196B5B"/>
    <w:rsid w:val="001B2D6D"/>
    <w:rsid w:val="001D3BD8"/>
    <w:rsid w:val="001D7126"/>
    <w:rsid w:val="001F355C"/>
    <w:rsid w:val="0021304A"/>
    <w:rsid w:val="00221C9F"/>
    <w:rsid w:val="002428F2"/>
    <w:rsid w:val="002505F7"/>
    <w:rsid w:val="002523A2"/>
    <w:rsid w:val="0026505F"/>
    <w:rsid w:val="002710EC"/>
    <w:rsid w:val="00280D6F"/>
    <w:rsid w:val="00282C5F"/>
    <w:rsid w:val="00291034"/>
    <w:rsid w:val="002942D5"/>
    <w:rsid w:val="002A3EFA"/>
    <w:rsid w:val="002B6020"/>
    <w:rsid w:val="002D5896"/>
    <w:rsid w:val="00346FCC"/>
    <w:rsid w:val="00385933"/>
    <w:rsid w:val="003907B8"/>
    <w:rsid w:val="00391D62"/>
    <w:rsid w:val="003D5BCB"/>
    <w:rsid w:val="003F7C5E"/>
    <w:rsid w:val="004255F0"/>
    <w:rsid w:val="004310FB"/>
    <w:rsid w:val="004501A8"/>
    <w:rsid w:val="004568CE"/>
    <w:rsid w:val="0046476B"/>
    <w:rsid w:val="0047429E"/>
    <w:rsid w:val="00483EAE"/>
    <w:rsid w:val="004A5E77"/>
    <w:rsid w:val="004B7FD2"/>
    <w:rsid w:val="004D215E"/>
    <w:rsid w:val="004E2B2E"/>
    <w:rsid w:val="004F524E"/>
    <w:rsid w:val="00503473"/>
    <w:rsid w:val="00510B2B"/>
    <w:rsid w:val="00511A69"/>
    <w:rsid w:val="00515499"/>
    <w:rsid w:val="005235B1"/>
    <w:rsid w:val="0054008B"/>
    <w:rsid w:val="00541FF9"/>
    <w:rsid w:val="00557755"/>
    <w:rsid w:val="005952C4"/>
    <w:rsid w:val="005A0B0E"/>
    <w:rsid w:val="005B42BA"/>
    <w:rsid w:val="005D4BDE"/>
    <w:rsid w:val="005F68BA"/>
    <w:rsid w:val="0068109B"/>
    <w:rsid w:val="00686CE9"/>
    <w:rsid w:val="0068777D"/>
    <w:rsid w:val="006904E9"/>
    <w:rsid w:val="006A649A"/>
    <w:rsid w:val="006E0140"/>
    <w:rsid w:val="00717EA5"/>
    <w:rsid w:val="00740A00"/>
    <w:rsid w:val="00746BA6"/>
    <w:rsid w:val="0076399E"/>
    <w:rsid w:val="00775A83"/>
    <w:rsid w:val="007845A4"/>
    <w:rsid w:val="00791228"/>
    <w:rsid w:val="007B2BA4"/>
    <w:rsid w:val="007B2BE7"/>
    <w:rsid w:val="007F0229"/>
    <w:rsid w:val="008473EF"/>
    <w:rsid w:val="008A5127"/>
    <w:rsid w:val="008B7A11"/>
    <w:rsid w:val="008C53F6"/>
    <w:rsid w:val="008D4929"/>
    <w:rsid w:val="008D4DE8"/>
    <w:rsid w:val="008F17A3"/>
    <w:rsid w:val="008F3132"/>
    <w:rsid w:val="00940D33"/>
    <w:rsid w:val="00941D79"/>
    <w:rsid w:val="00943808"/>
    <w:rsid w:val="00955605"/>
    <w:rsid w:val="00976245"/>
    <w:rsid w:val="00980CF4"/>
    <w:rsid w:val="009908B8"/>
    <w:rsid w:val="00997685"/>
    <w:rsid w:val="009C5312"/>
    <w:rsid w:val="009E42A8"/>
    <w:rsid w:val="00A12608"/>
    <w:rsid w:val="00A2117F"/>
    <w:rsid w:val="00A35FA1"/>
    <w:rsid w:val="00A4573E"/>
    <w:rsid w:val="00A62288"/>
    <w:rsid w:val="00A64A18"/>
    <w:rsid w:val="00A70471"/>
    <w:rsid w:val="00AB3AD8"/>
    <w:rsid w:val="00AC08E3"/>
    <w:rsid w:val="00AC1FEC"/>
    <w:rsid w:val="00AD0010"/>
    <w:rsid w:val="00AD2228"/>
    <w:rsid w:val="00AF7712"/>
    <w:rsid w:val="00B02507"/>
    <w:rsid w:val="00B14F34"/>
    <w:rsid w:val="00B269B6"/>
    <w:rsid w:val="00B443F9"/>
    <w:rsid w:val="00B46549"/>
    <w:rsid w:val="00B52F52"/>
    <w:rsid w:val="00B538C6"/>
    <w:rsid w:val="00B56124"/>
    <w:rsid w:val="00B90F8F"/>
    <w:rsid w:val="00BD2453"/>
    <w:rsid w:val="00BD6F18"/>
    <w:rsid w:val="00BE6F86"/>
    <w:rsid w:val="00C06176"/>
    <w:rsid w:val="00C22765"/>
    <w:rsid w:val="00C30342"/>
    <w:rsid w:val="00C32F67"/>
    <w:rsid w:val="00C41498"/>
    <w:rsid w:val="00C71339"/>
    <w:rsid w:val="00C76BBC"/>
    <w:rsid w:val="00CB5EE1"/>
    <w:rsid w:val="00CC555B"/>
    <w:rsid w:val="00CE5184"/>
    <w:rsid w:val="00CF0192"/>
    <w:rsid w:val="00D02C1B"/>
    <w:rsid w:val="00D061BE"/>
    <w:rsid w:val="00D94402"/>
    <w:rsid w:val="00DA4E2C"/>
    <w:rsid w:val="00DB4F10"/>
    <w:rsid w:val="00DE45C1"/>
    <w:rsid w:val="00E277A7"/>
    <w:rsid w:val="00E35E2A"/>
    <w:rsid w:val="00E3743D"/>
    <w:rsid w:val="00E75E4F"/>
    <w:rsid w:val="00E77908"/>
    <w:rsid w:val="00E8285F"/>
    <w:rsid w:val="00E91B41"/>
    <w:rsid w:val="00E9796F"/>
    <w:rsid w:val="00EA30A0"/>
    <w:rsid w:val="00EA6950"/>
    <w:rsid w:val="00EB5B96"/>
    <w:rsid w:val="00F116EE"/>
    <w:rsid w:val="00F15495"/>
    <w:rsid w:val="00F46174"/>
    <w:rsid w:val="00F57D08"/>
    <w:rsid w:val="00F60676"/>
    <w:rsid w:val="00F94FE6"/>
    <w:rsid w:val="00FA5060"/>
    <w:rsid w:val="00FB4C2E"/>
    <w:rsid w:val="00FC1174"/>
    <w:rsid w:val="00FC1F2C"/>
    <w:rsid w:val="00FD7E84"/>
    <w:rsid w:val="00FE2D2C"/>
    <w:rsid w:val="00FE6CC7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12840"/>
  <w15:chartTrackingRefBased/>
  <w15:docId w15:val="{888EB790-9BA4-41F3-B79C-FFCC8B15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33"/>
  </w:style>
  <w:style w:type="paragraph" w:styleId="Footer">
    <w:name w:val="footer"/>
    <w:basedOn w:val="Normal"/>
    <w:link w:val="FooterChar"/>
    <w:uiPriority w:val="99"/>
    <w:unhideWhenUsed/>
    <w:rsid w:val="0094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33"/>
  </w:style>
  <w:style w:type="paragraph" w:styleId="ListParagraph">
    <w:name w:val="List Paragraph"/>
    <w:basedOn w:val="Normal"/>
    <w:uiPriority w:val="34"/>
    <w:qFormat/>
    <w:rsid w:val="00940D3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D6F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6F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6F1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3E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2608"/>
    <w:rPr>
      <w:color w:val="808080"/>
    </w:rPr>
  </w:style>
  <w:style w:type="table" w:styleId="TableGridLight">
    <w:name w:val="Grid Table Light"/>
    <w:basedOn w:val="TableNormal"/>
    <w:uiPriority w:val="40"/>
    <w:rsid w:val="004B7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B7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2D2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38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6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2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4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9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40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3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6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9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45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2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37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35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84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08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85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2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22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24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552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05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27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2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81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31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67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4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5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18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3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65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65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0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4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4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07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42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6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9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1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66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3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1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yperlink" Target="https://doi.org/10.1186/1756-6614-4-1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github.com/aidanboyne/BioCyb_UCLA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Ragusa_F</b:Tag>
    <b:RefOrder>1</b:RefOrder>
  </b:Source>
</b:Sources>
</file>

<file path=customXml/itemProps1.xml><?xml version="1.0" encoding="utf-8"?>
<ds:datastoreItem xmlns:ds="http://schemas.openxmlformats.org/officeDocument/2006/customXml" ds:itemID="{84C12E3B-EF6D-4CCE-A81F-7218A100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3963</Words>
  <Characters>22595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Boyne</dc:creator>
  <cp:keywords/>
  <dc:description/>
  <cp:lastModifiedBy>Aidan Boyne</cp:lastModifiedBy>
  <cp:revision>6</cp:revision>
  <cp:lastPrinted>2023-07-07T23:26:00Z</cp:lastPrinted>
  <dcterms:created xsi:type="dcterms:W3CDTF">2023-07-07T23:17:00Z</dcterms:created>
  <dcterms:modified xsi:type="dcterms:W3CDTF">2023-07-07T23:26:00Z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id="7o11aqYq"/&gt;&lt;style id="http://www.zotero.org/styles/nature" hasBibliography="1" bibliographyStyleHasBeenSet="0"/&gt;&lt;prefs&gt;&lt;pref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