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r>
        <w:t>Life on the edge: industrial footprint and edge effects variably influence the spatial distribution of a boreal small mammal</w:t>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1" w:name="_kas5c8tb9r1u" w:colFirst="0" w:colLast="0"/>
      <w:bookmarkEnd w:id="1"/>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7777777"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proofErr w:type="gramStart"/>
      <w:r>
        <w:rPr>
          <w:rFonts w:ascii="Calibri" w:eastAsia="Calibri" w:hAnsi="Calibri" w:cs="Calibri"/>
        </w:rPr>
        <w:t>disturbance,</w:t>
      </w:r>
      <w:proofErr w:type="gramEnd"/>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7777777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edge effects, configuration, landscape structure, wildlife distributions, spatial scale</w:t>
      </w:r>
      <w:r>
        <w:br w:type="page"/>
      </w:r>
    </w:p>
    <w:p w14:paraId="7CFA5DCE" w14:textId="77777777" w:rsidR="00512322" w:rsidRDefault="00000000">
      <w:pPr>
        <w:pStyle w:val="Heading2"/>
        <w:spacing w:line="360" w:lineRule="auto"/>
      </w:pPr>
      <w:bookmarkStart w:id="2" w:name="_e9aaleui00xc" w:colFirst="0" w:colLast="0"/>
      <w:bookmarkEnd w:id="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w:t>
      </w:r>
      <w:proofErr w:type="gramStart"/>
      <w:r>
        <w:rPr>
          <w:rFonts w:ascii="Calibri" w:eastAsia="Calibri" w:hAnsi="Calibri" w:cs="Calibri"/>
        </w:rPr>
        <w:t>are</w:t>
      </w:r>
      <w:proofErr w:type="gramEnd"/>
      <w:r>
        <w:rPr>
          <w:rFonts w:ascii="Calibri" w:eastAsia="Calibri" w:hAnsi="Calibri" w:cs="Calibri"/>
        </w:rPr>
        <w:t xml:space="preserv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1FF926E" w14:textId="77777777" w:rsidR="00512322" w:rsidRDefault="00000000">
      <w:pPr>
        <w:spacing w:line="360" w:lineRule="auto"/>
        <w:ind w:firstLine="720"/>
        <w:rPr>
          <w:rFonts w:ascii="Calibri" w:eastAsia="Calibri" w:hAnsi="Calibri" w:cs="Calibri"/>
        </w:rPr>
      </w:pPr>
      <w:r>
        <w:rPr>
          <w:rFonts w:ascii="Calibri" w:eastAsia="Calibri" w:hAnsi="Calibri" w:cs="Calibri"/>
        </w:rPr>
        <w:t>In terrestrial systems, anthropogenic disturbances change landscape structure through multiplex 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4A1717B" w14:textId="77777777" w:rsidR="00512322" w:rsidRDefault="00512322">
      <w:pPr>
        <w:spacing w:line="360" w:lineRule="auto"/>
        <w:rPr>
          <w:rFonts w:ascii="Calibri" w:eastAsia="Calibri" w:hAnsi="Calibri" w:cs="Calibri"/>
        </w:rPr>
      </w:pPr>
    </w:p>
    <w:p w14:paraId="708B6EB2" w14:textId="77777777" w:rsidR="00512322" w:rsidRDefault="00000000">
      <w:pPr>
        <w:spacing w:line="360" w:lineRule="auto"/>
        <w:ind w:firstLine="720"/>
        <w:rPr>
          <w:rFonts w:ascii="Calibri" w:eastAsia="Calibri" w:hAnsi="Calibri" w:cs="Calibri"/>
        </w:rPr>
      </w:pPr>
      <w:r>
        <w:rPr>
          <w:rFonts w:ascii="Calibri" w:eastAsia="Calibri" w:hAnsi="Calibri" w:cs="Calibri"/>
        </w:rPr>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have eclipsed the influence of any natural processes 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lines—persistent linear features used to map underground oil and gas </w:t>
      </w:r>
      <w:proofErr w:type="gramStart"/>
      <w:r>
        <w:rPr>
          <w:rFonts w:ascii="Calibri" w:eastAsia="Calibri" w:hAnsi="Calibri" w:cs="Calibri"/>
        </w:rPr>
        <w:t>deposits—</w:t>
      </w:r>
      <w:proofErr w:type="gramEnd"/>
      <w:r>
        <w:rPr>
          <w:rFonts w:ascii="Calibri" w:eastAsia="Calibri" w:hAnsi="Calibri" w:cs="Calibri"/>
        </w:rPr>
        <w:t>stretch across the western boreal, producing disproportionate amounts of forest edge habitat, early-seral vegetation, and movement corridors through otherwise intact tracts of habitat (</w:t>
      </w:r>
      <w:proofErr w:type="spellStart"/>
      <w:r>
        <w:rPr>
          <w:rFonts w:ascii="Calibri" w:eastAsia="Calibri" w:hAnsi="Calibri" w:cs="Calibri"/>
        </w:rPr>
        <w:t>Dabros</w:t>
      </w:r>
      <w:proofErr w:type="spellEnd"/>
      <w:r>
        <w:rPr>
          <w:rFonts w:ascii="Calibri" w:eastAsia="Calibri" w:hAnsi="Calibri" w:cs="Calibri"/>
        </w:rPr>
        <w:t xml:space="preserve"> et al., 2018; Lee &amp; Boutin, 2006). </w:t>
      </w:r>
    </w:p>
    <w:p w14:paraId="30229BF9" w14:textId="77777777" w:rsidR="00512322" w:rsidRDefault="00512322">
      <w:pPr>
        <w:spacing w:line="360" w:lineRule="auto"/>
        <w:ind w:firstLine="720"/>
        <w:rPr>
          <w:rFonts w:ascii="Calibri" w:eastAsia="Calibri" w:hAnsi="Calibri" w:cs="Calibri"/>
        </w:rPr>
      </w:pPr>
    </w:p>
    <w:p w14:paraId="3AC67C4B" w14:textId="77777777" w:rsidR="00512322" w:rsidRDefault="00000000">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 (Venier et al., 2014).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changes in resource availability have evoked a multitude of complex 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The effects of landscape configuration in the western boreal have received comparatively little attention, despite emerging empirical evidence that boreal wildlife responses to changing landscape structure can exceed predictions based on habitat composition alone (Smith et al., 2024). </w:t>
      </w:r>
    </w:p>
    <w:p w14:paraId="6B9B251B" w14:textId="77777777" w:rsidR="00512322" w:rsidRDefault="00512322">
      <w:pPr>
        <w:spacing w:line="360" w:lineRule="auto"/>
        <w:ind w:firstLine="720"/>
        <w:rPr>
          <w:rFonts w:ascii="Calibri" w:eastAsia="Calibri" w:hAnsi="Calibri" w:cs="Calibri"/>
        </w:rPr>
      </w:pPr>
    </w:p>
    <w:p w14:paraId="39EB712C"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77777777"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seed predators 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 but see Fisher et al., 2005). In boreal systems, oil, gas, and timber development can introduce changes to vegetation structure along forest edges (Harper et al., 2015; R. S. Jackson et al., 2023) that may decrease landscape permeability and red squirrel movement (Bakker &amp; Van Vuren, 2004), affect squirrel </w:t>
      </w:r>
      <w:proofErr w:type="spellStart"/>
      <w:r>
        <w:rPr>
          <w:rFonts w:ascii="Calibri" w:eastAsia="Calibri" w:hAnsi="Calibri" w:cs="Calibri"/>
        </w:rPr>
        <w:t>behaviour</w:t>
      </w:r>
      <w:proofErr w:type="spellEnd"/>
      <w:r>
        <w:rPr>
          <w:rFonts w:ascii="Calibri" w:eastAsia="Calibri" w:hAnsi="Calibri" w:cs="Calibri"/>
        </w:rPr>
        <w:t xml:space="preserve"> (Anderson &amp; Boutin, 2002), or influence the abundance (Tattersall et al., 2020), and functional responses (McKenzie et al., 2012) of co-occurring predators. Even in heavily disturbed landscapes, the cumulative footprint of seismic lines represents a small amount of habitat loss </w:t>
      </w:r>
      <w:r>
        <w:rPr>
          <w:rFonts w:ascii="Calibri" w:eastAsia="Calibri" w:hAnsi="Calibri" w:cs="Calibri"/>
          <w:i/>
        </w:rPr>
        <w:t>sensu stricto</w:t>
      </w:r>
      <w:r>
        <w:rPr>
          <w:rFonts w:ascii="Calibri" w:eastAsia="Calibri" w:hAnsi="Calibri" w:cs="Calibri"/>
        </w:rPr>
        <w:t xml:space="preserve"> for red squirrels. A strict focus on the amount of environmental footprint is likely to underestimate true ecological effects due to the high 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w:t>
      </w:r>
      <w:r>
        <w:rPr>
          <w:rFonts w:ascii="Calibri" w:eastAsia="Calibri" w:hAnsi="Calibri" w:cs="Calibri"/>
        </w:rPr>
        <w:lastRenderedPageBreak/>
        <w:t>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C8F71F" w14:textId="77777777" w:rsidR="00512322" w:rsidRDefault="00000000">
      <w:pPr>
        <w:spacing w:line="360" w:lineRule="auto"/>
        <w:ind w:firstLine="720"/>
        <w:rPr>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Pr>
          <w:rFonts w:ascii="Calibri" w:eastAsia="Calibri" w:hAnsi="Calibri" w:cs="Calibri"/>
        </w:rPr>
        <w:t>i</w:t>
      </w:r>
      <w:proofErr w:type="spellEnd"/>
      <w:r>
        <w:rPr>
          <w:rFonts w:ascii="Calibri" w:eastAsia="Calibri" w:hAnsi="Calibri" w:cs="Calibri"/>
        </w:rPr>
        <w:t xml:space="preserve">) both habitat loss and fragmentation from industrial development would influence red squirrel distribution, but (ii) the independent effects of habitat fragmentation would be greatest in landscapes where the amount of anthropogenic disturbance was high. 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proofErr w:type="gramStart"/>
      <w:r>
        <w:rPr>
          <w:rFonts w:ascii="Calibri" w:eastAsia="Calibri" w:hAnsi="Calibri" w:cs="Calibri"/>
        </w:rPr>
        <w:t>landscapes, and</w:t>
      </w:r>
      <w:proofErr w:type="gramEnd"/>
      <w:r>
        <w:rPr>
          <w:rFonts w:ascii="Calibri" w:eastAsia="Calibri" w:hAnsi="Calibri" w:cs="Calibri"/>
        </w:rPr>
        <w:t xml:space="preserve"> derived three metrics representing the spatial pattern of habitat and disturbances: edge density created by anthropogenic features, effective mesh size, cohesion (isolation), and Shannon’s Evenness Index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7EBD50CD" w14:textId="77777777" w:rsidR="00512322" w:rsidRDefault="00512322">
      <w:pPr>
        <w:spacing w:line="360" w:lineRule="auto"/>
        <w:ind w:firstLine="720"/>
        <w:rPr>
          <w:rFonts w:ascii="Calibri" w:eastAsia="Calibri" w:hAnsi="Calibri" w:cs="Calibri"/>
        </w:rPr>
      </w:pPr>
    </w:p>
    <w:p w14:paraId="3FD1C215" w14:textId="77777777" w:rsidR="00512322" w:rsidRDefault="00000000">
      <w:pPr>
        <w:pStyle w:val="Heading2"/>
        <w:spacing w:line="360" w:lineRule="auto"/>
      </w:pPr>
      <w:bookmarkStart w:id="3" w:name="_6xj2bywd0w5i" w:colFirst="0" w:colLast="0"/>
      <w:bookmarkEnd w:id="3"/>
      <w:r>
        <w:t>Methods</w:t>
      </w:r>
      <w:r>
        <w:tab/>
      </w:r>
      <w:r>
        <w:tab/>
      </w:r>
      <w:r>
        <w:tab/>
      </w:r>
      <w:r>
        <w:tab/>
      </w:r>
      <w:r>
        <w:tab/>
      </w:r>
      <w:r>
        <w:tab/>
      </w:r>
      <w:r>
        <w:tab/>
      </w:r>
    </w:p>
    <w:p w14:paraId="6D0F71F9" w14:textId="77777777" w:rsidR="00512322" w:rsidRDefault="00000000">
      <w:pPr>
        <w:pStyle w:val="Heading3"/>
        <w:spacing w:line="360" w:lineRule="auto"/>
      </w:pPr>
      <w:bookmarkStart w:id="4" w:name="_nuznztcgqd2h" w:colFirst="0" w:colLast="0"/>
      <w:bookmarkEnd w:id="4"/>
      <w:r>
        <w:t>Study area</w:t>
      </w:r>
    </w:p>
    <w:p w14:paraId="04944F34"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The Boreal Plains ecozone spans 740 000 km² of the boreal forest in Treaty 8 Territory and encompasses a wide variety of vegetative land cover, climate, productivity, and human activity. The region is characterized by a mosaic of aspen parkland, mixed broadleaf, white spruce, and jack pine forest, black spruce lowland forest, as well as wetlands, muskeg, fens, and lakes. We studied ten </w:t>
      </w:r>
      <w:r>
        <w:rPr>
          <w:rFonts w:ascii="Calibri" w:eastAsia="Calibri" w:hAnsi="Calibri" w:cs="Calibri"/>
        </w:rPr>
        <w:lastRenderedPageBreak/>
        <w:t xml:space="preserve">landscapes (Fig. 1)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48AF272D" w14:textId="77777777" w:rsidR="00512322" w:rsidRDefault="00512322">
      <w:pPr>
        <w:spacing w:line="360" w:lineRule="auto"/>
        <w:ind w:firstLine="720"/>
        <w:rPr>
          <w:rFonts w:ascii="Calibri" w:eastAsia="Calibri" w:hAnsi="Calibri" w:cs="Calibri"/>
        </w:rPr>
      </w:pPr>
    </w:p>
    <w:p w14:paraId="027EC66A" w14:textId="77CFDD16" w:rsidR="00512322" w:rsidRDefault="00000000">
      <w:pPr>
        <w:pStyle w:val="Heading3"/>
        <w:spacing w:line="360" w:lineRule="auto"/>
        <w:rPr>
          <w:i/>
        </w:rPr>
      </w:pPr>
      <w:bookmarkStart w:id="5" w:name="_hnlj1842pz0d" w:colFirst="0" w:colLast="0"/>
      <w:bookmarkEnd w:id="5"/>
      <w:r>
        <w:rPr>
          <w:i/>
        </w:rPr>
        <w:t>Camera trapping and wildlife occurrence data</w:t>
      </w:r>
    </w:p>
    <w:p w14:paraId="548E748C" w14:textId="77777777" w:rsidR="00512322" w:rsidRDefault="00000000">
      <w:pPr>
        <w:spacing w:line="360" w:lineRule="auto"/>
        <w:ind w:firstLine="720"/>
        <w:rPr>
          <w:rFonts w:ascii="Calibri" w:eastAsia="Calibri" w:hAnsi="Calibri" w:cs="Calibri"/>
        </w:rPr>
      </w:pPr>
      <w:r>
        <w:rPr>
          <w:rFonts w:ascii="Calibri" w:eastAsia="Calibri" w:hAnsi="Calibri" w:cs="Calibri"/>
        </w:rPr>
        <w:t>We deployed motion-activated camera traps within each of our ten landscapes between 2021 and 2024 with the intended purpose of monitoring red squirrels and other medium- to large-sized mammals up to the size of moose (Fig. 1). Cameras were deployed using a constrained stratified sampling design. 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clear wildlife signs. To maximize wildlife detectability, we applied a scent lure (O’Gorman’s </w:t>
      </w:r>
      <w:proofErr w:type="gramStart"/>
      <w:r>
        <w:rPr>
          <w:rFonts w:ascii="Calibri" w:eastAsia="Calibri" w:hAnsi="Calibri" w:cs="Calibri"/>
        </w:rPr>
        <w:t>Long Distance</w:t>
      </w:r>
      <w:proofErr w:type="gramEnd"/>
      <w:r>
        <w:rPr>
          <w:rFonts w:ascii="Calibri" w:eastAsia="Calibri" w:hAnsi="Calibri" w:cs="Calibri"/>
        </w:rPr>
        <w:t xml:space="preserve"> Call, MT, USA) once at each site at the time of deployment (either September or October). Camera traps were programmed to take photos continuously at high sensitivity when movement was detected within the field of view. A total of 430 cameras were deployed across the ten landscapes (mean 43 per landscape, range 36–50). Within the 2021–2024 sampling period, each camera was deployed for approximately one year (autumn to autumn; mean=347 days, SD= 67.2 days). </w:t>
      </w:r>
    </w:p>
    <w:p w14:paraId="781A06DC" w14:textId="77777777" w:rsidR="00512322" w:rsidRDefault="00512322">
      <w:pPr>
        <w:spacing w:line="360" w:lineRule="auto"/>
        <w:ind w:firstLine="720"/>
        <w:rPr>
          <w:rFonts w:ascii="Calibri" w:eastAsia="Calibri" w:hAnsi="Calibri" w:cs="Calibri"/>
        </w:rPr>
      </w:pPr>
    </w:p>
    <w:p w14:paraId="19861B43" w14:textId="77777777" w:rsidR="00512322" w:rsidRDefault="00000000">
      <w:pPr>
        <w:spacing w:line="360" w:lineRule="auto"/>
        <w:ind w:firstLine="720"/>
        <w:rPr>
          <w:rFonts w:ascii="Calibri" w:eastAsia="Calibri" w:hAnsi="Calibri" w:cs="Calibri"/>
        </w:rPr>
      </w:pPr>
      <w:r>
        <w:rPr>
          <w:rFonts w:ascii="Calibri" w:eastAsia="Calibri" w:hAnsi="Calibri" w:cs="Calibri"/>
        </w:rPr>
        <w:t>To quantify the occurrence of red squirrels in each landscape, all images of wildlife occurrences were reviewed 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Our models were insensitive to independent detections defined using different time thresholds (5 min, 30 min, 60 min).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 Any given sampling month was excluded from our final dataset when there were fewer than fifteen days of available camera-trap data.</w:t>
      </w:r>
    </w:p>
    <w:p w14:paraId="48D09E33" w14:textId="77777777" w:rsidR="00512322" w:rsidRDefault="00512322">
      <w:pPr>
        <w:spacing w:line="360" w:lineRule="auto"/>
        <w:ind w:firstLine="720"/>
        <w:rPr>
          <w:rFonts w:ascii="Calibri" w:eastAsia="Calibri" w:hAnsi="Calibri" w:cs="Calibri"/>
        </w:rPr>
      </w:pPr>
    </w:p>
    <w:p w14:paraId="0651E199" w14:textId="77777777" w:rsidR="00512322" w:rsidRDefault="00000000">
      <w:pPr>
        <w:pStyle w:val="Heading3"/>
        <w:spacing w:line="360" w:lineRule="auto"/>
      </w:pPr>
      <w:bookmarkStart w:id="6" w:name="_z4771mhcy2uo" w:colFirst="0" w:colLast="0"/>
      <w:bookmarkEnd w:id="6"/>
      <w:r>
        <w:t>Measuring landscape structure</w:t>
      </w:r>
    </w:p>
    <w:p w14:paraId="0E48609C"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twenty-two spatial scales using concentric circular buffers of 50 m, 100 m, and 250–5000 m radii increasing by 250 m increments </w:t>
      </w:r>
      <w:r>
        <w:rPr>
          <w:rFonts w:ascii="Calibri" w:eastAsia="Calibri" w:hAnsi="Calibri" w:cs="Calibri"/>
          <w:i/>
        </w:rPr>
        <w:t>sensu</w:t>
      </w:r>
      <w:r>
        <w:rPr>
          <w:rFonts w:ascii="Calibri" w:eastAsia="Calibri" w:hAnsi="Calibri" w:cs="Calibri"/>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w:t>
      </w:r>
      <w:r>
        <w:rPr>
          <w:rFonts w:ascii="Calibri" w:eastAsia="Calibri" w:hAnsi="Calibri" w:cs="Calibri"/>
        </w:rPr>
        <w:lastRenderedPageBreak/>
        <w:t xml:space="preserve">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xml:space="preserve">, representing the connectivity of similar habitat patches,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had very low variance among sites (Table 1). All covariates were processed 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09AEF2BA" w14:textId="77777777" w:rsidR="00512322" w:rsidRDefault="00512322">
      <w:pPr>
        <w:spacing w:line="360" w:lineRule="auto"/>
        <w:ind w:firstLine="720"/>
        <w:rPr>
          <w:rFonts w:ascii="Calibri" w:eastAsia="Calibri" w:hAnsi="Calibri" w:cs="Calibri"/>
        </w:rPr>
      </w:pPr>
    </w:p>
    <w:p w14:paraId="17A289F0" w14:textId="77777777" w:rsidR="00512322" w:rsidRDefault="00000000">
      <w:pPr>
        <w:pStyle w:val="Heading3"/>
        <w:spacing w:line="360" w:lineRule="auto"/>
        <w:jc w:val="both"/>
      </w:pPr>
      <w:bookmarkStart w:id="7" w:name="_k5070zi1ssfz" w:colFirst="0" w:colLast="0"/>
      <w:bookmarkEnd w:id="7"/>
      <w:r>
        <w:t>Statistical analysis</w:t>
      </w:r>
    </w:p>
    <w:p w14:paraId="519270C9"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a multi-step, information theoretic approach (Burnham &amp; Anderson, 2002). For all statistical analyses, we used generalized linear mixed models with a negative binomial distribution and logit link function to account for overdispersion of red squirrel detection data (Faraway, 2016). We opted against using </w:t>
      </w:r>
      <w:proofErr w:type="gramStart"/>
      <w:r>
        <w:rPr>
          <w:rFonts w:ascii="Calibri" w:eastAsia="Calibri" w:hAnsi="Calibri" w:cs="Calibri"/>
        </w:rPr>
        <w:t>a proportional</w:t>
      </w:r>
      <w:proofErr w:type="gramEnd"/>
      <w:r>
        <w:rPr>
          <w:rFonts w:ascii="Calibri" w:eastAsia="Calibri" w:hAnsi="Calibri" w:cs="Calibri"/>
        </w:rPr>
        <w:t xml:space="preserve"> negative binomial response due to the high overdispersion of red squirrel count data in our dataset and poor overall model fit during </w:t>
      </w:r>
      <w:proofErr w:type="gramStart"/>
      <w:r>
        <w:rPr>
          <w:rFonts w:ascii="Calibri" w:eastAsia="Calibri" w:hAnsi="Calibri" w:cs="Calibri"/>
        </w:rPr>
        <w:t>exploratory</w:t>
      </w:r>
      <w:proofErr w:type="gramEnd"/>
      <w:r>
        <w:rPr>
          <w:rFonts w:ascii="Calibri" w:eastAsia="Calibri" w:hAnsi="Calibri" w:cs="Calibri"/>
        </w:rPr>
        <w:t xml:space="preserve"> analysis. In each model we treated monthly independent detections as the response variable and included nested random intercepts of camera sites within arrays. Our models took the form:</w:t>
      </w:r>
    </w:p>
    <w:p w14:paraId="79FDBC7D" w14:textId="77777777" w:rsidR="00512322" w:rsidRDefault="00000000">
      <w:pPr>
        <w:spacing w:line="360" w:lineRule="auto"/>
        <w:ind w:firstLine="720"/>
        <w:jc w:val="center"/>
        <w:rPr>
          <w:rFonts w:ascii="Calibri" w:eastAsia="Calibri" w:hAnsi="Calibri" w:cs="Calibri"/>
        </w:rPr>
      </w:pPr>
      <w:proofErr w:type="spellStart"/>
      <w:r>
        <w:rPr>
          <w:rFonts w:ascii="Calibri" w:eastAsia="Calibri" w:hAnsi="Calibri" w:cs="Calibri"/>
        </w:rPr>
        <w:t>detections</w:t>
      </w:r>
      <w:r>
        <w:rPr>
          <w:rFonts w:ascii="Calibri" w:eastAsia="Calibri" w:hAnsi="Calibri" w:cs="Calibri"/>
          <w:vertAlign w:val="subscript"/>
        </w:rPr>
        <w:t>ijk</w:t>
      </w:r>
      <w:proofErr w:type="spellEnd"/>
      <w:r>
        <w:rPr>
          <w:rFonts w:ascii="Calibri" w:eastAsia="Calibri" w:hAnsi="Calibri" w:cs="Calibri"/>
        </w:rPr>
        <w:t xml:space="preserve"> ~ </w:t>
      </w:r>
      <w:proofErr w:type="spellStart"/>
      <w:proofErr w:type="gramStart"/>
      <w:r>
        <w:rPr>
          <w:rFonts w:ascii="Calibri" w:eastAsia="Calibri" w:hAnsi="Calibri" w:cs="Calibri"/>
        </w:rPr>
        <w:t>NegBin</w:t>
      </w:r>
      <w:proofErr w:type="spellEnd"/>
      <w:r>
        <w:rPr>
          <w:rFonts w:ascii="Calibri" w:eastAsia="Calibri" w:hAnsi="Calibri" w:cs="Calibri"/>
        </w:rPr>
        <w:t>(</w:t>
      </w:r>
      <w:proofErr w:type="spellStart"/>
      <w:proofErr w:type="gramEnd"/>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θ)</w:t>
      </w:r>
    </w:p>
    <w:p w14:paraId="1634EFB7" w14:textId="77777777" w:rsidR="00512322" w:rsidRDefault="00000000">
      <w:pPr>
        <w:spacing w:line="360" w:lineRule="auto"/>
        <w:ind w:firstLine="720"/>
        <w:jc w:val="center"/>
        <w:rPr>
          <w:rFonts w:ascii="Calibri" w:eastAsia="Calibri" w:hAnsi="Calibri" w:cs="Calibri"/>
          <w:vertAlign w:val="subscript"/>
        </w:rPr>
      </w:pPr>
      <w:r>
        <w:rPr>
          <w:rFonts w:ascii="Calibri" w:eastAsia="Calibri" w:hAnsi="Calibri" w:cs="Calibri"/>
        </w:rPr>
        <w:t>log(</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w:t>
      </w:r>
      <w:proofErr w:type="gramStart"/>
      <w:r>
        <w:rPr>
          <w:rFonts w:ascii="Calibri" w:eastAsia="Calibri" w:hAnsi="Calibri" w:cs="Calibri"/>
        </w:rPr>
        <w:t>+  β</w:t>
      </w:r>
      <w:proofErr w:type="gramEnd"/>
      <w:r>
        <w:rPr>
          <w:rFonts w:ascii="Calibri" w:eastAsia="Calibri" w:hAnsi="Calibri" w:cs="Calibri"/>
          <w:vertAlign w:val="subscript"/>
        </w:rPr>
        <w:t>1</w:t>
      </w:r>
      <w:r>
        <w:rPr>
          <w:rFonts w:ascii="Calibri" w:eastAsia="Calibri" w:hAnsi="Calibri" w:cs="Calibri"/>
        </w:rPr>
        <w:t>x</w:t>
      </w:r>
      <w:proofErr w:type="gramStart"/>
      <w:r>
        <w:rPr>
          <w:rFonts w:ascii="Calibri" w:eastAsia="Calibri" w:hAnsi="Calibri" w:cs="Calibri"/>
          <w:vertAlign w:val="subscript"/>
        </w:rPr>
        <w:t>1,ijk</w:t>
      </w:r>
      <w:proofErr w:type="gramEnd"/>
      <w:r>
        <w:rPr>
          <w:rFonts w:ascii="Calibri" w:eastAsia="Calibri" w:hAnsi="Calibri" w:cs="Calibri"/>
          <w:vertAlign w:val="subscript"/>
        </w:rPr>
        <w:t xml:space="preserve">  </w:t>
      </w:r>
      <w:r>
        <w:rPr>
          <w:rFonts w:ascii="Calibri" w:eastAsia="Calibri" w:hAnsi="Calibri" w:cs="Calibri"/>
        </w:rPr>
        <w:t xml:space="preserve">+ … </w:t>
      </w:r>
      <w:proofErr w:type="gramStart"/>
      <w:r>
        <w:rPr>
          <w:rFonts w:ascii="Calibri" w:eastAsia="Calibri" w:hAnsi="Calibri" w:cs="Calibri"/>
        </w:rPr>
        <w:t>+  β</w:t>
      </w:r>
      <w:proofErr w:type="spellStart"/>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n,ijk</w:t>
      </w:r>
      <w:proofErr w:type="spellEnd"/>
      <w:proofErr w:type="gramEnd"/>
      <w:r>
        <w:rPr>
          <w:rFonts w:ascii="Calibri" w:eastAsia="Calibri" w:hAnsi="Calibri" w:cs="Calibri"/>
          <w:vertAlign w:val="subscript"/>
        </w:rPr>
        <w:t xml:space="preserve"> </w:t>
      </w:r>
      <w:proofErr w:type="gramStart"/>
      <w:r>
        <w:rPr>
          <w:rFonts w:ascii="Calibri" w:eastAsia="Calibri" w:hAnsi="Calibri" w:cs="Calibri"/>
        </w:rPr>
        <w:t xml:space="preserve">+  </w:t>
      </w:r>
      <w:proofErr w:type="spellStart"/>
      <w:r>
        <w:rPr>
          <w:rFonts w:ascii="Calibri" w:eastAsia="Calibri" w:hAnsi="Calibri" w:cs="Calibri"/>
        </w:rPr>
        <w:t>u</w:t>
      </w:r>
      <w:r>
        <w:rPr>
          <w:rFonts w:ascii="Calibri" w:eastAsia="Calibri" w:hAnsi="Calibri" w:cs="Calibri"/>
          <w:vertAlign w:val="subscript"/>
        </w:rPr>
        <w:t>i</w:t>
      </w:r>
      <w:proofErr w:type="spellEnd"/>
      <w:proofErr w:type="gramEnd"/>
      <w:r>
        <w:rPr>
          <w:rFonts w:ascii="Calibri" w:eastAsia="Calibri" w:hAnsi="Calibri" w:cs="Calibri"/>
        </w:rPr>
        <w:t xml:space="preserve"> </w:t>
      </w:r>
      <w:proofErr w:type="gramStart"/>
      <w:r>
        <w:rPr>
          <w:rFonts w:ascii="Calibri" w:eastAsia="Calibri" w:hAnsi="Calibri" w:cs="Calibri"/>
        </w:rPr>
        <w:t>+  v</w:t>
      </w:r>
      <w:r>
        <w:rPr>
          <w:rFonts w:ascii="Calibri" w:eastAsia="Calibri" w:hAnsi="Calibri" w:cs="Calibri"/>
          <w:vertAlign w:val="subscript"/>
        </w:rPr>
        <w:t>i</w:t>
      </w:r>
      <w:proofErr w:type="gramEnd"/>
      <w:r>
        <w:rPr>
          <w:rFonts w:ascii="Calibri" w:eastAsia="Calibri" w:hAnsi="Calibri" w:cs="Calibri"/>
          <w:vertAlign w:val="subscript"/>
        </w:rPr>
        <w:t>(j)</w:t>
      </w:r>
    </w:p>
    <w:p w14:paraId="07DCECF7" w14:textId="77777777" w:rsidR="00512322" w:rsidRDefault="00512322">
      <w:pPr>
        <w:spacing w:line="360" w:lineRule="auto"/>
        <w:ind w:firstLine="720"/>
        <w:jc w:val="center"/>
        <w:rPr>
          <w:rFonts w:ascii="Calibri" w:eastAsia="Calibri" w:hAnsi="Calibri" w:cs="Calibri"/>
        </w:rPr>
      </w:pPr>
    </w:p>
    <w:p w14:paraId="417B7D06" w14:textId="77777777" w:rsidR="00512322" w:rsidRDefault="00000000">
      <w:pPr>
        <w:spacing w:line="360" w:lineRule="auto"/>
        <w:rPr>
          <w:rFonts w:ascii="Calibri" w:eastAsia="Calibri" w:hAnsi="Calibri" w:cs="Calibri"/>
        </w:rPr>
      </w:pPr>
      <w:r>
        <w:rPr>
          <w:rFonts w:ascii="Calibri" w:eastAsia="Calibri" w:hAnsi="Calibri" w:cs="Calibri"/>
        </w:rPr>
        <w:t xml:space="preserve">where </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xml:space="preserve"> is the expected count of independent detections of red squirrels at site </w:t>
      </w:r>
      <w:proofErr w:type="spellStart"/>
      <w:r>
        <w:rPr>
          <w:rFonts w:ascii="Calibri" w:eastAsia="Calibri" w:hAnsi="Calibri" w:cs="Calibri"/>
          <w:i/>
        </w:rPr>
        <w:t>i</w:t>
      </w:r>
      <w:proofErr w:type="spellEnd"/>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θ is the overdispersion parameter of the negative binomial distribution, β</w:t>
      </w:r>
      <w:r>
        <w:rPr>
          <w:rFonts w:ascii="Calibri" w:eastAsia="Calibri" w:hAnsi="Calibri" w:cs="Calibri"/>
          <w:vertAlign w:val="subscript"/>
        </w:rPr>
        <w:t>n</w:t>
      </w:r>
      <w:r>
        <w:rPr>
          <w:rFonts w:ascii="Calibri" w:eastAsia="Calibri" w:hAnsi="Calibri" w:cs="Calibri"/>
        </w:rPr>
        <w:t xml:space="preserve"> is the linear coefficient for landscape covariate </w:t>
      </w:r>
      <w:proofErr w:type="spellStart"/>
      <w:r>
        <w:rPr>
          <w:rFonts w:ascii="Calibri" w:eastAsia="Calibri" w:hAnsi="Calibri" w:cs="Calibri"/>
        </w:rPr>
        <w:t>x</w:t>
      </w:r>
      <w:r>
        <w:rPr>
          <w:rFonts w:ascii="Calibri" w:eastAsia="Calibri" w:hAnsi="Calibri" w:cs="Calibri"/>
          <w:vertAlign w:val="subscript"/>
        </w:rPr>
        <w:t>n</w:t>
      </w:r>
      <w:proofErr w:type="spellEnd"/>
      <w:r>
        <w:rPr>
          <w:rFonts w:ascii="Calibri" w:eastAsia="Calibri" w:hAnsi="Calibri" w:cs="Calibri"/>
        </w:rPr>
        <w:t xml:space="preserve">, and </w:t>
      </w:r>
      <w:r>
        <w:rPr>
          <w:rFonts w:ascii="Calibri" w:eastAsia="Calibri" w:hAnsi="Calibri" w:cs="Calibri"/>
          <w:i/>
        </w:rPr>
        <w:t>v</w:t>
      </w:r>
      <w:r>
        <w:rPr>
          <w:rFonts w:ascii="Calibri" w:eastAsia="Calibri" w:hAnsi="Calibri" w:cs="Calibri"/>
          <w:i/>
          <w:vertAlign w:val="subscript"/>
        </w:rPr>
        <w:t>i(j)</w:t>
      </w:r>
      <w:r>
        <w:rPr>
          <w:rFonts w:ascii="Calibri" w:eastAsia="Calibri" w:hAnsi="Calibri" w:cs="Calibri"/>
        </w:rPr>
        <w:t xml:space="preserve"> and </w:t>
      </w:r>
      <w:proofErr w:type="spellStart"/>
      <w:r>
        <w:rPr>
          <w:rFonts w:ascii="Calibri" w:eastAsia="Calibri" w:hAnsi="Calibri" w:cs="Calibri"/>
          <w:i/>
        </w:rPr>
        <w:t>u</w:t>
      </w:r>
      <w:r>
        <w:rPr>
          <w:rFonts w:ascii="Calibri" w:eastAsia="Calibri" w:hAnsi="Calibri" w:cs="Calibri"/>
          <w:i/>
          <w:vertAlign w:val="subscript"/>
        </w:rPr>
        <w:t>i</w:t>
      </w:r>
      <w:proofErr w:type="spellEnd"/>
      <w:r>
        <w:rPr>
          <w:rFonts w:ascii="Calibri" w:eastAsia="Calibri" w:hAnsi="Calibri" w:cs="Calibri"/>
          <w:i/>
        </w:rPr>
        <w:t xml:space="preserve"> </w:t>
      </w:r>
      <w:r>
        <w:rPr>
          <w:rFonts w:ascii="Calibri" w:eastAsia="Calibri" w:hAnsi="Calibri" w:cs="Calibri"/>
        </w:rPr>
        <w:t xml:space="preserve">are the nested random intercepts of site and array, </w:t>
      </w:r>
      <w:r>
        <w:rPr>
          <w:rFonts w:ascii="Calibri" w:eastAsia="Calibri" w:hAnsi="Calibri" w:cs="Calibri"/>
        </w:rPr>
        <w:lastRenderedPageBreak/>
        <w:t xml:space="preserve">which were assumed to have a normally distributed variance. All models were fit using maximum likelihood with the Laplace approximation. </w:t>
      </w:r>
    </w:p>
    <w:p w14:paraId="397818FC" w14:textId="77777777" w:rsidR="00512322" w:rsidRDefault="00512322">
      <w:pPr>
        <w:spacing w:line="360" w:lineRule="auto"/>
        <w:rPr>
          <w:rFonts w:ascii="Calibri" w:eastAsia="Calibri" w:hAnsi="Calibri" w:cs="Calibri"/>
        </w:rPr>
      </w:pPr>
    </w:p>
    <w:p w14:paraId="4F63522A" w14:textId="77777777" w:rsidR="00512322" w:rsidRDefault="00000000">
      <w:pPr>
        <w:spacing w:line="360" w:lineRule="auto"/>
        <w:ind w:firstLine="720"/>
        <w:rPr>
          <w:rFonts w:ascii="Calibri" w:eastAsia="Calibri" w:hAnsi="Calibri" w:cs="Calibri"/>
        </w:rPr>
      </w:pPr>
      <w:r>
        <w:rPr>
          <w:rFonts w:ascii="Calibri" w:eastAsia="Calibri" w:hAnsi="Calibri" w:cs="Calibri"/>
        </w:rPr>
        <w:t>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explanatory variables into three categories corresponding to our ecological hypotheses: [</w:t>
      </w:r>
      <w:proofErr w:type="spellStart"/>
      <w:r>
        <w:rPr>
          <w:rFonts w:ascii="Calibri" w:eastAsia="Calibri" w:hAnsi="Calibri" w:cs="Calibri"/>
        </w:rPr>
        <w:t>i</w:t>
      </w:r>
      <w:proofErr w:type="spellEnd"/>
      <w:r>
        <w:rPr>
          <w:rFonts w:ascii="Calibri" w:eastAsia="Calibri" w:hAnsi="Calibri" w:cs="Calibri"/>
        </w:rPr>
        <w:t xml:space="preserve">] composition of natural habitat, [ii] composition of anthropogenic features, and [iii] landscape configuration (Table 1). 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twenty-two spatial scales (i.e., 50–5000m) and compared </w:t>
      </w:r>
      <w:proofErr w:type="spellStart"/>
      <w:r>
        <w:rPr>
          <w:rFonts w:ascii="Calibri" w:eastAsia="Calibri" w:hAnsi="Calibri" w:cs="Calibri"/>
        </w:rPr>
        <w:t>AICc</w:t>
      </w:r>
      <w:proofErr w:type="spellEnd"/>
      <w:r>
        <w:rPr>
          <w:rFonts w:ascii="Calibri" w:eastAsia="Calibri" w:hAnsi="Calibri" w:cs="Calibri"/>
        </w:rP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p>
    <w:p w14:paraId="3053EE33" w14:textId="77777777" w:rsidR="00512322" w:rsidRDefault="00512322">
      <w:pPr>
        <w:spacing w:line="360" w:lineRule="auto"/>
        <w:ind w:firstLine="720"/>
        <w:rPr>
          <w:rFonts w:ascii="Calibri" w:eastAsia="Calibri" w:hAnsi="Calibri" w:cs="Calibri"/>
        </w:rPr>
      </w:pPr>
    </w:p>
    <w:p w14:paraId="1EE5E54F" w14:textId="12D2633B" w:rsidR="00512322" w:rsidRDefault="00000000">
      <w:pPr>
        <w:spacing w:line="360" w:lineRule="auto"/>
        <w:ind w:firstLine="720"/>
        <w:rPr>
          <w:rFonts w:ascii="Calibri" w:eastAsia="Calibri" w:hAnsi="Calibri" w:cs="Calibri"/>
          <w:color w:val="434343"/>
        </w:rPr>
      </w:pPr>
      <w:r>
        <w:rPr>
          <w:rFonts w:ascii="Calibri" w:eastAsia="Calibri" w:hAnsi="Calibri" w:cs="Calibri"/>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we performed model selection on a set of candidate models, including a global model of all fire and land cover type covariates </w:t>
      </w:r>
      <w:r>
        <w:rPr>
          <w:rFonts w:ascii="Calibri" w:eastAsia="Calibri" w:hAnsi="Calibri" w:cs="Calibri"/>
          <w:i/>
        </w:rPr>
        <w:t>sensu</w:t>
      </w:r>
      <w:r>
        <w:rPr>
          <w:rFonts w:ascii="Calibri" w:eastAsia="Calibri" w:hAnsi="Calibri" w:cs="Calibri"/>
        </w:rPr>
        <w:t xml:space="preserve"> Chow-Fraser et al. (2022). We deemed this our ‘core model</w:t>
      </w:r>
      <w:proofErr w:type="gramStart"/>
      <w:r>
        <w:rPr>
          <w:rFonts w:ascii="Calibri" w:eastAsia="Calibri" w:hAnsi="Calibri" w:cs="Calibri"/>
        </w:rPr>
        <w:t>’, and</w:t>
      </w:r>
      <w:proofErr w:type="gramEnd"/>
      <w:r>
        <w:rPr>
          <w:rFonts w:ascii="Calibri" w:eastAsia="Calibri" w:hAnsi="Calibri" w:cs="Calibri"/>
        </w:rPr>
        <w:t xml:space="preserve"> included these variables in all models moving forward. We then combined covariates from each of the three categories into a candidate model set describing our hypotheses about the effects of landscape structure on red squirrel distribution. We did not include roads in any models due to their high correlation with other anthropogenic disturbances (especially well sites and industrial facilities) at our selected spatial scale. Configuration metrics were highly correlated with variables for anthropogenic disturbance type, so our candidate model set was not fully nested. Instead, we represented disturbance in any configuration models using interactions with the aggregate cumulative site disturbance metric, which was not highly correlated with any configuration variables. Our seventeen candidate models allowed us to compare the importance of various components of landscape structure for red squirrel distribution in our study area. </w:t>
      </w:r>
      <w:r>
        <w:rPr>
          <w:rFonts w:ascii="Calibri" w:eastAsia="Calibri" w:hAnsi="Calibri" w:cs="Calibri"/>
        </w:rPr>
        <w:lastRenderedPageBreak/>
        <w:t xml:space="preserve">We 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We treated any candidate models with ∆AIC &lt;3 as well-supported and interpreted them accordingly. Model validity was verified using diagnostic plots of residuals vs. fitted values and collinearity among predictors was assessed using variance inflation factors (VIFs; Zuur &amp; </w:t>
      </w:r>
      <w:proofErr w:type="spellStart"/>
      <w:r>
        <w:rPr>
          <w:rFonts w:ascii="Calibri" w:eastAsia="Calibri" w:hAnsi="Calibri" w:cs="Calibri"/>
        </w:rPr>
        <w:t>Ieno</w:t>
      </w:r>
      <w:proofErr w:type="spellEnd"/>
      <w:r>
        <w:rPr>
          <w:rFonts w:ascii="Calibri" w:eastAsia="Calibri" w:hAnsi="Calibri" w:cs="Calibri"/>
        </w:rPr>
        <w:t>, 2016). We further investigated model performance with parametric (simulation) bootstrapping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xml:space="preserve">).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fixed-effect estimates compared to the top model (Zuur et al., 2016). All model selection and top model evaluation were performed using the </w:t>
      </w:r>
      <w:proofErr w:type="spellStart"/>
      <w:r>
        <w:rPr>
          <w:rFonts w:ascii="Calibri" w:eastAsia="Calibri" w:hAnsi="Calibri" w:cs="Calibri"/>
          <w:i/>
        </w:rPr>
        <w:t>MuMIn</w:t>
      </w:r>
      <w:proofErr w:type="spellEnd"/>
      <w:r>
        <w:rPr>
          <w:rFonts w:ascii="Calibri" w:eastAsia="Calibri" w:hAnsi="Calibri" w:cs="Calibri"/>
          <w:i/>
        </w:rPr>
        <w:t xml:space="preserve"> </w:t>
      </w:r>
      <w:r>
        <w:rPr>
          <w:rFonts w:ascii="Calibri" w:eastAsia="Calibri" w:hAnsi="Calibri" w:cs="Calibri"/>
        </w:rPr>
        <w:t xml:space="preserve">(Barton, 2015) and </w:t>
      </w:r>
      <w:r>
        <w:rPr>
          <w:rFonts w:ascii="Calibri" w:eastAsia="Calibri" w:hAnsi="Calibri" w:cs="Calibri"/>
          <w:i/>
        </w:rPr>
        <w:t xml:space="preserve">performance </w:t>
      </w:r>
      <w:r>
        <w:rPr>
          <w:rFonts w:ascii="Calibri" w:eastAsia="Calibri" w:hAnsi="Calibri" w:cs="Calibri"/>
        </w:rPr>
        <w:t>(</w:t>
      </w:r>
      <w:proofErr w:type="spellStart"/>
      <w:r>
        <w:rPr>
          <w:rFonts w:ascii="Calibri" w:eastAsia="Calibri" w:hAnsi="Calibri" w:cs="Calibri"/>
        </w:rPr>
        <w:t>Lüdecke</w:t>
      </w:r>
      <w:proofErr w:type="spellEnd"/>
      <w:r>
        <w:rPr>
          <w:rFonts w:ascii="Calibri" w:eastAsia="Calibri" w:hAnsi="Calibri" w:cs="Calibri"/>
        </w:rPr>
        <w:t xml:space="preserve"> et al., 2021) packages in R. </w:t>
      </w:r>
    </w:p>
    <w:p w14:paraId="749AC5D0" w14:textId="77777777" w:rsidR="00512322" w:rsidRDefault="00512322">
      <w:pPr>
        <w:spacing w:line="360" w:lineRule="auto"/>
        <w:jc w:val="both"/>
        <w:rPr>
          <w:rFonts w:ascii="Calibri" w:eastAsia="Calibri" w:hAnsi="Calibri" w:cs="Calibri"/>
        </w:rPr>
      </w:pPr>
    </w:p>
    <w:p w14:paraId="70A3ACA7" w14:textId="77777777" w:rsidR="00512322" w:rsidRDefault="00000000">
      <w:pPr>
        <w:pStyle w:val="Heading2"/>
        <w:spacing w:line="360" w:lineRule="auto"/>
        <w:jc w:val="both"/>
      </w:pPr>
      <w:bookmarkStart w:id="8" w:name="_bslx4j2rockt" w:colFirst="0" w:colLast="0"/>
      <w:bookmarkEnd w:id="8"/>
      <w:r>
        <w:t>Results</w:t>
      </w:r>
      <w:r>
        <w:tab/>
      </w:r>
      <w:r>
        <w:tab/>
      </w:r>
      <w:r>
        <w:tab/>
      </w:r>
      <w:r>
        <w:tab/>
      </w:r>
      <w:r>
        <w:tab/>
      </w:r>
      <w:r>
        <w:tab/>
      </w:r>
      <w:r>
        <w:tab/>
      </w:r>
      <w:r>
        <w:tab/>
      </w:r>
    </w:p>
    <w:p w14:paraId="522378AE"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Red squirrels were detected at least once at 305 of 430 camera trap sites (naive occupancy = 0.709). </w:t>
      </w:r>
    </w:p>
    <w:p w14:paraId="35D98859" w14:textId="77777777" w:rsidR="00512322" w:rsidRDefault="00512322">
      <w:pPr>
        <w:spacing w:line="360" w:lineRule="auto"/>
        <w:ind w:firstLine="720"/>
        <w:rPr>
          <w:rFonts w:ascii="Calibri" w:eastAsia="Calibri" w:hAnsi="Calibri" w:cs="Calibri"/>
        </w:rPr>
      </w:pPr>
    </w:p>
    <w:p w14:paraId="75508FB4"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2). Natural land cover predictors were included in models at a 100 m spatial scale, while composition of anthropogenic features and landscape structure were both included at much larger spatial scales (4250 m and 2250 m, respectively; Fig. 2). </w:t>
      </w:r>
    </w:p>
    <w:p w14:paraId="2EA5D045" w14:textId="77777777" w:rsidR="00512322" w:rsidRDefault="00512322">
      <w:pPr>
        <w:spacing w:line="360" w:lineRule="auto"/>
        <w:ind w:firstLine="720"/>
        <w:rPr>
          <w:rFonts w:ascii="Calibri" w:eastAsia="Calibri" w:hAnsi="Calibri" w:cs="Calibri"/>
        </w:rPr>
      </w:pPr>
    </w:p>
    <w:p w14:paraId="2A33C5DA" w14:textId="1A633548" w:rsidR="00512322" w:rsidRDefault="00000000">
      <w:pPr>
        <w:spacing w:line="360" w:lineRule="auto"/>
        <w:ind w:firstLine="720"/>
        <w:rPr>
          <w:rFonts w:ascii="Calibri" w:eastAsia="Calibri" w:hAnsi="Calibri" w:cs="Calibri"/>
        </w:rPr>
      </w:pPr>
      <w:r>
        <w:rPr>
          <w:rFonts w:ascii="Calibri" w:eastAsia="Calibri" w:hAnsi="Calibri" w:cs="Calibri"/>
        </w:rPr>
        <w:t xml:space="preserve">The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However, this ‘core model’ was not well-supported compared to models that included anthropogenic </w:t>
      </w:r>
      <w:r>
        <w:rPr>
          <w:rFonts w:ascii="Calibri" w:eastAsia="Calibri" w:hAnsi="Calibri" w:cs="Calibri"/>
        </w:rPr>
        <w:lastRenderedPageBreak/>
        <w:t xml:space="preserve">disturbance composition or configuration variables (Table 2). Red squirrel distribution was best explained by a model including natural land cover, edge density, cumulative site disturbance, and an interaction between edge density and site disturbance (AIC = 9394.44,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0.568,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xml:space="preserve">= 0.744; Table 2), supporting our hypothesis of disturbance-mediated configuration effects. Red squirrel detections were negatively related to the proportion of broadleaf forest (β = -0.51, SE = 0.12, p &lt;0.001; Fig. 3, Table 3), positively related to the proportion of mixed wood forest (β = 0.16, SE = 0.09, p = 0.08, Fig. 3, Table 3), and unrelated to the proportion of conifer forest (β = -0.03, SE = 0.11, p = 0.771; Fig. 3, Table 3). The amount of recent </w:t>
      </w:r>
      <w:proofErr w:type="gramStart"/>
      <w:r>
        <w:rPr>
          <w:rFonts w:ascii="Calibri" w:eastAsia="Calibri" w:hAnsi="Calibri" w:cs="Calibri"/>
        </w:rPr>
        <w:t>fire</w:t>
      </w:r>
      <w:proofErr w:type="gramEnd"/>
      <w:r>
        <w:rPr>
          <w:rFonts w:ascii="Calibri" w:eastAsia="Calibri" w:hAnsi="Calibri" w:cs="Calibri"/>
        </w:rPr>
        <w:t xml:space="preserve"> had a weak positive effect on red squirrels (β = 0.158, SE = 0.11, p = 0.16; Fig. 3). Overall, anthropogenic edge density had a weak effect on squirrel detections (β = -0.09, SE = 0.17, p = 0.59, Fig. 3, Table 3) that became much more strongly negative at high levels of cumulative site disturbance via an interaction term (β = -0.26, SE = 0.10, p = 0.01; Fig. 4). Unexpectedly, the effect of cumulative site disturbance itself was the opposite of our predictions and had a positive effect (β = 0.30, SE = 0.12, p = 0.01; Fig. 3). Across simulations, coefficients were accurately and precisely estimated for configuration and disturbance parameters (</w:t>
      </w:r>
      <w:r w:rsidR="00A44A9F">
        <w:rPr>
          <w:rFonts w:ascii="Calibri" w:eastAsia="Calibri" w:hAnsi="Calibri" w:cs="Calibri"/>
        </w:rPr>
        <w:t>see S</w:t>
      </w:r>
      <w:r>
        <w:rPr>
          <w:rFonts w:ascii="Calibri" w:eastAsia="Calibri" w:hAnsi="Calibri" w:cs="Calibri"/>
        </w:rPr>
        <w:t>upplementary Information</w:t>
      </w:r>
      <w:r w:rsidR="00A44A9F">
        <w:rPr>
          <w:rFonts w:ascii="Calibri" w:eastAsia="Calibri" w:hAnsi="Calibri" w:cs="Calibri"/>
        </w:rPr>
        <w:t xml:space="preserve"> S1</w:t>
      </w:r>
      <w:r>
        <w:rPr>
          <w:rFonts w:ascii="Calibri" w:eastAsia="Calibri" w:hAnsi="Calibri" w:cs="Calibri"/>
        </w:rPr>
        <w:t xml:space="preserve">). Bootstrapped coefficient estimates showed low bias (deviation from ‘true’ model coefficients &lt; 0.036) for all variables except recent fire (deviation = 0.17). The empirical standard error from bootstrapped coefficients had much higher precision for edge density, </w:t>
      </w:r>
      <w:proofErr w:type="spellStart"/>
      <w:r>
        <w:rPr>
          <w:rFonts w:ascii="Calibri" w:eastAsia="Calibri" w:hAnsi="Calibri" w:cs="Calibri"/>
        </w:rPr>
        <w:t>mixedwood</w:t>
      </w:r>
      <w:proofErr w:type="spellEnd"/>
      <w:r>
        <w:rPr>
          <w:rFonts w:ascii="Calibri" w:eastAsia="Calibri" w:hAnsi="Calibri" w:cs="Calibri"/>
        </w:rPr>
        <w:t xml:space="preserve">, and site disturbance metrics (ratio of empirical </w:t>
      </w:r>
      <w:proofErr w:type="spellStart"/>
      <w:proofErr w:type="gramStart"/>
      <w:r>
        <w:rPr>
          <w:rFonts w:ascii="Calibri" w:eastAsia="Calibri" w:hAnsi="Calibri" w:cs="Calibri"/>
        </w:rPr>
        <w:t>SE:‘</w:t>
      </w:r>
      <w:proofErr w:type="gramEnd"/>
      <w:r>
        <w:rPr>
          <w:rFonts w:ascii="Calibri" w:eastAsia="Calibri" w:hAnsi="Calibri" w:cs="Calibri"/>
        </w:rPr>
        <w:t>true</w:t>
      </w:r>
      <w:proofErr w:type="spellEnd"/>
      <w:r>
        <w:rPr>
          <w:rFonts w:ascii="Calibri" w:eastAsia="Calibri" w:hAnsi="Calibri" w:cs="Calibri"/>
        </w:rPr>
        <w:t>’ SE &lt;0.55), similar precision for natural land cover (ratio ~1.0), but much lower precision for recent fire (ratio = 32.9)</w:t>
      </w:r>
    </w:p>
    <w:p w14:paraId="1F3A0D6B" w14:textId="77777777" w:rsidR="00512322" w:rsidRDefault="00512322">
      <w:pPr>
        <w:spacing w:line="360" w:lineRule="auto"/>
        <w:ind w:firstLine="720"/>
        <w:rPr>
          <w:rFonts w:ascii="Calibri" w:eastAsia="Calibri" w:hAnsi="Calibri" w:cs="Calibri"/>
        </w:rPr>
      </w:pPr>
    </w:p>
    <w:p w14:paraId="112197D1" w14:textId="77777777" w:rsidR="00512322" w:rsidRDefault="00000000">
      <w:pPr>
        <w:spacing w:line="360" w:lineRule="auto"/>
        <w:ind w:firstLine="720"/>
        <w:rPr>
          <w:rFonts w:ascii="Calibri" w:eastAsia="Calibri" w:hAnsi="Calibri" w:cs="Calibri"/>
        </w:rPr>
      </w:pPr>
      <w:r>
        <w:rPr>
          <w:rFonts w:ascii="Calibri" w:eastAsia="Calibri" w:hAnsi="Calibri" w:cs="Calibri"/>
        </w:rPr>
        <w:t>Our top model only had moderate separation from the second-ranked model (</w:t>
      </w:r>
      <w:proofErr w:type="spellStart"/>
      <w:r>
        <w:rPr>
          <w:rFonts w:ascii="Calibri" w:eastAsia="Calibri" w:hAnsi="Calibri" w:cs="Calibri"/>
        </w:rPr>
        <w:t>ΔAICc</w:t>
      </w:r>
      <w:proofErr w:type="spellEnd"/>
      <w:r>
        <w:rPr>
          <w:rFonts w:ascii="Calibri" w:eastAsia="Calibri" w:hAnsi="Calibri" w:cs="Calibri"/>
        </w:rPr>
        <w:t xml:space="preserve"> = 2.45,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0.156;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3), positively related to pipelines and transmission lines (β = 0.31, SE = 0.13, p = 0.02; Fig. 3), and neutrally related to inactive well sites (β = 0.01, SE = 0.14, p = 0.97; Fig. 3).</w:t>
      </w:r>
    </w:p>
    <w:p w14:paraId="50C9ED83" w14:textId="77777777" w:rsidR="00512322" w:rsidRDefault="00512322">
      <w:pPr>
        <w:spacing w:line="360" w:lineRule="auto"/>
        <w:rPr>
          <w:rFonts w:ascii="Calibri" w:eastAsia="Calibri" w:hAnsi="Calibri" w:cs="Calibri"/>
        </w:rPr>
      </w:pPr>
    </w:p>
    <w:p w14:paraId="6DA9AA75" w14:textId="77777777" w:rsidR="00512322" w:rsidRDefault="00000000">
      <w:pPr>
        <w:pStyle w:val="Heading2"/>
        <w:spacing w:line="360" w:lineRule="auto"/>
      </w:pPr>
      <w:bookmarkStart w:id="9" w:name="_9f8fh6nyt2bw" w:colFirst="0" w:colLast="0"/>
      <w:bookmarkEnd w:id="9"/>
      <w:r>
        <w:t>Discussion</w:t>
      </w:r>
      <w:r>
        <w:tab/>
      </w:r>
      <w:r>
        <w:tab/>
      </w:r>
      <w:r>
        <w:tab/>
      </w:r>
      <w:r>
        <w:tab/>
      </w:r>
      <w:r>
        <w:tab/>
      </w:r>
      <w:r>
        <w:tab/>
      </w:r>
      <w:r>
        <w:tab/>
      </w:r>
    </w:p>
    <w:p w14:paraId="20FD2B9D"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w:t>
      </w:r>
      <w:r>
        <w:rPr>
          <w:rFonts w:ascii="Calibri" w:eastAsia="Calibri" w:hAnsi="Calibri" w:cs="Calibri"/>
        </w:rPr>
        <w:lastRenderedPageBreak/>
        <w:t xml:space="preserve">red squirrel distribution, landscape composition, and landscape configuration that varies across locations and spatial scales. Overall, 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proofErr w:type="gramStart"/>
      <w:r>
        <w:rPr>
          <w:rFonts w:ascii="Calibri" w:eastAsia="Calibri" w:hAnsi="Calibri" w:cs="Calibri"/>
        </w:rPr>
        <w:t>amount</w:t>
      </w:r>
      <w:proofErr w:type="gramEnd"/>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2B7EE919"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Natural habitat 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range (Fisher et al., 1999). The 100 m scale at which natural composition influenced squirrels indicates that differences in squirrel detections across land cover types are most likely due to individual foraging </w:t>
      </w:r>
      <w:proofErr w:type="spellStart"/>
      <w:r>
        <w:rPr>
          <w:rFonts w:ascii="Calibri" w:eastAsia="Calibri" w:hAnsi="Calibri" w:cs="Calibri"/>
        </w:rPr>
        <w:t>behaviour</w:t>
      </w:r>
      <w:proofErr w:type="spellEnd"/>
      <w:r>
        <w:rPr>
          <w:rFonts w:ascii="Calibri" w:eastAsia="Calibri" w:hAnsi="Calibri" w:cs="Calibri"/>
        </w:rPr>
        <w:t xml:space="preserve"> and local habitat use (Rusch &amp; Reeder, 1978). For instance, </w:t>
      </w:r>
      <w:proofErr w:type="gramStart"/>
      <w:r>
        <w:rPr>
          <w:rFonts w:ascii="Calibri" w:eastAsia="Calibri" w:hAnsi="Calibri" w:cs="Calibri"/>
        </w:rPr>
        <w:t>relative</w:t>
      </w:r>
      <w:proofErr w:type="gramEnd"/>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proofErr w:type="gramStart"/>
      <w:r>
        <w:rPr>
          <w:rFonts w:ascii="Calibri" w:eastAsia="Calibri" w:hAnsi="Calibri" w:cs="Calibri"/>
        </w:rPr>
        <w:t>forest</w:t>
      </w:r>
      <w:proofErr w:type="gramEnd"/>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proofErr w:type="gramStart"/>
      <w:r>
        <w:rPr>
          <w:rFonts w:ascii="Calibri" w:eastAsia="Calibri" w:hAnsi="Calibri" w:cs="Calibri"/>
        </w:rPr>
        <w:t>a despotic</w:t>
      </w:r>
      <w:proofErr w:type="gramEnd"/>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w:t>
      </w:r>
      <w:r>
        <w:rPr>
          <w:rFonts w:ascii="Calibri" w:eastAsia="Calibri" w:hAnsi="Calibri" w:cs="Calibri"/>
        </w:rPr>
        <w:lastRenderedPageBreak/>
        <w:t xml:space="preserve">1997), but we have low certainty in this effect. </w:t>
      </w:r>
      <w:proofErr w:type="gramStart"/>
      <w:r>
        <w:rPr>
          <w:rFonts w:ascii="Calibri" w:eastAsia="Calibri" w:hAnsi="Calibri" w:cs="Calibri"/>
        </w:rPr>
        <w:t>In particular, low-intensity</w:t>
      </w:r>
      <w:proofErr w:type="gramEnd"/>
      <w:r>
        <w:rPr>
          <w:rFonts w:ascii="Calibri" w:eastAsia="Calibri" w:hAnsi="Calibri" w:cs="Calibri"/>
        </w:rPr>
        <w:t xml:space="preserve">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77777777" w:rsidR="00512322" w:rsidRDefault="00000000">
      <w:pPr>
        <w:spacing w:line="360" w:lineRule="auto"/>
        <w:ind w:firstLine="720"/>
        <w:jc w:val="both"/>
        <w:rPr>
          <w:rFonts w:ascii="Calibri" w:eastAsia="Calibri" w:hAnsi="Calibri" w:cs="Calibri"/>
        </w:rPr>
      </w:pPr>
      <w:r>
        <w:rPr>
          <w:rFonts w:ascii="Calibri" w:eastAsia="Calibri" w:hAnsi="Calibri" w:cs="Calibri"/>
        </w:rPr>
        <w:t>In contrast to natural land cover, the effects of anthropogenic disturbance composition and configuration were best explained at much larger spatial scales (4250 m and 2250 m, respectively) that exceed the spatial perception of individual animals (</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 rather than individual habitat use.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77777777"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The exact population-level mechanisms through which edge density negatively affected red squirrels are difficult to discern from this pattern-describing study. We propose several potential explanations for this relationship. First, the negative effect of edge density could </w:t>
      </w:r>
      <w:proofErr w:type="gramStart"/>
      <w:r>
        <w:rPr>
          <w:rFonts w:ascii="Calibri" w:eastAsia="Calibri" w:hAnsi="Calibri" w:cs="Calibri"/>
        </w:rPr>
        <w:t>be a reflection of</w:t>
      </w:r>
      <w:proofErr w:type="gramEnd"/>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proofErr w:type="gramStart"/>
      <w:r>
        <w:rPr>
          <w:rFonts w:ascii="Calibri" w:eastAsia="Calibri" w:hAnsi="Calibri" w:cs="Calibri"/>
        </w:rPr>
        <w:t>), and</w:t>
      </w:r>
      <w:proofErr w:type="gramEnd"/>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 </w:t>
      </w:r>
    </w:p>
    <w:p w14:paraId="36A7E3D3" w14:textId="77777777" w:rsidR="00512322" w:rsidRDefault="00512322">
      <w:pPr>
        <w:spacing w:line="360" w:lineRule="auto"/>
        <w:ind w:firstLine="720"/>
        <w:jc w:val="both"/>
        <w:rPr>
          <w:rFonts w:ascii="Calibri" w:eastAsia="Calibri" w:hAnsi="Calibri" w:cs="Calibri"/>
        </w:rPr>
      </w:pPr>
    </w:p>
    <w:p w14:paraId="61DBD62A" w14:textId="77777777" w:rsidR="00512322" w:rsidRDefault="00000000">
      <w:pPr>
        <w:spacing w:line="360" w:lineRule="auto"/>
        <w:ind w:firstLine="720"/>
        <w:jc w:val="both"/>
        <w:rPr>
          <w:rFonts w:ascii="Calibri" w:eastAsia="Calibri" w:hAnsi="Calibri" w:cs="Calibri"/>
        </w:rPr>
      </w:pPr>
      <w:r>
        <w:rPr>
          <w:rFonts w:ascii="Calibri" w:eastAsia="Calibri" w:hAnsi="Calibri" w:cs="Calibri"/>
        </w:rPr>
        <w:lastRenderedPageBreak/>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Avian predators </w:t>
      </w:r>
      <w:proofErr w:type="gramStart"/>
      <w:r>
        <w:rPr>
          <w:rFonts w:ascii="Calibri" w:eastAsia="Calibri" w:hAnsi="Calibri" w:cs="Calibri"/>
        </w:rPr>
        <w:t>in particular are</w:t>
      </w:r>
      <w:proofErr w:type="gramEnd"/>
      <w:r>
        <w:rPr>
          <w:rFonts w:ascii="Calibri" w:eastAsia="Calibri" w:hAnsi="Calibri" w:cs="Calibri"/>
        </w:rPr>
        <w:t xml:space="preserv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proofErr w:type="spellStart"/>
      <w:r>
        <w:rPr>
          <w:rFonts w:ascii="Calibri" w:eastAsia="Calibri" w:hAnsi="Calibri" w:cs="Calibri"/>
        </w:rPr>
        <w:t>Opermanis</w:t>
      </w:r>
      <w:proofErr w:type="spellEnd"/>
      <w:r>
        <w:rPr>
          <w:rFonts w:ascii="Calibri" w:eastAsia="Calibri" w:hAnsi="Calibri" w:cs="Calibri"/>
        </w:rPr>
        <w:t xml:space="preserve">, 2004). </w:t>
      </w:r>
    </w:p>
    <w:p w14:paraId="49B3F228" w14:textId="77777777" w:rsidR="00512322" w:rsidRDefault="00512322">
      <w:pPr>
        <w:spacing w:line="360" w:lineRule="auto"/>
        <w:ind w:firstLine="720"/>
        <w:jc w:val="both"/>
        <w:rPr>
          <w:rFonts w:ascii="Calibri" w:eastAsia="Calibri" w:hAnsi="Calibri" w:cs="Calibri"/>
        </w:rPr>
      </w:pPr>
    </w:p>
    <w:p w14:paraId="175DCDC3" w14:textId="77777777"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proofErr w:type="gramStart"/>
      <w:r>
        <w:rPr>
          <w:rFonts w:ascii="Calibri" w:eastAsia="Calibri" w:hAnsi="Calibri" w:cs="Calibri"/>
        </w:rPr>
        <w:t>early-successional</w:t>
      </w:r>
      <w:proofErr w:type="gramEnd"/>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red squirrels, and we propose that this disparity is driven by the varying amounts of predation risk and resource complementation that they represent. For instance, pipelines and transmission lines, which had a positive effect </w:t>
      </w:r>
      <w:proofErr w:type="gramStart"/>
      <w:r>
        <w:rPr>
          <w:rFonts w:ascii="Calibri" w:eastAsia="Calibri" w:hAnsi="Calibri" w:cs="Calibri"/>
        </w:rPr>
        <w:t>in</w:t>
      </w:r>
      <w:proofErr w:type="gramEnd"/>
      <w:r>
        <w:rPr>
          <w:rFonts w:ascii="Calibri" w:eastAsia="Calibri" w:hAnsi="Calibri" w:cs="Calibri"/>
        </w:rPr>
        <w:t xml:space="preserve">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w:t>
      </w:r>
      <w:proofErr w:type="spellStart"/>
      <w:r>
        <w:rPr>
          <w:rFonts w:ascii="Calibri" w:eastAsia="Calibri" w:hAnsi="Calibri" w:cs="Calibri"/>
        </w:rPr>
        <w:t>mesocarnivore</w:t>
      </w:r>
      <w:proofErr w:type="spellEnd"/>
      <w:r>
        <w:rPr>
          <w:rFonts w:ascii="Calibri" w:eastAsia="Calibri" w:hAnsi="Calibri" w:cs="Calibri"/>
        </w:rPr>
        <w:t xml:space="preserv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10" w:name="_22issswytjem" w:colFirst="0" w:colLast="0"/>
      <w:bookmarkEnd w:id="10"/>
      <w:r>
        <w:lastRenderedPageBreak/>
        <w:t>Caveats paragraph (collapsed into discussion)</w:t>
      </w:r>
    </w:p>
    <w:p w14:paraId="40A22BD8" w14:textId="77777777" w:rsidR="00512322" w:rsidRDefault="00000000">
      <w:pPr>
        <w:spacing w:line="360" w:lineRule="auto"/>
        <w:rPr>
          <w:rFonts w:ascii="Calibri" w:eastAsia="Calibri" w:hAnsi="Calibri" w:cs="Calibri"/>
        </w:rPr>
      </w:pPr>
      <w:r>
        <w:rPr>
          <w:rFonts w:ascii="Calibri" w:eastAsia="Calibri" w:hAnsi="Calibri" w:cs="Calibri"/>
        </w:rPr>
        <w:tab/>
        <w:t xml:space="preserve">Small, cursorial species such as red squirrels can be difficult to measure with precision using camera traps. Our camera traps were designed to simultaneously capture a wide variety of mammal </w:t>
      </w:r>
      <w:proofErr w:type="gramStart"/>
      <w:r>
        <w:rPr>
          <w:rFonts w:ascii="Calibri" w:eastAsia="Calibri" w:hAnsi="Calibri" w:cs="Calibri"/>
        </w:rPr>
        <w:t>species, and</w:t>
      </w:r>
      <w:proofErr w:type="gramEnd"/>
      <w:r>
        <w:rPr>
          <w:rFonts w:ascii="Calibri" w:eastAsia="Calibri" w:hAnsi="Calibri" w:cs="Calibri"/>
        </w:rPr>
        <w:t xml:space="preserve"> effectively allowed us to model red squirrel distribution across a large spatial extent that would be unfeasible using other field-based methods. Furthermore, although we sampled a gradient of anthropogenic disturbance, camera traps were not directly deployed on anthropogenic disturbance features. Our stratified design was intended to measure red squirrel 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camera traps generally do not reliably detect birds, synthetic studies or supplementary sources of data (e.g., automated recording units) will likely be required to study mammalian and avian communities concurrently. </w:t>
      </w:r>
    </w:p>
    <w:p w14:paraId="2878DE47" w14:textId="77777777" w:rsidR="00512322" w:rsidRDefault="00512322">
      <w:pPr>
        <w:spacing w:line="360" w:lineRule="auto"/>
        <w:rPr>
          <w:rFonts w:ascii="Calibri" w:eastAsia="Calibri" w:hAnsi="Calibri" w:cs="Calibri"/>
        </w:rPr>
      </w:pPr>
    </w:p>
    <w:p w14:paraId="3FF41758" w14:textId="77777777" w:rsidR="00512322" w:rsidRDefault="00000000">
      <w:pPr>
        <w:pStyle w:val="Heading2"/>
        <w:spacing w:line="360" w:lineRule="auto"/>
      </w:pPr>
      <w:bookmarkStart w:id="11" w:name="_9vhq2xeu7ytl" w:colFirst="0" w:colLast="0"/>
      <w:bookmarkEnd w:id="11"/>
      <w:r>
        <w:t>Conclusions</w:t>
      </w:r>
    </w:p>
    <w:p w14:paraId="123064BC" w14:textId="77777777"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list of conservation priorities in the Boreal Plains, their responses to industrial land-use underscore the importance of considering both configuration and composition of anthropogenic disturbances when assessing impacts to mammal populations. Habitat alteration via industrial development and fragmentation are often collinear—there are few industrial </w:t>
      </w:r>
      <w:r>
        <w:rPr>
          <w:rFonts w:ascii="Calibri" w:eastAsia="Calibri" w:hAnsi="Calibri" w:cs="Calibri"/>
        </w:rPr>
        <w:lastRenderedPageBreak/>
        <w:t xml:space="preserve">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proofErr w:type="gramStart"/>
      <w:r>
        <w:rPr>
          <w:rFonts w:ascii="Calibri" w:eastAsia="Calibri" w:hAnsi="Calibri" w:cs="Calibri"/>
        </w:rPr>
        <w:t>processes, and</w:t>
      </w:r>
      <w:proofErr w:type="gramEnd"/>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12" w:name="_nxm74ocr671m" w:colFirst="0" w:colLast="0"/>
      <w:bookmarkEnd w:id="12"/>
      <w:r>
        <w:lastRenderedPageBreak/>
        <w:t>Author contributions</w:t>
      </w:r>
    </w:p>
    <w:p w14:paraId="2B6B1C83" w14:textId="77777777" w:rsidR="00512322" w:rsidRDefault="00000000">
      <w:pPr>
        <w:spacing w:line="360" w:lineRule="auto"/>
        <w:rPr>
          <w:rFonts w:ascii="Calibri" w:eastAsia="Calibri" w:hAnsi="Calibri" w:cs="Calibri"/>
          <w:highlight w:val="white"/>
        </w:rPr>
      </w:pPr>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p>
    <w:p w14:paraId="47319B71" w14:textId="77777777" w:rsidR="00512322" w:rsidRDefault="00000000">
      <w:pPr>
        <w:pStyle w:val="Heading2"/>
        <w:spacing w:before="80" w:after="240" w:line="360" w:lineRule="auto"/>
      </w:pPr>
      <w:bookmarkStart w:id="13" w:name="_n50qcarm0yrg" w:colFirst="0" w:colLast="0"/>
      <w:bookmarkEnd w:id="13"/>
      <w:r>
        <w:t>Acknowledgements</w:t>
      </w:r>
    </w:p>
    <w:p w14:paraId="55250D53"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______________. We are grateful for the comments of _______. Funding was provided by the Oil Sands Monitoring (OSM) program, Natural Sciences and Engineering </w:t>
      </w:r>
      <w:proofErr w:type="spellStart"/>
      <w:r>
        <w:rPr>
          <w:rFonts w:ascii="Calibri" w:eastAsia="Calibri" w:hAnsi="Calibri" w:cs="Calibri"/>
          <w:highlight w:val="white"/>
        </w:rPr>
        <w:t>REsearch</w:t>
      </w:r>
      <w:proofErr w:type="spellEnd"/>
      <w:r>
        <w:rPr>
          <w:rFonts w:ascii="Calibri" w:eastAsia="Calibri" w:hAnsi="Calibri" w:cs="Calibri"/>
          <w:highlight w:val="white"/>
        </w:rPr>
        <w:t xml:space="preserve"> Council (NSERC), and University of Victoria’s Applied Conservation Macro Ecology (ACME) lab. Mention Treaty 8 territory?</w:t>
      </w:r>
    </w:p>
    <w:p w14:paraId="097D09BD" w14:textId="77777777" w:rsidR="00512322" w:rsidRDefault="00000000">
      <w:pPr>
        <w:pStyle w:val="Heading2"/>
        <w:spacing w:before="80" w:after="240" w:line="360" w:lineRule="auto"/>
      </w:pPr>
      <w:bookmarkStart w:id="14" w:name="_geax5ozcw9q5" w:colFirst="0" w:colLast="0"/>
      <w:bookmarkEnd w:id="14"/>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15" w:name="_r71kelrhzcb4" w:colFirst="0" w:colLast="0"/>
      <w:bookmarkEnd w:id="15"/>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16" w:name="_qr3he6fkeia2" w:colFirst="0" w:colLast="0"/>
      <w:bookmarkEnd w:id="16"/>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17" w:name="_5ba5u8x12n52" w:colFirst="0" w:colLast="0"/>
      <w:bookmarkEnd w:id="17"/>
      <w:r>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18" w:name="_lgnt7crpj5en" w:colFirst="0" w:colLast="0"/>
      <w:bookmarkEnd w:id="18"/>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19" w:name="_6a4kq0etjl5t" w:colFirst="0" w:colLast="0"/>
      <w:bookmarkEnd w:id="19"/>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w:t>
      </w:r>
      <w:proofErr w:type="gramStart"/>
      <w:r>
        <w:rPr>
          <w:rFonts w:ascii="Calibri" w:eastAsia="Calibri" w:hAnsi="Calibri" w:cs="Calibri"/>
          <w:sz w:val="20"/>
          <w:szCs w:val="20"/>
        </w:rPr>
        <w:t>impacts on</w:t>
      </w:r>
      <w:proofErr w:type="gramEnd"/>
      <w:r>
        <w:rPr>
          <w:rFonts w:ascii="Calibri" w:eastAsia="Calibri" w:hAnsi="Calibri" w:cs="Calibri"/>
          <w:sz w:val="20"/>
          <w:szCs w:val="20"/>
        </w:rPr>
        <w:t xml:space="preserve">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4AB729FC" w14:textId="77777777" w:rsidR="00512322" w:rsidRDefault="00000000">
      <w:pPr>
        <w:spacing w:after="240"/>
        <w:ind w:left="630"/>
        <w:rPr>
          <w:rFonts w:ascii="Calibri" w:eastAsia="Calibri" w:hAnsi="Calibri" w:cs="Calibri"/>
          <w:sz w:val="20"/>
          <w:szCs w:val="20"/>
        </w:rPr>
      </w:pPr>
      <w:bookmarkStart w:id="20" w:name="_otzho7fg7dfk" w:colFirst="0" w:colLast="0"/>
      <w:bookmarkEnd w:id="20"/>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Anderson, E. M., &amp; Boutin, S. (2002). Edge effects on survival and </w:t>
      </w:r>
      <w:proofErr w:type="spellStart"/>
      <w:r>
        <w:rPr>
          <w:rFonts w:ascii="Calibri" w:eastAsia="Calibri" w:hAnsi="Calibri" w:cs="Calibri"/>
          <w:sz w:val="20"/>
          <w:szCs w:val="20"/>
        </w:rPr>
        <w:t>behaviour</w:t>
      </w:r>
      <w:proofErr w:type="spellEnd"/>
      <w:r>
        <w:rPr>
          <w:rFonts w:ascii="Calibri" w:eastAsia="Calibri" w:hAnsi="Calibri" w:cs="Calibri"/>
          <w:sz w:val="20"/>
          <w:szCs w:val="20"/>
        </w:rPr>
        <w:t xml:space="preserve">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Small Mammal.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18</w:t>
      </w:r>
      <w:r>
        <w:rPr>
          <w:rFonts w:ascii="Calibri" w:eastAsia="Calibri" w:hAnsi="Calibri" w:cs="Calibri"/>
          <w:sz w:val="20"/>
          <w:szCs w:val="20"/>
        </w:rPr>
        <w:t>(3), 689–697. https://doi.org/10.1111/j.1523-1739.2004.00149.x</w:t>
      </w:r>
    </w:p>
    <w:p w14:paraId="6D5F59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Barton, K. (2015). Package ‘</w:t>
      </w:r>
      <w:proofErr w:type="spellStart"/>
      <w:r>
        <w:rPr>
          <w:rFonts w:ascii="Calibri" w:eastAsia="Calibri" w:hAnsi="Calibri" w:cs="Calibri"/>
          <w:sz w:val="20"/>
          <w:szCs w:val="20"/>
        </w:rPr>
        <w:t>mumin</w:t>
      </w:r>
      <w:proofErr w:type="spellEnd"/>
      <w:r>
        <w:rPr>
          <w:rFonts w:ascii="Calibri" w:eastAsia="Calibri" w:hAnsi="Calibri" w:cs="Calibri"/>
          <w:sz w:val="20"/>
          <w:szCs w:val="20"/>
        </w:rPr>
        <w:t xml:space="preserve">.’ </w:t>
      </w:r>
      <w:r>
        <w:rPr>
          <w:rFonts w:ascii="Calibri" w:eastAsia="Calibri" w:hAnsi="Calibri" w:cs="Calibri"/>
          <w:i/>
          <w:sz w:val="20"/>
          <w:szCs w:val="20"/>
        </w:rPr>
        <w:t>Version</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w:t>
      </w:r>
      <w:r>
        <w:rPr>
          <w:rFonts w:ascii="Calibri" w:eastAsia="Calibri" w:hAnsi="Calibri" w:cs="Calibri"/>
          <w:i/>
          <w:sz w:val="20"/>
          <w:szCs w:val="20"/>
        </w:rPr>
        <w:t>18.</w:t>
      </w:r>
    </w:p>
    <w:p w14:paraId="7DEFCF3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Bayne, E., Dennett, J., Kohler, M., Ball, J., Bidwell, M., Braid, A., Chetelat, J., </w:t>
      </w:r>
      <w:proofErr w:type="spellStart"/>
      <w:r>
        <w:rPr>
          <w:rFonts w:ascii="Calibri" w:eastAsia="Calibri" w:hAnsi="Calibri" w:cs="Calibri"/>
          <w:sz w:val="20"/>
          <w:szCs w:val="20"/>
        </w:rPr>
        <w:t>Dillegeard</w:t>
      </w:r>
      <w:proofErr w:type="spellEnd"/>
      <w:r>
        <w:rPr>
          <w:rFonts w:ascii="Calibri" w:eastAsia="Calibri" w:hAnsi="Calibri" w:cs="Calibri"/>
          <w:sz w:val="20"/>
          <w:szCs w:val="20"/>
        </w:rPr>
        <w:t xml:space="preserve">, E., Farr, D., Fisher, J., Freemark, M., Foster, K., Godwin, C.,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 xml:space="preserve">Oil Sands Monitoring Program: A Before-After </w:t>
      </w:r>
      <w:proofErr w:type="spellStart"/>
      <w:r>
        <w:rPr>
          <w:rFonts w:ascii="Calibri" w:eastAsia="Calibri" w:hAnsi="Calibri" w:cs="Calibri"/>
          <w:i/>
          <w:sz w:val="20"/>
          <w:szCs w:val="20"/>
        </w:rPr>
        <w:t>DoseResponse</w:t>
      </w:r>
      <w:proofErr w:type="spellEnd"/>
      <w:r>
        <w:rPr>
          <w:rFonts w:ascii="Calibri" w:eastAsia="Calibri" w:hAnsi="Calibri" w:cs="Calibri"/>
          <w:i/>
          <w:sz w:val="20"/>
          <w:szCs w:val="20"/>
        </w:rPr>
        <w:t xml:space="preserv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w:t>
      </w:r>
      <w:proofErr w:type="gramStart"/>
      <w:r>
        <w:rPr>
          <w:rFonts w:ascii="Calibri" w:eastAsia="Calibri" w:hAnsi="Calibri" w:cs="Calibri"/>
          <w:sz w:val="20"/>
          <w:szCs w:val="20"/>
        </w:rPr>
        <w:t>at</w:t>
      </w:r>
      <w:proofErr w:type="gramEnd"/>
      <w:r>
        <w:rPr>
          <w:rFonts w:ascii="Calibri" w:eastAsia="Calibri" w:hAnsi="Calibri" w:cs="Calibri"/>
          <w:sz w:val="20"/>
          <w:szCs w:val="20"/>
        </w:rPr>
        <w:t xml:space="preserve">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w:t>
      </w:r>
      <w:proofErr w:type="gramStart"/>
      <w:r>
        <w:rPr>
          <w:rFonts w:ascii="Calibri" w:eastAsia="Calibri" w:hAnsi="Calibri" w:cs="Calibri"/>
          <w:sz w:val="20"/>
          <w:szCs w:val="20"/>
        </w:rPr>
        <w:t>A Landscape</w:t>
      </w:r>
      <w:proofErr w:type="gramEnd"/>
      <w:r>
        <w:rPr>
          <w:rFonts w:ascii="Calibri" w:eastAsia="Calibri" w:hAnsi="Calibri" w:cs="Calibri"/>
          <w:sz w:val="20"/>
          <w:szCs w:val="20"/>
        </w:rPr>
        <w:t xml:space="preserv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Hallworth, M. T., Sirén, A. P. K., DeLuca, W. V., Duclos, T. R., McFarland, K. P., Hill, J. M., Rimmer</w:t>
      </w:r>
      <w:proofErr w:type="gramStart"/>
      <w:r>
        <w:rPr>
          <w:rFonts w:ascii="Calibri" w:eastAsia="Calibri" w:hAnsi="Calibri" w:cs="Calibri"/>
          <w:sz w:val="20"/>
          <w:szCs w:val="20"/>
        </w:rPr>
        <w:t>, C.</w:t>
      </w:r>
      <w:proofErr w:type="gramEnd"/>
      <w:r>
        <w:rPr>
          <w:rFonts w:ascii="Calibri" w:eastAsia="Calibri" w:hAnsi="Calibri" w:cs="Calibri"/>
          <w:sz w:val="20"/>
          <w:szCs w:val="20"/>
        </w:rPr>
        <w:t xml:space="preserve"> C., &amp; Morelli, T. L. (2024). Boom and bust: the effects of </w:t>
      </w:r>
      <w:proofErr w:type="gramStart"/>
      <w:r>
        <w:rPr>
          <w:rFonts w:ascii="Calibri" w:eastAsia="Calibri" w:hAnsi="Calibri" w:cs="Calibri"/>
          <w:sz w:val="20"/>
          <w:szCs w:val="20"/>
        </w:rPr>
        <w:t>masting</w:t>
      </w:r>
      <w:proofErr w:type="gramEnd"/>
      <w:r>
        <w:rPr>
          <w:rFonts w:ascii="Calibri" w:eastAsia="Calibri" w:hAnsi="Calibri" w:cs="Calibri"/>
          <w:sz w:val="20"/>
          <w:szCs w:val="20"/>
        </w:rPr>
        <w:t xml:space="preserve">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w:t>
      </w:r>
      <w:proofErr w:type="gramStart"/>
      <w:r>
        <w:rPr>
          <w:rFonts w:ascii="Calibri" w:eastAsia="Calibri" w:hAnsi="Calibri" w:cs="Calibri"/>
          <w:sz w:val="20"/>
          <w:szCs w:val="20"/>
        </w:rPr>
        <w:t>A Time</w:t>
      </w:r>
      <w:proofErr w:type="gramEnd"/>
      <w:r>
        <w:rPr>
          <w:rFonts w:ascii="Calibri" w:eastAsia="Calibri" w:hAnsi="Calibri" w:cs="Calibri"/>
          <w:sz w:val="20"/>
          <w:szCs w:val="20"/>
        </w:rPr>
        <w:t xml:space="preserv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 xml:space="preserve">Journal of </w:t>
      </w:r>
      <w:proofErr w:type="gramStart"/>
      <w:r>
        <w:rPr>
          <w:rFonts w:ascii="Calibri" w:eastAsia="Calibri" w:hAnsi="Calibri" w:cs="Calibri"/>
          <w:i/>
          <w:sz w:val="20"/>
          <w:szCs w:val="20"/>
        </w:rPr>
        <w:t>Open Source</w:t>
      </w:r>
      <w:proofErr w:type="gramEnd"/>
      <w:r>
        <w:rPr>
          <w:rFonts w:ascii="Calibri" w:eastAsia="Calibri" w:hAnsi="Calibri" w:cs="Calibri"/>
          <w:i/>
          <w:sz w:val="20"/>
          <w:szCs w:val="20"/>
        </w:rPr>
        <w:t xml:space="preserv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w:t>
      </w:r>
      <w:proofErr w:type="gramStart"/>
      <w:r>
        <w:rPr>
          <w:rFonts w:ascii="Calibri" w:eastAsia="Calibri" w:hAnsi="Calibri" w:cs="Calibri"/>
          <w:sz w:val="20"/>
          <w:szCs w:val="20"/>
        </w:rPr>
        <w:t>2248:ESORWD</w:t>
      </w:r>
      <w:proofErr w:type="gramEnd"/>
      <w:r>
        <w:rPr>
          <w:rFonts w:ascii="Calibri" w:eastAsia="Calibri" w:hAnsi="Calibri" w:cs="Calibri"/>
          <w:sz w:val="20"/>
          <w:szCs w:val="20"/>
        </w:rPr>
        <w:t>]2.0.CO;2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McDermott, J. P. B., Whitaker, D. M., &amp; Warkentin, I. G. (2020). Constraints on </w:t>
      </w:r>
      <w:proofErr w:type="gramStart"/>
      <w:r>
        <w:rPr>
          <w:rFonts w:ascii="Calibri" w:eastAsia="Calibri" w:hAnsi="Calibri" w:cs="Calibri"/>
          <w:sz w:val="20"/>
          <w:szCs w:val="20"/>
        </w:rPr>
        <w:t>range</w:t>
      </w:r>
      <w:proofErr w:type="gramEnd"/>
      <w:r>
        <w:rPr>
          <w:rFonts w:ascii="Calibri" w:eastAsia="Calibri" w:hAnsi="Calibri" w:cs="Calibri"/>
          <w:sz w:val="20"/>
          <w:szCs w:val="20"/>
        </w:rPr>
        <w:t xml:space="preserv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O’Donoghue, M., Boutin, S., Murray, D. L., Krebs, C. J., Hofer, E. </w:t>
      </w:r>
      <w:proofErr w:type="gramStart"/>
      <w:r>
        <w:rPr>
          <w:rFonts w:ascii="Calibri" w:eastAsia="Calibri" w:hAnsi="Calibri" w:cs="Calibri"/>
          <w:sz w:val="20"/>
          <w:szCs w:val="20"/>
        </w:rPr>
        <w:t>J.,</w:t>
      </w:r>
      <w:proofErr w:type="spellStart"/>
      <w:r>
        <w:rPr>
          <w:rFonts w:ascii="Calibri" w:eastAsia="Calibri" w:hAnsi="Calibri" w:cs="Calibri"/>
          <w:sz w:val="20"/>
          <w:szCs w:val="20"/>
        </w:rPr>
        <w:t>Breitenmoser</w:t>
      </w:r>
      <w:proofErr w:type="spellEnd"/>
      <w:proofErr w:type="gram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w:t>
      </w:r>
      <w:proofErr w:type="gramStart"/>
      <w:r>
        <w:rPr>
          <w:rFonts w:ascii="Calibri" w:eastAsia="Calibri" w:hAnsi="Calibri" w:cs="Calibri"/>
          <w:sz w:val="20"/>
          <w:szCs w:val="20"/>
        </w:rPr>
        <w:t>lynx</w:t>
      </w:r>
      <w:proofErr w:type="gramEnd"/>
      <w:r>
        <w:rPr>
          <w:rFonts w:ascii="Calibri" w:eastAsia="Calibri" w:hAnsi="Calibri" w:cs="Calibri"/>
          <w:sz w:val="20"/>
          <w:szCs w:val="20"/>
        </w:rPr>
        <w:t xml:space="preserve">. In C. </w:t>
      </w:r>
      <w:proofErr w:type="spellStart"/>
      <w:proofErr w:type="gramStart"/>
      <w:r>
        <w:rPr>
          <w:rFonts w:ascii="Calibri" w:eastAsia="Calibri" w:hAnsi="Calibri" w:cs="Calibri"/>
          <w:sz w:val="20"/>
          <w:szCs w:val="20"/>
        </w:rPr>
        <w:t>J.Krebs</w:t>
      </w:r>
      <w:proofErr w:type="spellEnd"/>
      <w:proofErr w:type="gramEnd"/>
      <w:r>
        <w:rPr>
          <w:rFonts w:ascii="Calibri" w:eastAsia="Calibri" w:hAnsi="Calibri" w:cs="Calibri"/>
          <w:sz w:val="20"/>
          <w:szCs w:val="20"/>
        </w:rPr>
        <w:t xml:space="preserve"> (Ed.), Ecosystem dynamics of the boreal forest: The Kluane </w:t>
      </w:r>
      <w:proofErr w:type="gramStart"/>
      <w:r>
        <w:rPr>
          <w:rFonts w:ascii="Calibri" w:eastAsia="Calibri" w:hAnsi="Calibri" w:cs="Calibri"/>
          <w:sz w:val="20"/>
          <w:szCs w:val="20"/>
        </w:rPr>
        <w:t>project(</w:t>
      </w:r>
      <w:proofErr w:type="gramEnd"/>
      <w:r>
        <w:rPr>
          <w:rFonts w:ascii="Calibri" w:eastAsia="Calibri" w:hAnsi="Calibri" w:cs="Calibri"/>
          <w:sz w:val="20"/>
          <w:szCs w:val="20"/>
        </w:rPr>
        <w: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w:t>
      </w:r>
      <w:proofErr w:type="spellStart"/>
      <w:r>
        <w:rPr>
          <w:rFonts w:ascii="Calibri" w:eastAsia="Calibri" w:hAnsi="Calibri" w:cs="Calibri"/>
          <w:sz w:val="20"/>
          <w:szCs w:val="20"/>
        </w:rPr>
        <w:t>Brancalion</w:t>
      </w:r>
      <w:proofErr w:type="spellEnd"/>
      <w:r>
        <w:rPr>
          <w:rFonts w:ascii="Calibri" w:eastAsia="Calibri" w:hAnsi="Calibri" w:cs="Calibri"/>
          <w:sz w:val="20"/>
          <w:szCs w:val="20"/>
        </w:rPr>
        <w:t xml:space="preserve">,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br w:type="page"/>
      </w:r>
    </w:p>
    <w:p w14:paraId="3BDC6B71" w14:textId="77777777" w:rsidR="00512322" w:rsidRDefault="00000000">
      <w:pPr>
        <w:pStyle w:val="Heading2"/>
        <w:spacing w:line="312" w:lineRule="auto"/>
        <w:jc w:val="both"/>
      </w:pPr>
      <w:bookmarkStart w:id="21" w:name="_4cznrppnwhre" w:colFirst="0" w:colLast="0"/>
      <w:bookmarkEnd w:id="21"/>
      <w:r>
        <w:lastRenderedPageBreak/>
        <w:t>Figures and Tables</w:t>
      </w:r>
    </w:p>
    <w:p w14:paraId="1212B049" w14:textId="77777777" w:rsidR="00512322" w:rsidRDefault="00000000">
      <w:pPr>
        <w:spacing w:before="240" w:after="240"/>
        <w:jc w:val="both"/>
        <w:rPr>
          <w:rFonts w:ascii="Calibri" w:eastAsia="Calibri" w:hAnsi="Calibri" w:cs="Calibri"/>
          <w:b/>
        </w:rPr>
      </w:pPr>
      <w:r>
        <w:rPr>
          <w:rFonts w:ascii="Calibri" w:eastAsia="Calibri" w:hAnsi="Calibri" w:cs="Calibri"/>
          <w:b/>
          <w:noProof/>
        </w:rPr>
        <w:drawing>
          <wp:inline distT="114300" distB="114300" distL="114300" distR="114300" wp14:anchorId="4210AF69" wp14:editId="152625C4">
            <wp:extent cx="5943600" cy="44704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943600" cy="4470400"/>
                    </a:xfrm>
                    <a:prstGeom prst="rect">
                      <a:avLst/>
                    </a:prstGeom>
                    <a:ln/>
                  </pic:spPr>
                </pic:pic>
              </a:graphicData>
            </a:graphic>
          </wp:inline>
        </w:drawing>
      </w:r>
    </w:p>
    <w:p w14:paraId="72019903" w14:textId="77777777" w:rsidR="00512322" w:rsidRDefault="00000000">
      <w:pPr>
        <w:spacing w:after="240" w:line="312" w:lineRule="auto"/>
        <w:rPr>
          <w:rFonts w:ascii="Calibri" w:eastAsia="Calibri" w:hAnsi="Calibri" w:cs="Calibri"/>
          <w:i/>
          <w:sz w:val="20"/>
          <w:szCs w:val="20"/>
        </w:rPr>
      </w:pPr>
      <w:r>
        <w:rPr>
          <w:rFonts w:ascii="Calibri" w:eastAsia="Calibri" w:hAnsi="Calibri" w:cs="Calibri"/>
        </w:rPr>
        <w:t xml:space="preserve">Figure 1. Ten landscapes within the Boreal Plains </w:t>
      </w:r>
      <w:proofErr w:type="gramStart"/>
      <w:r>
        <w:rPr>
          <w:rFonts w:ascii="Calibri" w:eastAsia="Calibri" w:hAnsi="Calibri" w:cs="Calibri"/>
        </w:rPr>
        <w:t>selected</w:t>
      </w:r>
      <w:proofErr w:type="gramEnd"/>
      <w:r>
        <w:rPr>
          <w:rFonts w:ascii="Calibri" w:eastAsia="Calibri" w:hAnsi="Calibri" w:cs="Calibri"/>
        </w:rPr>
        <w:t xml:space="preserve">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 (total independent detections = 4747). </w:t>
      </w:r>
      <w:r>
        <w:br w:type="page"/>
      </w:r>
    </w:p>
    <w:p w14:paraId="425806A5" w14:textId="66F7BB28" w:rsidR="00512322" w:rsidRDefault="00D0157D">
      <w:pPr>
        <w:spacing w:after="240" w:line="312" w:lineRule="auto"/>
        <w:rPr>
          <w:rFonts w:ascii="Calibri" w:eastAsia="Calibri" w:hAnsi="Calibri" w:cs="Calibri"/>
          <w:sz w:val="20"/>
          <w:szCs w:val="20"/>
        </w:rPr>
      </w:pPr>
      <w:r>
        <w:rPr>
          <w:noProof/>
        </w:rPr>
        <w:lastRenderedPageBreak/>
        <w:drawing>
          <wp:inline distT="0" distB="0" distL="0" distR="0" wp14:anchorId="1DF8886D" wp14:editId="79ABE25C">
            <wp:extent cx="4572000" cy="3200400"/>
            <wp:effectExtent l="0" t="0" r="0" b="0"/>
            <wp:docPr id="1378795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603B9D7" w14:textId="77777777" w:rsidR="00512322" w:rsidRDefault="00000000">
      <w:pPr>
        <w:spacing w:after="240" w:line="312" w:lineRule="auto"/>
        <w:rPr>
          <w:rFonts w:ascii="Calibri" w:eastAsia="Calibri" w:hAnsi="Calibri" w:cs="Calibri"/>
          <w:sz w:val="24"/>
          <w:szCs w:val="24"/>
        </w:rPr>
      </w:pPr>
      <w:r>
        <w:rPr>
          <w:rFonts w:ascii="Calibri" w:eastAsia="Calibri" w:hAnsi="Calibri" w:cs="Calibri"/>
        </w:rPr>
        <w:t>Figure 2.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r>
        <w:rPr>
          <w:rFonts w:ascii="Calibri" w:eastAsia="Calibri" w:hAnsi="Calibri" w:cs="Calibri"/>
          <w:b/>
          <w:noProof/>
        </w:rPr>
        <w:lastRenderedPageBreak/>
        <w:drawing>
          <wp:inline distT="114300" distB="114300" distL="114300" distR="114300" wp14:anchorId="19D36FF5" wp14:editId="5F7ABB4E">
            <wp:extent cx="5943600" cy="37338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733800"/>
                    </a:xfrm>
                    <a:prstGeom prst="rect">
                      <a:avLst/>
                    </a:prstGeom>
                    <a:ln/>
                  </pic:spPr>
                </pic:pic>
              </a:graphicData>
            </a:graphic>
          </wp:inline>
        </w:drawing>
      </w:r>
    </w:p>
    <w:p w14:paraId="67E8827E" w14:textId="77777777" w:rsidR="00512322" w:rsidRDefault="00000000">
      <w:pPr>
        <w:spacing w:after="200" w:line="312" w:lineRule="auto"/>
        <w:jc w:val="both"/>
        <w:rPr>
          <w:rFonts w:ascii="Calibri" w:eastAsia="Calibri" w:hAnsi="Calibri" w:cs="Calibri"/>
        </w:rPr>
      </w:pPr>
      <w:r>
        <w:rPr>
          <w:rFonts w:ascii="Calibri" w:eastAsia="Calibri" w:hAnsi="Calibri" w:cs="Calibri"/>
        </w:rPr>
        <w:t>Figure 3. Odds ratios with 95% confidence intervals for standardized coefficients for [A] the top-ranked model explaining red squirrel detections as a function of edge density and cumulative site disturbance, and [B] the second-ranked model (</w:t>
      </w:r>
      <w:proofErr w:type="spellStart"/>
      <w:r>
        <w:rPr>
          <w:rFonts w:ascii="Calibri" w:eastAsia="Calibri" w:hAnsi="Calibri" w:cs="Calibri"/>
        </w:rPr>
        <w:t>ΔAICc</w:t>
      </w:r>
      <w:proofErr w:type="spellEnd"/>
      <w:r>
        <w:rPr>
          <w:rFonts w:ascii="Calibri" w:eastAsia="Calibri" w:hAnsi="Calibri" w:cs="Calibri"/>
        </w:rPr>
        <w:t xml:space="preserve"> = 2.45,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77777777" w:rsidR="00512322" w:rsidRDefault="00000000">
      <w:pPr>
        <w:spacing w:after="200" w:line="312"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02708D1C" wp14:editId="32E2229F">
            <wp:extent cx="5943600" cy="3390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90900"/>
                    </a:xfrm>
                    <a:prstGeom prst="rect">
                      <a:avLst/>
                    </a:prstGeom>
                    <a:ln/>
                  </pic:spPr>
                </pic:pic>
              </a:graphicData>
            </a:graphic>
          </wp:inline>
        </w:drawing>
      </w:r>
    </w:p>
    <w:p w14:paraId="6AC3CDDD" w14:textId="77777777" w:rsidR="00512322" w:rsidRDefault="00000000">
      <w:pPr>
        <w:spacing w:after="200" w:line="312" w:lineRule="auto"/>
        <w:rPr>
          <w:rFonts w:ascii="Calibri" w:eastAsia="Calibri" w:hAnsi="Calibri" w:cs="Calibri"/>
        </w:rPr>
      </w:pPr>
      <w:r>
        <w:rPr>
          <w:rFonts w:ascii="Calibri" w:eastAsia="Calibri" w:hAnsi="Calibri" w:cs="Calibri"/>
        </w:rPr>
        <w:t xml:space="preserve">Figure 4.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77777777" w:rsidR="00512322" w:rsidRDefault="00000000">
      <w:pPr>
        <w:spacing w:line="312" w:lineRule="auto"/>
        <w:rPr>
          <w:rFonts w:ascii="Calibri" w:eastAsia="Calibri" w:hAnsi="Calibri" w:cs="Calibri"/>
        </w:rPr>
      </w:pPr>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r="6143"/>
                    <a:stretch>
                      <a:fillRect/>
                    </a:stretch>
                  </pic:blipFill>
                  <pic:spPr>
                    <a:xfrm>
                      <a:off x="0" y="0"/>
                      <a:ext cx="6062907" cy="3228032"/>
                    </a:xfrm>
                    <a:prstGeom prst="rect">
                      <a:avLst/>
                    </a:prstGeom>
                    <a:ln/>
                  </pic:spPr>
                </pic:pic>
              </a:graphicData>
            </a:graphic>
          </wp:inline>
        </w:drawing>
      </w:r>
      <w:r>
        <w:br w:type="page"/>
      </w:r>
    </w:p>
    <w:p w14:paraId="21FC1C82" w14:textId="77777777" w:rsidR="00512322" w:rsidRDefault="00000000">
      <w:pPr>
        <w:spacing w:line="312" w:lineRule="auto"/>
        <w:rPr>
          <w:rFonts w:ascii="Calibri" w:eastAsia="Calibri" w:hAnsi="Calibri" w:cs="Calibri"/>
        </w:rPr>
      </w:pPr>
      <w:r>
        <w:rPr>
          <w:rFonts w:ascii="Calibri" w:eastAsia="Calibri" w:hAnsi="Calibri" w:cs="Calibri"/>
        </w:rPr>
        <w:lastRenderedPageBreak/>
        <w:t xml:space="preserve">Table 2. Model selection results from candidate hypotheses describing </w:t>
      </w:r>
      <w:proofErr w:type="gramStart"/>
      <w:r>
        <w:rPr>
          <w:rFonts w:ascii="Calibri" w:eastAsia="Calibri" w:hAnsi="Calibri" w:cs="Calibri"/>
        </w:rPr>
        <w:t>impact</w:t>
      </w:r>
      <w:proofErr w:type="gramEnd"/>
      <w:r>
        <w:rPr>
          <w:rFonts w:ascii="Calibri" w:eastAsia="Calibri" w:hAnsi="Calibri" w:cs="Calibri"/>
        </w:rPr>
        <w:t xml:space="preserve"> of the composition of natural features, composition of anthropogenic features, and landscape configuration on red squirrel abundance in the Boreal Plains. Top models (within 3 AIC units) are shown in bold. </w:t>
      </w:r>
    </w:p>
    <w:p w14:paraId="5FDE72D4"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399A97E3" wp14:editId="7AC1B135">
            <wp:extent cx="5943600" cy="4533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43600" cy="4533900"/>
                    </a:xfrm>
                    <a:prstGeom prst="rect">
                      <a:avLst/>
                    </a:prstGeom>
                    <a:ln/>
                  </pic:spPr>
                </pic:pic>
              </a:graphicData>
            </a:graphic>
          </wp:inline>
        </w:drawing>
      </w:r>
      <w:r>
        <w:br w:type="page"/>
      </w:r>
    </w:p>
    <w:p w14:paraId="73E8136B" w14:textId="77777777" w:rsidR="00512322"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14"/>
      <w:pgSz w:w="12240" w:h="15840" w:code="1"/>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B368" w14:textId="77777777" w:rsidR="001D1B5D" w:rsidRDefault="001D1B5D">
      <w:pPr>
        <w:spacing w:line="240" w:lineRule="auto"/>
      </w:pPr>
      <w:r>
        <w:separator/>
      </w:r>
    </w:p>
  </w:endnote>
  <w:endnote w:type="continuationSeparator" w:id="0">
    <w:p w14:paraId="54650D34" w14:textId="77777777" w:rsidR="001D1B5D" w:rsidRDefault="001D1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8C4E4" w14:textId="77777777" w:rsidR="001D1B5D" w:rsidRDefault="001D1B5D">
      <w:pPr>
        <w:spacing w:line="240" w:lineRule="auto"/>
      </w:pPr>
      <w:r>
        <w:separator/>
      </w:r>
    </w:p>
  </w:footnote>
  <w:footnote w:type="continuationSeparator" w:id="0">
    <w:p w14:paraId="2D0DC0B0" w14:textId="77777777" w:rsidR="001D1B5D" w:rsidRDefault="001D1B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1D1B5D"/>
    <w:rsid w:val="002809BC"/>
    <w:rsid w:val="00512322"/>
    <w:rsid w:val="005260CB"/>
    <w:rsid w:val="007028A3"/>
    <w:rsid w:val="007E5EC0"/>
    <w:rsid w:val="009A05BA"/>
    <w:rsid w:val="00A44A9F"/>
    <w:rsid w:val="00AF7685"/>
    <w:rsid w:val="00BD0461"/>
    <w:rsid w:val="00C330CF"/>
    <w:rsid w:val="00D0157D"/>
    <w:rsid w:val="00F801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97622A2C-4BF3-47C1-82A9-C2981D55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32</Pages>
  <Words>10320</Words>
  <Characters>58829</Characters>
  <Application>Microsoft Office Word</Application>
  <DocSecurity>0</DocSecurity>
  <Lines>490</Lines>
  <Paragraphs>138</Paragraphs>
  <ScaleCrop>false</ScaleCrop>
  <Company/>
  <LinksUpToDate>false</LinksUpToDate>
  <CharactersWithSpaces>69011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5</cp:revision>
  <dcterms:created xsi:type="dcterms:W3CDTF">2025-04-18T00:21:00Z</dcterms:created>
  <dcterms:modified xsi:type="dcterms:W3CDTF">2025-04-18T17:02:00Z</dcterms:modified>
</cp:coreProperties>
</file>