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BauPreis AI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4E0"/>
                <w:sz w:val="36"/>
                <w:szCs w:val="36"/>
              </w:rPr>
              <w:t xml:space="preserve">Executive Summary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6E4F0"/>
                <w:sz w:val="22"/>
                <w:szCs w:val="22"/>
              </w:rPr>
              <w:t xml:space="preserve">B2B SaaS · Echtzeit-Baustoffpreise · DACH Markt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A8C8"/>
                <w:sz w:val="20"/>
                <w:szCs w:val="20"/>
              </w:rPr>
              <w:t xml:space="preserve">Березень 2026 · Конфіденційно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ARPA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32"/>
                <w:szCs w:val="32"/>
              </w:rPr>
              <w:t xml:space="preserve">€89/міс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BASIS 60% / PRO 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Break-even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32"/>
                <w:szCs w:val="32"/>
              </w:rPr>
              <w:t xml:space="preserve">28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клієнтів · M6 Вер 26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LTV/CAC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32"/>
                <w:szCs w:val="32"/>
              </w:rPr>
              <w:t xml:space="preserve">8.2x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Payback 2.4 міс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ARR Ціль Y1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32"/>
                <w:szCs w:val="32"/>
              </w:rPr>
              <w:t xml:space="preserve">€106,800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100 клієнтів · M12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Проблема ринку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Ціни на будівельні матеріали в Німеччині волатильні та непередбачувані. Стальні конструкції можуть зрости на 15% за тиждень, мідь обвалитись на 20% за місяць.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Einkaufsleiter та Bauleiter дізнаються про зміни ціни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занадто пізно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коли постачальник вже виставив рахунок. Це прямий збиток для маржі проекту.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Відсутній централізований моніторинг 16+ ключових матеріалів у реальному часі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Немає AI-прогнозів для конкретних рекомендацій щодо часу закупівлі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Цінові алерти не інтегровані в операційні процеси будівельних компаній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Рішення — BauPreis AI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BauPreis AI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B2B SaaS платформа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що надає Kalkulator та Bauleiter у малому та середньому Bauunternehmen Німеччини реал-тайм ціни на будматеріали, AI-прогнози та миттєві алерти. Клієнти економлять </w:t>
      </w:r>
      <w:r>
        <w:rPr>
          <w:rFonts w:ascii="Arial" w:cs="Arial" w:eastAsia="Arial" w:hAnsi="Arial"/>
          <w:b/>
          <w:bCs/>
          <w:i w:val="false"/>
          <w:iCs w:val="false"/>
          <w:color w:val="1E7145"/>
          <w:sz w:val="22"/>
          <w:szCs w:val="22"/>
        </w:rPr>
        <w:t xml:space="preserve">15–30% на матеріальних витратах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через вибір правильного моменту для закупівлі.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16 матеріалів: Stahl, Kupfer, Aluminium, Holz, Beton, Zement, Dämmstoffe, Diesel та інші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Оновлення 4× на день із LME, Destatis та прямих ринкових джерел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Claude AI аналізує тренди та генерує рекомендації з confidence score (0–100%)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Миттєві алерти через Telegram та Email при досягненні цільової ціни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Legierungsrechner — спеціалізований інструмент для розрахунку легованих сталей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GDPR-compliant: дані зберігаються на Hetzner серверах у Нюрнберзі (DE)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Ринок та позиціонування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Цільовий ринок —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SMB Bauunternehmen Німеччини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(10–500 осіб). У Німеччині ~400,000 будівельних компаній, з яких ~80,000 відповідають ICP. Фокус Year 1 — DE, Year 2+ — Австрія та Швейцарія (повний DACH).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Адресований ринок (SAM)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40"/>
                <w:szCs w:val="40"/>
              </w:rPr>
              <w:t xml:space="preserve">~80,000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SMB будкомпаній 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18"/>
                <w:szCs w:val="18"/>
              </w:rPr>
              <w:t xml:space="preserve">Ціль Year 1 (SOM)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40"/>
                <w:szCs w:val="40"/>
              </w:rPr>
              <w:t xml:space="preserve">100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платних клієнтів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ARR при 100 клієнтах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40"/>
                <w:szCs w:val="40"/>
              </w:rPr>
              <w:t xml:space="preserve">€106,800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ARPA €89 × 100 × 12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Бізнес модель та ціноутворення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Product-Led Growth (PLG) модель: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 днів безкоштовно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без кредитної картки → email onboarding sequence → конверсія в підписку. Sales calls відсутні — повністю self-serve.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Basis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8"/>
                <w:szCs w:val="28"/>
              </w:rPr>
              <w:t xml:space="preserve">€49/міс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5 матеріалів · 1 user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3 алерти · Email · 2× оновлення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Pro  ⭐ Flagship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8"/>
                <w:szCs w:val="28"/>
              </w:rPr>
              <w:t xml:space="preserve">€149/міс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Всі матеріали · AI прогнози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Telegram · 4× оновлення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Team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8"/>
                <w:szCs w:val="28"/>
              </w:rPr>
              <w:t xml:space="preserve">€299/міс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До 5 users · API доступ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Dedicated support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Фінансова модель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OPEX базовий: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€2,444.60/міс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(команда part-time + інфраструктура + інструменти). Зарплати founders вмикаються при </w:t>
      </w:r>
      <w:r>
        <w:rPr>
          <w:rFonts w:ascii="Arial" w:cs="Arial" w:eastAsia="Arial" w:hAnsi="Arial"/>
          <w:b/>
          <w:bCs/>
          <w:i w:val="false"/>
          <w:iCs w:val="false"/>
          <w:color w:val="1E7145"/>
          <w:sz w:val="22"/>
          <w:szCs w:val="22"/>
        </w:rPr>
        <w:t xml:space="preserve">MRR ≥ €3,000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(~34 клієнти). One-time витрати на запуск: €2,830 (виставка Кельн + реєстрація).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1895"/>
        <w:gridCol w:w="1895"/>
        <w:gridCol w:w="1807"/>
      </w:tblGrid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Показник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Сц. A (€0 mkt)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Сц. C ⭐ (€1K mkt)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 Flagship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ARPA gross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€89/міс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€89/міс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€159/міс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Клієнти M12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56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MRR net M12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€4,984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€8,188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€14,600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Кум. результат Y1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−€1,745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+€10,018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+€37,000+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Окупність (міс.)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M8 Лис 2026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M6 Вер 2026 ⭐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M5 Сер 2026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Зарплати founders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M9+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M6-M7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M5</w:t>
            </w:r>
          </w:p>
        </w:tc>
      </w:tr>
      <w:tr>
        <w:tc>
          <w:tcPr>
            <w:tcW w:type="dxa" w:w="3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LTV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€1,271</w:t>
            </w:r>
          </w:p>
        </w:tc>
        <w:tc>
          <w:tcPr>
            <w:tcW w:type="dxa" w:w="18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€1,271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€2,270</w:t>
            </w:r>
          </w:p>
        </w:tc>
      </w:tr>
    </w:tbl>
    <w:p>
      <w:pPr>
        <w:spacing w:before="10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FA3"/>
          <w:sz w:val="19"/>
          <w:szCs w:val="19"/>
        </w:rPr>
        <w:t xml:space="preserve">⭐ Рекомендований сценарій: GTM Baseline ARPA €89 + Маркетинг €1,000/міс від M4</w:t>
      </w:r>
    </w:p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Go-to-Market Стратегія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Фазований підхід: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органіка M1–M3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тест paid M4–M5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i w:val="false"/>
          <w:iCs w:val="false"/>
          <w:color w:val="1E7145"/>
          <w:sz w:val="22"/>
          <w:szCs w:val="22"/>
        </w:rPr>
        <w:t xml:space="preserve">повний scale M6+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Основні канали залучення: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LinkedIn Organic: 150 outreach/міс (founders) — reply rate target ≥12%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SEO / Блог (DE): 1-2 статті/міс від M3, target 1,200 sessions до M12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Email Newsletter: ціль 3,000 subscribers до M12, open rate ≥27%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Галузеві виставки: DACH+HOLZ Кельн Березень 2026 ✓ · Bauma 2027 (TBD)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Google Ads: старт M9 після підтвердження PMF, target CAC ≤€150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Partnership: ZDB + ORCA інтеграція — warm leads з конверсією ≥40%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Milestones та Go/No-Go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624"/>
        <w:gridCol w:w="1624"/>
        <w:gridCol w:w="3973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Квартал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Клієнти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MRR</w:t>
            </w:r>
          </w:p>
        </w:tc>
        <w:tc>
          <w:tcPr>
            <w:tcW w:type="dxa" w:w="3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Критерій успіху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Q1 Квіт-Чер 26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≥8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≥€630</w:t>
            </w:r>
          </w:p>
        </w:tc>
        <w:tc>
          <w:tcPr>
            <w:tcW w:type="dxa" w:w="3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Trial→Paid ≥14% · Churn &lt;15%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Q2 Лип-Вер 26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≥40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≥€2,760</w:t>
            </w:r>
          </w:p>
        </w:tc>
        <w:tc>
          <w:tcPr>
            <w:tcW w:type="dxa" w:w="3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CAC ≤€150 · ZDB партнерство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Q3 Жов-Гру 26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≥65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≥€4,485</w:t>
            </w:r>
          </w:p>
        </w:tc>
        <w:tc>
          <w:tcPr>
            <w:tcW w:type="dxa" w:w="3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NRR ≥105% · Google Ads CAC ≤€150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Q4 Січ-Бер 27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≥€8,900</w:t>
            </w:r>
          </w:p>
        </w:tc>
        <w:tc>
          <w:tcPr>
            <w:tcW w:type="dxa" w:w="39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ARR €106,800 · Investor deck ready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Команда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805"/>
        <w:gridCol w:w="1624"/>
        <w:gridCol w:w="3341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Роль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Компенсація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Правова структура</w:t>
            </w:r>
          </w:p>
        </w:tc>
        <w:tc>
          <w:tcPr>
            <w:tcW w:type="dxa" w:w="3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Умова виплат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CEO + CTO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€800/міс (part-time)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Selbständigkeit DE</w:t>
            </w:r>
          </w:p>
        </w:tc>
        <w:tc>
          <w:tcPr>
            <w:tcW w:type="dxa" w:w="3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від MRR ≥€3,000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Product Lead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€800/міс (part-time)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ФОП Україна</w:t>
            </w:r>
          </w:p>
        </w:tc>
        <w:tc>
          <w:tcPr>
            <w:tcW w:type="dxa" w:w="3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від MRR ≥€3,000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Розробник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€40/год · max 10год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Фріланс</w:t>
            </w:r>
          </w:p>
        </w:tc>
        <w:tc>
          <w:tcPr>
            <w:tcW w:type="dxa" w:w="33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за потребою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Dual-entity структура: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Selbständigkeit DE (CEO+CTO) + ФОП UA (Product Lead). Part-time на старті дозволяє мінімізувати burn rate до €444.60/міс (без зарплат) та забезпечити runway до першого MRR.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Ключові ризики та Mitigation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2256"/>
        <w:gridCol w:w="4063"/>
      </w:tblGrid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Ризик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Ймовірність / Вплив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Міtigation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Реальний ARPA &lt; €89 (BASIS домінує)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Середня / Середній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Моніторинг tier split з дня 1. Якщо ARPA &lt;€69 → посилити PRO onboarding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Churn &gt; 10% (product-market fit)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Низька / Високий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D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Exit survey + founder дзвонить кожному churned клієнту. Pivot trigger ≥15%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€0 на рахунку — founders не покривають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Низька / Критичний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€3,274 особистих коштів підтверджено. Резерв = відкласти виставку Кельн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Trial→Paid &lt; 10% (onboarding fail)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Середня / Високий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Зупинити paid маркетинг. Фокус на Day 2 email + Aha Moment оптимізація</w:t>
            </w:r>
          </w:p>
        </w:tc>
      </w:tr>
      <w:tr>
        <w:tc>
          <w:tcPr>
            <w:tcW w:type="dxa" w:w="27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Конкурент запускає аналогічний продукт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Низька / Середній</w:t>
            </w:r>
          </w:p>
        </w:tc>
        <w:tc>
          <w:tcPr>
            <w:tcW w:type="dxa" w:w="40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DACH-специфічність + GDPR compliance + партнерства (ZDB) як бар'єр входу</w:t>
            </w:r>
          </w:p>
        </w:tc>
      </w:tr>
    </w:tbl>
    <w:p>
      <w:pPr>
        <w:spacing w:before="12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2E5FA3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Поточний статус та наступні кроки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2"/>
                <w:szCs w:val="22"/>
              </w:rPr>
              <w:t xml:space="preserve">✅ Вже зроблено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Продукт живий: baupreis.ais152.com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Closed Beta: 20 зареєстрованих акаунтів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Stripe підключений: старт оплат 15.03.2026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16 матеріалів моніторяться в реальному часі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GDPR compliant (Hetzner DE серверна інфра)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GTM Strategy + Financial Model готові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3"/>
                <w:sz w:val="22"/>
                <w:szCs w:val="22"/>
              </w:rPr>
              <w:t xml:space="preserve">➡️ Наступні кроки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15.03.2026: Запуск платіжної системи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24-26.03.2026: Виставка DACH+HOLZ Кельн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• Квітень 2026: Перші платні клієнти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M4: Старт ZDB partnership переговорів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145"/>
                <w:sz w:val="20"/>
                <w:szCs w:val="20"/>
              </w:rPr>
              <w:t xml:space="preserve">• M6: Break-even · Зарплати founders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M9: Fundraising якщо traction підтверджений</w:t>
            </w:r>
          </w:p>
        </w:tc>
      </w:tr>
    </w:tbl>
    <w:p>
      <w:pPr>
        <w:spacing w:before="1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BauPreis AI — the right price, at the right time.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4E0"/>
                <w:sz w:val="20"/>
                <w:szCs w:val="20"/>
              </w:rPr>
              <w:t xml:space="preserve">baupreis.ais152.com  ·  info@baupreis.ai  ·  Березень 2026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026"/>
      </w:tabs>
      <w:spacing w:before="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baupreis.ais152.com  ·  OPEX €2,444.60/міс  ·  Break-even 28 клієнтів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Стор.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before="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BauPreis AI  ·  Executive Summary  ·  Березень 2026  ·  Конфіденційно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2026-03-06T09:33:38.075Z</dcterms:created>
  <dcterms:modified xsi:type="dcterms:W3CDTF">2026-03-06T09:33:38.076Z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