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D1D1F"/>
          <w:spacing w:val="20"/>
          <w:sz w:val="40"/>
          <w:szCs w:val="40"/>
        </w:rPr>
        <w:t xml:space="preserve">AIDA NESIMI</w:t>
      </w:r>
    </w:p>
    <w:p>
      <w:pPr>
        <w:spacing w:after="20"/>
      </w:pPr>
      <w:r>
        <w:rPr>
          <w:b/>
          <w:bCs/>
          <w:color w:val="0071E3"/>
          <w:sz w:val="21"/>
          <w:szCs w:val="21"/>
        </w:rPr>
        <w:t xml:space="preserve">Real Estate Strategy, Portfolio &amp; Program Leadership</w:t>
      </w:r>
    </w:p>
    <w:p>
      <w:pPr>
        <w:spacing w:after="60"/>
      </w:pPr>
      <w:r>
        <w:rPr>
          <w:color w:val="6E6E73"/>
          <w:sz w:val="18"/>
          <w:szCs w:val="18"/>
        </w:rPr>
        <w:t xml:space="preserve">Global Retail &amp; Commercial Real Estate  |  Strategy · Portfolio Management · Program Leadership · Executive Partnership</w:t>
      </w:r>
    </w:p>
    <w:p>
      <w:pPr>
        <w:pBdr>
          <w:bottom w:val="single" w:color="C7C7CC" w:sz="6" w:space="4"/>
        </w:pBdr>
        <w:spacing w:after="60"/>
      </w:pPr>
      <w:r>
        <w:rPr>
          <w:color w:val="333333"/>
          <w:sz w:val="18"/>
          <w:szCs w:val="18"/>
        </w:rPr>
        <w:t xml:space="preserve">Fort Lauderdale, FL  ·  New York, NY   |   aidanesimire@gmail.com   |   (954) 955-2298   |   Open to 100% Travel &amp; Relocation (incl. Cupertino, CA)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KEY FACTS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Scope &amp; Tenure:  </w:t>
      </w:r>
      <w:r>
        <w:rPr>
          <w:color w:val="333333"/>
          <w:sz w:val="19"/>
          <w:szCs w:val="19"/>
        </w:rPr>
        <w:t xml:space="preserve">10+ years across real estate, strategy, operations, and planning, advancing through roles of increasing scope and responsibility and representing $2B+ in cumulative project capitalization.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Executive Partner:  </w:t>
      </w:r>
      <w:r>
        <w:rPr>
          <w:color w:val="333333"/>
          <w:sz w:val="19"/>
          <w:szCs w:val="19"/>
        </w:rPr>
        <w:t xml:space="preserve">Trusted strategic and operational partner to executives, C-suite, and public/private leaders in high-visibility, fast-paced environments.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Program Leadership:  </w:t>
      </w:r>
      <w:r>
        <w:rPr>
          <w:color w:val="333333"/>
          <w:sz w:val="19"/>
          <w:szCs w:val="19"/>
        </w:rPr>
        <w:t xml:space="preserve">Track record of driving organizational programs from inception through execution — restructuring divisions, standing up new operations, and delivering complex initiatives on schedule.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Retail &amp; Commercial RE:  </w:t>
      </w:r>
      <w:r>
        <w:rPr>
          <w:color w:val="333333"/>
          <w:sz w:val="19"/>
          <w:szCs w:val="19"/>
        </w:rPr>
        <w:t xml:space="preserve">Background spanning retail, commercial, and mixed-use real estate, store and site development, and management of portfolios up to $500M+.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Governance &amp; Planning:  </w:t>
      </w:r>
      <w:r>
        <w:rPr>
          <w:color w:val="333333"/>
          <w:sz w:val="19"/>
          <w:szCs w:val="19"/>
        </w:rPr>
        <w:t xml:space="preserve">Fluent in project approval processes, stage-gate governance, and capital planning frameworks — capital allocation, portfolio/fleet reviews, and multi-year roadmaps.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Availability:  </w:t>
      </w:r>
      <w:r>
        <w:rPr>
          <w:color w:val="333333"/>
          <w:sz w:val="19"/>
          <w:szCs w:val="19"/>
        </w:rPr>
        <w:t xml:space="preserve">Fully mobile — available for 100% domestic &amp; international travel and immediate relocation.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Credentials:  </w:t>
      </w:r>
      <w:r>
        <w:rPr>
          <w:color w:val="333333"/>
          <w:sz w:val="19"/>
          <w:szCs w:val="19"/>
        </w:rPr>
        <w:t xml:space="preserve">Harvard GSD Executive Education; LEED AP Neighborhood Development; Certified ScrumMaster; Real Estate Broker (FL / NY / CA).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PROFESSIONAL SUMMARY</w:t>
      </w:r>
    </w:p>
    <w:p>
      <w:pPr>
        <w:spacing w:after="40" w:line="258"/>
      </w:pPr>
      <w:r>
        <w:rPr>
          <w:color w:val="333333"/>
          <w:sz w:val="19"/>
          <w:szCs w:val="19"/>
        </w:rPr>
        <w:t xml:space="preserve">Real estate executive with 10+ years across real estate, strategy, operations, and planning, advancing through roles of increasing scope and responsibility and representing more than $2 billion in cumulative project capitalization. A senior strategic and operational partner to executives and senior leaders in high-visibility, fast-paced environments — owning the planning infrastructure, governance, and cross-functional coordination that keep organizations aligned and moving with clarity and speed. Bring a strong background across retail, commercial, and mixed-use real estate, store and site development, and portfolio management, with a proven ability to drive organizational programs from inception through execution. Fluent in project approval processes, stage-gate governance, and capital planning frameworks, connecting portfolio strategy, capital allocation, and multi-year roadmaps to executive decision-making. Recognized for executive presence, sound judgment, and the organizational fluency to translate complexity into clear, executive-ready direction. Available for 100% travel and relocation.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CORE COMPETENCIES</w:t>
      </w:r>
    </w:p>
    <w:p>
      <w:pPr>
        <w:spacing w:after="20" w:line="260"/>
      </w:pPr>
      <w:r>
        <w:rPr>
          <w:color w:val="333333"/>
          <w:sz w:val="19"/>
          <w:szCs w:val="19"/>
        </w:rPr>
        <w:t xml:space="preserve">Global Retail &amp; Commercial Real Estate Strategy  ·  Portfolio &amp; Fleet Management  ·  Store &amp; Site Development  ·  Program Leadership (Inception → Execution)  ·  Capital Allocation &amp; Capital Planning  ·  Project Approval / Stage-Gate Governance  ·  Cross-Functional &amp; Executive Partnership  ·  Five-Year Strategic Roadmaps  ·  Portfolio Performance &amp; KPIs  ·  Entitlements &amp; Regulatory Approvals  ·  Stakeholder &amp; Investor Relations  ·  Site Selection &amp; Market Strategy  ·  Contract &amp; Deal Negotiation  ·  Investment &amp; Financial Analysis  ·  Matrixed, Distributed Global Teams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TOOLS &amp; PLATFORMS</w:t>
      </w:r>
    </w:p>
    <w:p>
      <w:pPr>
        <w:spacing w:after="20" w:line="258"/>
      </w:pPr>
      <w:r>
        <w:rPr>
          <w:color w:val="333333"/>
          <w:sz w:val="19"/>
          <w:szCs w:val="19"/>
        </w:rPr>
        <w:t xml:space="preserve">Keynote  ·  Numbers  ·  Microsoft Excel, Word &amp; PowerPoint  ·  CoStar &amp; real estate data platforms  ·  GIS / spatial analysis  ·  MS Project &amp; Primavera P6  ·  Jira, Asana &amp; Smartsheet  ·  Procore &amp; Bluebeam  ·  AI-driven design tools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PROFESSIONAL EXPERIENCE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Principal — Real Estate Strategy &amp; Advisory</w:t>
      </w:r>
      <w:r>
        <w:rPr>
          <w:color w:val="6E6E73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DAWN RE Enterprises Corp — Fort Lauderdale, FL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Lead a real estate strategy and advisory platform, evaluating acquisitions, feasibility, and investment risk to guide capital allocation and long-term portfolio growth.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Set investment strategy and market positioning that identified Class A and waterfront assets trading 40–60% below comparable market values, informing high-conviction acquisition decisions.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Advise municipal leaders and public-sector executives on land-use, infrastructure, and development strategy, presenting recommendations that accelerate delivery and improve efficiency.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Guide high-value transactions to close (e.g., 1400 W Lake Drive) and structure institutional and private capital relationships that align strategy with financial performance.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Development Consultant — Capital Programs ($250M+)</w:t>
      </w:r>
      <w:r>
        <w:rPr>
          <w:color w:val="6E6E73"/>
          <w:sz w:val="18"/>
          <w:szCs w:val="18"/>
        </w:rPr>
        <w:t xml:space="preserve">	2022 – 2025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Friedman Equities — FL, NY, CT, CA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Directed strategy for $250M+ capital programs, driving initiatives from inception through execution across modular construction and industrialized building technologies.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Developed delivery models that reduced construction timelines by up to 70% and project costs by up to 50% while advancing ESG objectives.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Coordinated cross-functional work streams across manufacturers, municipalities, and institutional partners to keep interdependent programs aligned and on schedule.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Led investor relations, fundraising, and private placements to capitalize large-scale programs; owned budgets, negotiations, and partner alignment.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Chief Operating Officer, Urban Core Division</w:t>
      </w:r>
      <w:r>
        <w:rPr>
          <w:color w:val="6E6E73"/>
          <w:sz w:val="18"/>
          <w:szCs w:val="18"/>
        </w:rPr>
        <w:t xml:space="preserve">	2022 – 2024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Colliers International — Miami, FL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Restructured the Urban Core Division to operational readiness and revenue generation within three months — a program driven from inception through execution.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Directed a commercial real estate team and a $500M property portfolio, contributing to $40M in closed transactions.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Owned portfolio and pipeline reviews, setting prospecting, marketing, and execution priorities that improved performance.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Partnered with family offices, REITs, high-net-worth investors, and development partners to source investment and joint-venture opportunities across a matrixed stakeholder network.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Development Consultant &amp; Owner's Representative ($1.4B+ combined)</w:t>
      </w:r>
      <w:r>
        <w:rPr>
          <w:color w:val="6E6E73"/>
          <w:sz w:val="18"/>
          <w:szCs w:val="18"/>
        </w:rPr>
        <w:t xml:space="preserve">	2021 – 2022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Winston Capital Partners / BAS Holdings / Redwood — South Florida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Directed development, financing, and asset management for projects exceeding $1.4B in combined capitalization.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Secured a $47M bridge loan (70% LTV), created ~$5M in additional asset value, and supported a $60M permanent refinancing (80% LTV); led execution from term sheet through closing.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Led entitlement and stage-gate regulatory approvals, securing two unanimous approvals with full Section 8 compliance; repositioned distressed assets into fully entitled, income-producing developments valued at $100M+.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Assistant Project Manager — Amazon Warehouse Buildout ($20M)</w:t>
      </w:r>
      <w:r>
        <w:rPr>
          <w:color w:val="6E6E73"/>
          <w:sz w:val="18"/>
          <w:szCs w:val="18"/>
        </w:rPr>
        <w:t xml:space="preserve">	2020 – 2021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Apolon Construction — Brooklyn, NY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Supported on-time, under-budget delivery of a $20M Amazon warehouse buildout, coordinating procurement, subcontractors, schedule, and budget.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Managed project approval documentation and stage-gate controls — RFIs, submittals, change orders, and progress tracking — across the construction lifecycle.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Development Analyst — $593M Retail, Hospitality &amp; Luxury Portfolio</w:t>
      </w:r>
      <w:r>
        <w:rPr>
          <w:color w:val="6E6E73"/>
          <w:sz w:val="18"/>
          <w:szCs w:val="18"/>
        </w:rPr>
        <w:t xml:space="preserve">	2018 – 2020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Friedman Equities — California Redevelopment Portfolio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Supported a $593M redevelopment portfolio across three concurrent programs — Beverly Park ($287M), Rancho Mirage ($182M), and Palm Desert ($124M) — coordinating entitlement, approvals, documentation, and milestones.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Partnered with architects, consultants, and cross-functional stakeholders to advance regulatory approvals and project execution.</w:t>
      </w:r>
    </w:p>
    <w:p>
      <w:pPr>
        <w:tabs>
          <w:tab w:val="right" w:pos="10224"/>
        </w:tabs>
        <w:spacing w:after="8" w:before="150"/>
      </w:pPr>
      <w:r>
        <w:rPr>
          <w:b/>
          <w:bCs/>
          <w:color w:val="1D1D1F"/>
          <w:sz w:val="20"/>
          <w:szCs w:val="20"/>
        </w:rPr>
        <w:t xml:space="preserve">Real Estate &amp; Investment Sales</w:t>
      </w:r>
      <w:r>
        <w:rPr>
          <w:color w:val="6E6E73"/>
          <w:sz w:val="18"/>
          <w:szCs w:val="18"/>
        </w:rPr>
        <w:t xml:space="preserve">	2018 – 2020</w:t>
      </w:r>
    </w:p>
    <w:p>
      <w:pPr>
        <w:spacing w:after="40"/>
      </w:pPr>
      <w:r>
        <w:rPr>
          <w:i/>
          <w:iCs/>
          <w:color w:val="6E6E73"/>
          <w:sz w:val="19"/>
          <w:szCs w:val="19"/>
        </w:rPr>
        <w:t xml:space="preserve">Bond New York — New York, NY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color w:val="333333"/>
          <w:sz w:val="19"/>
          <w:szCs w:val="19"/>
        </w:rPr>
        <w:t xml:space="preserve">Generated ~$10M in investment property sales and ~$300K in rental transactions through off-market sourcing; advised clients on acquisition strategy and negotiated transactions from prospecting through close.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EDUCATION</w:t>
      </w:r>
    </w:p>
    <w:p>
      <w:pPr>
        <w:spacing w:after="30"/>
      </w:pPr>
      <w:r>
        <w:rPr>
          <w:b/>
          <w:bCs/>
          <w:color w:val="1D1D1F"/>
          <w:sz w:val="19"/>
          <w:szCs w:val="19"/>
        </w:rPr>
        <w:t xml:space="preserve">B.A., Biological Sciences &amp; Secondary Science Education</w:t>
      </w:r>
      <w:r>
        <w:rPr>
          <w:color w:val="333333"/>
          <w:sz w:val="19"/>
          <w:szCs w:val="19"/>
        </w:rPr>
        <w:t xml:space="preserve">  —  City University of New York, Brooklyn College</w:t>
      </w:r>
    </w:p>
    <w:p>
      <w:pPr>
        <w:spacing w:after="30"/>
      </w:pPr>
      <w:r>
        <w:rPr>
          <w:b/>
          <w:bCs/>
          <w:color w:val="1D1D1F"/>
          <w:sz w:val="19"/>
          <w:szCs w:val="19"/>
        </w:rPr>
        <w:t xml:space="preserve">Executive Education — Integrated Project Management</w:t>
      </w:r>
      <w:r>
        <w:rPr>
          <w:color w:val="333333"/>
          <w:sz w:val="19"/>
          <w:szCs w:val="19"/>
        </w:rPr>
        <w:t xml:space="preserve">  —  Harvard Graduate School of Design (2021)</w:t>
      </w:r>
    </w:p>
    <w:p>
      <w:pPr>
        <w:pBdr>
          <w:bottom w:val="single" w:color="C7C7CC" w:sz="6" w:space="3"/>
        </w:pBdr>
        <w:spacing w:after="90" w:before="240"/>
      </w:pPr>
      <w:r>
        <w:rPr>
          <w:b/>
          <w:bCs/>
          <w:color w:val="1D1D1F"/>
          <w:spacing w:val="30"/>
          <w:sz w:val="21"/>
          <w:szCs w:val="21"/>
        </w:rPr>
        <w:t xml:space="preserve">CERTIFICATIONS &amp; LICENSES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Sustainability:  </w:t>
      </w:r>
      <w:r>
        <w:rPr>
          <w:color w:val="333333"/>
          <w:sz w:val="19"/>
          <w:szCs w:val="19"/>
        </w:rPr>
        <w:t xml:space="preserve">LEED AP Neighborhood Development (2024) — one of ~438 holders nationally; LEED Green Associate (2021).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Program Management:  </w:t>
      </w:r>
      <w:r>
        <w:rPr>
          <w:color w:val="333333"/>
          <w:sz w:val="19"/>
          <w:szCs w:val="19"/>
        </w:rPr>
        <w:t xml:space="preserve">Certified ScrumMaster — Agile Project Management (2020); OSHA 62-Hour Construction Site Supervisor (2021).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Finance &amp; Licenses:  </w:t>
      </w:r>
      <w:r>
        <w:rPr>
          <w:color w:val="333333"/>
          <w:sz w:val="19"/>
          <w:szCs w:val="19"/>
        </w:rPr>
        <w:t xml:space="preserve">FINRA Series 66 (2024) &amp; SIE (2023); A.CRE Financial Modeling Accelerator (2025).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b/>
          <w:bCs/>
          <w:color w:val="1D1D1F"/>
          <w:sz w:val="19"/>
          <w:szCs w:val="19"/>
        </w:rPr>
        <w:t xml:space="preserve">Real Estate Licenses:  </w:t>
      </w:r>
      <w:r>
        <w:rPr>
          <w:color w:val="333333"/>
          <w:sz w:val="19"/>
          <w:szCs w:val="19"/>
        </w:rPr>
        <w:t xml:space="preserve">Broker — Florida (2021) &amp; New York (2023); California Associate (2022); NY Salesperson (2017); Florida Notary Public (2021).</w:t>
      </w:r>
    </w:p>
    <w:sectPr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0071E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30" w:hanging="180"/>
      </w:pPr>
      <w:rPr>
        <w:color w:val="6E6E7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Aida Nesimi — Resume</dc:title>
  <dc:creator>Aida Nesimi</dc:creator>
  <cp:lastModifiedBy>Un-named</cp:lastModifiedBy>
  <cp:revision>1</cp:revision>
  <dcterms:created xsi:type="dcterms:W3CDTF">2026-07-22T16:25:14.262Z</dcterms:created>
  <dcterms:modified xsi:type="dcterms:W3CDTF">2026-07-22T16:25:14.262Z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