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"/>
      </w:pPr>
      <w:r>
        <w:rPr>
          <w:b/>
          <w:bCs/>
          <w:color w:val="1D1D1F"/>
          <w:spacing w:val="20"/>
          <w:sz w:val="40"/>
          <w:szCs w:val="40"/>
        </w:rPr>
        <w:t xml:space="preserve">AIDA NESIMI</w:t>
      </w:r>
    </w:p>
    <w:p>
      <w:pPr>
        <w:spacing w:after="16"/>
      </w:pPr>
      <w:r>
        <w:rPr>
          <w:b/>
          <w:bCs/>
          <w:color w:val="0071E3"/>
          <w:sz w:val="21"/>
          <w:szCs w:val="21"/>
        </w:rPr>
        <w:t xml:space="preserve">Integrated Real Estate Leader — Dealmaker · Broker · Builder · Entitlements Strategist</w:t>
      </w:r>
    </w:p>
    <w:p>
      <w:pPr>
        <w:spacing w:after="60"/>
      </w:pPr>
      <w:r>
        <w:rPr>
          <w:color w:val="6E6E73"/>
          <w:sz w:val="18"/>
          <w:szCs w:val="18"/>
        </w:rPr>
        <w:t xml:space="preserve">Owns programs from site to occupancy across $2B+ in capitalization  ·  Entitlements &amp; municipal strategy  ·  Capital structuring  ·  Sustainability (LEED AP ND)</w:t>
      </w:r>
    </w:p>
    <w:p>
      <w:pPr>
        <w:pBdr>
          <w:bottom w:val="single" w:color="C7C7CC" w:sz="6" w:space="4"/>
        </w:pBdr>
        <w:spacing w:after="40"/>
      </w:pPr>
      <w:r>
        <w:rPr>
          <w:color w:val="333333"/>
          <w:sz w:val="18"/>
          <w:szCs w:val="18"/>
        </w:rPr>
        <w:t xml:space="preserve">Fort Lauderdale, FL  ·  New York, NY   |   aidanesimire@gmail.com   |   (954) 955-2298   |   Open to 100% Travel &amp; Relocation (incl. Cupertino, CA)</w:t>
      </w:r>
    </w:p>
    <w:p>
      <w:pPr>
        <w:pBdr>
          <w:bottom w:val="single" w:color="C7C7CC" w:sz="6" w:space="3"/>
        </w:pBdr>
        <w:spacing w:after="80" w:before="220"/>
      </w:pPr>
      <w:r>
        <w:rPr>
          <w:b/>
          <w:bCs/>
          <w:color w:val="1D1D1F"/>
          <w:spacing w:val="30"/>
          <w:sz w:val="21"/>
          <w:szCs w:val="21"/>
        </w:rPr>
        <w:t xml:space="preserve">SUMMARY</w:t>
      </w:r>
    </w:p>
    <w:p>
      <w:pPr>
        <w:spacing w:after="30" w:line="256"/>
      </w:pPr>
      <w:r>
        <w:rPr>
          <w:color w:val="333333"/>
          <w:sz w:val="19"/>
          <w:szCs w:val="19"/>
        </w:rPr>
        <w:t xml:space="preserve">Integrated real estate leader with 10+ years and $2B+ in cumulative project capitalization, owning programs from the first site conversation through the occupied building. Reads the regulatory landscape, structures the capital, wins the approvals, and delivers the asset — then carries the program with equal command into a boardroom, a planning commission, or a room full of residents. Has held every seat in the process — analyst, project manager, owner’s representative, COO, and principal — and coordinates cross-functional partners fluently, having led each of their functions directly. A practicing LEED AP Neighborhood Development professional (one of ~438 nationally) who treats sustainability as a working framework, not a talking point. Available for 100% travel and relocation, including Cupertino, CA.</w:t>
      </w:r>
    </w:p>
    <w:p>
      <w:pPr>
        <w:pBdr>
          <w:bottom w:val="single" w:color="C7C7CC" w:sz="6" w:space="3"/>
        </w:pBdr>
        <w:spacing w:after="80" w:before="220"/>
      </w:pPr>
      <w:r>
        <w:rPr>
          <w:b/>
          <w:bCs/>
          <w:color w:val="1D1D1F"/>
          <w:spacing w:val="30"/>
          <w:sz w:val="21"/>
          <w:szCs w:val="21"/>
        </w:rPr>
        <w:t xml:space="preserve">SELECTED HIGHLIGHTS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Turned stalled, distressed assets into fully entitled, income-producing developments valued at $100M+, winning two unanimous municipal approvals with full Section 8 compliance.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Served as owner’s representative across $1.4B+ in combined capitalization — structured a $47M bridge (70% LTV), created ~$5M in value, and drove a $60M permanent refinancing (80% LTV) from term sheet to close.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Directed $250M+ in capital programs built on modular and industrialized construction, with delivery models that cut timelines up to 70% and costs up to 50%.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Built citywide LEED ND planning frameworks for Fort Lauderdale and neighboring cities — a scoring standard that aligns municipal departments and makes public benefit measurable, defensible, and financeable.</w:t>
      </w:r>
    </w:p>
    <w:p>
      <w:pPr>
        <w:pBdr>
          <w:bottom w:val="single" w:color="C7C7CC" w:sz="6" w:space="3"/>
        </w:pBdr>
        <w:spacing w:after="80" w:before="220"/>
      </w:pPr>
      <w:r>
        <w:rPr>
          <w:b/>
          <w:bCs/>
          <w:color w:val="1D1D1F"/>
          <w:spacing w:val="30"/>
          <w:sz w:val="21"/>
          <w:szCs w:val="21"/>
        </w:rPr>
        <w:t xml:space="preserve">AREAS OF EXPERTISE</w:t>
      </w:r>
    </w:p>
    <w:p>
      <w:pPr>
        <w:spacing w:after="34" w:line="248"/>
        <w:ind w:left="230" w:hanging="230"/>
      </w:pPr>
      <w:r>
        <w:rPr>
          <w:b/>
          <w:bCs/>
          <w:color w:val="1D1D1F"/>
          <w:sz w:val="19"/>
          <w:szCs w:val="19"/>
        </w:rPr>
        <w:t xml:space="preserve">Entitlements &amp; Regulatory Strategy   </w:t>
      </w:r>
      <w:r>
        <w:rPr>
          <w:color w:val="333333"/>
          <w:sz w:val="19"/>
          <w:szCs w:val="19"/>
        </w:rPr>
        <w:t xml:space="preserve">Zoning, variances &amp; comprehensive-plan alignment · stage-gate approvals &amp; project-approval governance · Live Local Act density structuring · FEMA floodplain &amp; coastal-resilience underwriting · Section 8 compliance · LEED ND scoring standards.</w:t>
      </w:r>
    </w:p>
    <w:p>
      <w:pPr>
        <w:spacing w:after="34" w:line="248"/>
        <w:ind w:left="230" w:hanging="230"/>
      </w:pPr>
      <w:r>
        <w:rPr>
          <w:b/>
          <w:bCs/>
          <w:color w:val="1D1D1F"/>
          <w:sz w:val="19"/>
          <w:szCs w:val="19"/>
        </w:rPr>
        <w:t xml:space="preserve">Program &amp; Portfolio Leadership   </w:t>
      </w:r>
      <w:r>
        <w:rPr>
          <w:color w:val="333333"/>
          <w:sz w:val="19"/>
          <w:szCs w:val="19"/>
        </w:rPr>
        <w:t xml:space="preserve">Site-to-occupancy program ownership · capital planning &amp; multi-year development roadmaps · concurrent multi-asset portfolios · owner’s representation · cross-functional coordination across parties who don’t report to you.</w:t>
      </w:r>
    </w:p>
    <w:p>
      <w:pPr>
        <w:spacing w:after="34" w:line="248"/>
        <w:ind w:left="230" w:hanging="230"/>
      </w:pPr>
      <w:r>
        <w:rPr>
          <w:b/>
          <w:bCs/>
          <w:color w:val="1D1D1F"/>
          <w:sz w:val="19"/>
          <w:szCs w:val="19"/>
        </w:rPr>
        <w:t xml:space="preserve">Capital &amp; Transactions   </w:t>
      </w:r>
      <w:r>
        <w:rPr>
          <w:color w:val="333333"/>
          <w:sz w:val="19"/>
          <w:szCs w:val="19"/>
        </w:rPr>
        <w:t xml:space="preserve">Institutional &amp; private capital structuring · debt, bridge &amp; permanent financing · JVs &amp; private placements · acquisitions, dispositions &amp; off-market assemblage · valuation &amp; market strategy.</w:t>
      </w:r>
    </w:p>
    <w:p>
      <w:pPr>
        <w:spacing w:after="34" w:line="248"/>
        <w:ind w:left="230" w:hanging="230"/>
      </w:pPr>
      <w:r>
        <w:rPr>
          <w:b/>
          <w:bCs/>
          <w:color w:val="1D1D1F"/>
          <w:sz w:val="19"/>
          <w:szCs w:val="19"/>
        </w:rPr>
        <w:t xml:space="preserve">Delivery &amp; Construction   </w:t>
      </w:r>
      <w:r>
        <w:rPr>
          <w:color w:val="333333"/>
          <w:sz w:val="19"/>
          <w:szCs w:val="19"/>
        </w:rPr>
        <w:t xml:space="preserve">Modular / industrialized construction · GC and design-team management · construction documentation (RFIs, submittals, change orders) · budget &amp; schedule control.</w:t>
      </w:r>
    </w:p>
    <w:p>
      <w:pPr>
        <w:spacing w:after="34" w:line="248"/>
        <w:ind w:left="230" w:hanging="230"/>
      </w:pPr>
      <w:r>
        <w:rPr>
          <w:b/>
          <w:bCs/>
          <w:color w:val="1D1D1F"/>
          <w:sz w:val="19"/>
          <w:szCs w:val="19"/>
        </w:rPr>
        <w:t xml:space="preserve">Sustainability &amp; Civic   </w:t>
      </w:r>
      <w:r>
        <w:rPr>
          <w:color w:val="333333"/>
          <w:sz w:val="19"/>
          <w:szCs w:val="19"/>
        </w:rPr>
        <w:t xml:space="preserve">LEED AP Neighborhood Development · municipal advisory &amp; public-benefit frameworks · commission, community &amp; stakeholder engagement · registered municipal lobbyist.</w:t>
      </w:r>
    </w:p>
    <w:p>
      <w:pPr>
        <w:pBdr>
          <w:bottom w:val="single" w:color="C7C7CC" w:sz="6" w:space="3"/>
        </w:pBdr>
        <w:spacing w:after="80" w:before="220"/>
      </w:pPr>
      <w:r>
        <w:rPr>
          <w:b/>
          <w:bCs/>
          <w:color w:val="1D1D1F"/>
          <w:spacing w:val="30"/>
          <w:sz w:val="21"/>
          <w:szCs w:val="21"/>
        </w:rPr>
        <w:t xml:space="preserve">EXPERIENCE</w:t>
      </w:r>
    </w:p>
    <w:p>
      <w:pPr>
        <w:tabs>
          <w:tab w:val="right" w:pos="10368"/>
        </w:tabs>
        <w:spacing w:after="6" w:before="140"/>
      </w:pPr>
      <w:r>
        <w:rPr>
          <w:b/>
          <w:bCs/>
          <w:color w:val="1D1D1F"/>
          <w:sz w:val="20"/>
          <w:szCs w:val="20"/>
        </w:rPr>
        <w:t xml:space="preserve">Principal — Real Estate Development, Underwriting &amp; Municipal Advisory</w:t>
      </w:r>
      <w:r>
        <w:rPr>
          <w:color w:val="6E6E73"/>
          <w:sz w:val="18"/>
          <w:szCs w:val="18"/>
        </w:rPr>
        <w:t xml:space="preserve">	2025 – Present</w:t>
      </w:r>
    </w:p>
    <w:p>
      <w:pPr>
        <w:spacing w:after="38"/>
      </w:pPr>
      <w:r>
        <w:rPr>
          <w:i/>
          <w:iCs/>
          <w:color w:val="6E6E73"/>
          <w:sz w:val="19"/>
          <w:szCs w:val="19"/>
        </w:rPr>
        <w:t xml:space="preserve">DAWN RE Enterprises Corp — Fort Lauderdale, FL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Runs a real estate development, underwriting, and municipal-advisory platform — evaluating acquisitions, feasibility, and risk to guide capital allocation, backed by institutional-grade underwriting and reporting frameworks.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Advises municipal leaders on land use and development strategy; built citywide LEED ND v4 frameworks for Fort Lauderdale (engaging the Mayor’s office, staff, and commissioners) and readiness and planning frameworks for Boca Raton, Deerfield Beach, and Middle River Terrace.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Directs off-market site and assemblage strategy across South Florida corridors (A1A/Sunrise, Galleria, Gateway, Victoria Park, SE 17th Street), entitling against Live Local Act density levers and FEMA floodplain and coastal-resilience constraints.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Set investment strategy that flagged Class A and waterfront assets trading 40–60% below comparable value; priced 1400 W Lake Drive accurately enough to carry the transaction.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Co-founded Urban Core Building Systems, a factory-direct modular platform delivering buildings faster and at lower cost through founder-level manufacturer relationships. Registered Fort Lauderdale lobbyist and City Sustainability Advisory Board appointee.</w:t>
      </w:r>
    </w:p>
    <w:p>
      <w:pPr>
        <w:tabs>
          <w:tab w:val="right" w:pos="10368"/>
        </w:tabs>
        <w:spacing w:after="6" w:before="140"/>
      </w:pPr>
      <w:r>
        <w:rPr>
          <w:b/>
          <w:bCs/>
          <w:color w:val="1D1D1F"/>
          <w:sz w:val="20"/>
          <w:szCs w:val="20"/>
        </w:rPr>
        <w:t xml:space="preserve">Development Consultant — Capital Programs &amp; Industrialized Construction</w:t>
      </w:r>
      <w:r>
        <w:rPr>
          <w:color w:val="6E6E73"/>
          <w:sz w:val="18"/>
          <w:szCs w:val="18"/>
        </w:rPr>
        <w:t xml:space="preserve">	2022 – 2025</w:t>
      </w:r>
    </w:p>
    <w:p>
      <w:pPr>
        <w:spacing w:after="38"/>
      </w:pPr>
      <w:r>
        <w:rPr>
          <w:i/>
          <w:iCs/>
          <w:color w:val="6E6E73"/>
          <w:sz w:val="19"/>
          <w:szCs w:val="19"/>
        </w:rPr>
        <w:t xml:space="preserve">Friedman Equities — FL, NY, CT, CA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Directed $250M+ capital programs integrating modular, AI-driven design, and industrialized construction, moving initiatives from concept through delivery.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Delivery models reduced construction timelines by up to 70% and costs by up to 50% while advancing sustainability goals.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Led investor relations, private placements, budgets, and negotiations across manufacturers, municipalities, and institutional stakeholders.</w:t>
      </w:r>
    </w:p>
    <w:p>
      <w:pPr>
        <w:tabs>
          <w:tab w:val="right" w:pos="10368"/>
        </w:tabs>
        <w:spacing w:after="6" w:before="140"/>
      </w:pPr>
      <w:r>
        <w:rPr>
          <w:b/>
          <w:bCs/>
          <w:color w:val="1D1D1F"/>
          <w:sz w:val="20"/>
          <w:szCs w:val="20"/>
        </w:rPr>
        <w:t xml:space="preserve">Chief Operating Officer, Urban Core Division</w:t>
      </w:r>
      <w:r>
        <w:rPr>
          <w:color w:val="6E6E73"/>
          <w:sz w:val="18"/>
          <w:szCs w:val="18"/>
        </w:rPr>
        <w:t xml:space="preserve">	2022 – 2024</w:t>
      </w:r>
    </w:p>
    <w:p>
      <w:pPr>
        <w:spacing w:after="38"/>
      </w:pPr>
      <w:r>
        <w:rPr>
          <w:i/>
          <w:iCs/>
          <w:color w:val="6E6E73"/>
          <w:sz w:val="19"/>
          <w:szCs w:val="19"/>
        </w:rPr>
        <w:t xml:space="preserve">Colliers International — Miami, FL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Restructured the division to operational readiness and revenue within three months, standing up the team, reporting, and pipeline from a cold start.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Directed a commercial brokerage team and a $500M portfolio, contributing to ~$40M in closed transactions.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Owned portfolio-performance and pipeline reporting on a weekly review cadence that set prospecting and execution priorities; sourced with family offices, REITs, HNW investors, and development partners.</w:t>
      </w:r>
    </w:p>
    <w:p>
      <w:pPr>
        <w:tabs>
          <w:tab w:val="right" w:pos="10368"/>
        </w:tabs>
        <w:spacing w:after="6" w:before="140"/>
      </w:pPr>
      <w:r>
        <w:rPr>
          <w:b/>
          <w:bCs/>
          <w:color w:val="1D1D1F"/>
          <w:sz w:val="20"/>
          <w:szCs w:val="20"/>
        </w:rPr>
        <w:t xml:space="preserve">Development Consultant &amp; Owner's Representative ($1.4B+ combined)</w:t>
      </w:r>
      <w:r>
        <w:rPr>
          <w:color w:val="6E6E73"/>
          <w:sz w:val="18"/>
          <w:szCs w:val="18"/>
        </w:rPr>
        <w:t xml:space="preserve">	2021 – 2022</w:t>
      </w:r>
    </w:p>
    <w:p>
      <w:pPr>
        <w:spacing w:after="38"/>
      </w:pPr>
      <w:r>
        <w:rPr>
          <w:i/>
          <w:iCs/>
          <w:color w:val="6E6E73"/>
          <w:sz w:val="19"/>
          <w:szCs w:val="19"/>
        </w:rPr>
        <w:t xml:space="preserve">Winston Capital Partners / BAS Holdings / Redwood — South Florida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Single accountable lead for development, financing, and asset management across $1.4B+ in combined capitalization.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Structured a $47M bridge (70% LTV), created ~$5M in value, and drove a $60M permanent refinancing (80% LTV), managing execution from term sheet through closing and lender compliance.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Won two unanimous entitlement approvals with full Section 8 compliance, turning distressed, stalled assets into fully entitled, income-producing developments valued at $100M+.</w:t>
      </w:r>
    </w:p>
    <w:p>
      <w:pPr>
        <w:tabs>
          <w:tab w:val="right" w:pos="10368"/>
        </w:tabs>
        <w:spacing w:after="6" w:before="140"/>
      </w:pPr>
      <w:r>
        <w:rPr>
          <w:b/>
          <w:bCs/>
          <w:color w:val="1D1D1F"/>
          <w:sz w:val="20"/>
          <w:szCs w:val="20"/>
        </w:rPr>
        <w:t xml:space="preserve">Assistant Project Manager — Amazon Warehouse Buildout ($20M)</w:t>
      </w:r>
      <w:r>
        <w:rPr>
          <w:color w:val="6E6E73"/>
          <w:sz w:val="18"/>
          <w:szCs w:val="18"/>
        </w:rPr>
        <w:t xml:space="preserve">	2020 – 2021</w:t>
      </w:r>
    </w:p>
    <w:p>
      <w:pPr>
        <w:spacing w:after="38"/>
      </w:pPr>
      <w:r>
        <w:rPr>
          <w:i/>
          <w:iCs/>
          <w:color w:val="6E6E73"/>
          <w:sz w:val="19"/>
          <w:szCs w:val="19"/>
        </w:rPr>
        <w:t xml:space="preserve">Apolon Construction — Brooklyn, NY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Helped deliver a $20M Amazon warehouse interior buildout on time and under budget.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Owned construction documentation and stage-gate controls — RFIs, submittals, change orders, and progress tracking — keeping field, PM, subcontractor, and client communication aligned.</w:t>
      </w:r>
    </w:p>
    <w:p>
      <w:pPr>
        <w:tabs>
          <w:tab w:val="right" w:pos="10368"/>
        </w:tabs>
        <w:spacing w:after="6" w:before="140"/>
      </w:pPr>
      <w:r>
        <w:rPr>
          <w:b/>
          <w:bCs/>
          <w:color w:val="1D1D1F"/>
          <w:sz w:val="20"/>
          <w:szCs w:val="20"/>
        </w:rPr>
        <w:t xml:space="preserve">Development Analyst — $593M CA Redevelopment Portfolio</w:t>
      </w:r>
      <w:r>
        <w:rPr>
          <w:color w:val="6E6E73"/>
          <w:sz w:val="18"/>
          <w:szCs w:val="18"/>
        </w:rPr>
        <w:t xml:space="preserve">	2018 – 2020</w:t>
      </w:r>
    </w:p>
    <w:p>
      <w:pPr>
        <w:spacing w:after="38"/>
      </w:pPr>
      <w:r>
        <w:rPr>
          <w:i/>
          <w:iCs/>
          <w:color w:val="6E6E73"/>
          <w:sz w:val="19"/>
          <w:szCs w:val="19"/>
        </w:rPr>
        <w:t xml:space="preserve">Friedman Equities — California Redevelopment Portfolio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Coordinated three concurrent programs — Beverly Park ($287M), Rancho Mirage ($182M), and Palm Desert ($124M) — across entitlement, due diligence, documentation, and milestone tracking.</w:t>
      </w:r>
    </w:p>
    <w:p>
      <w:pPr>
        <w:tabs>
          <w:tab w:val="right" w:pos="10368"/>
        </w:tabs>
        <w:spacing w:after="6" w:before="140"/>
      </w:pPr>
      <w:r>
        <w:rPr>
          <w:b/>
          <w:bCs/>
          <w:color w:val="1D1D1F"/>
          <w:sz w:val="20"/>
          <w:szCs w:val="20"/>
        </w:rPr>
        <w:t xml:space="preserve">Real Estate &amp; Investment Sales</w:t>
      </w:r>
      <w:r>
        <w:rPr>
          <w:color w:val="6E6E73"/>
          <w:sz w:val="18"/>
          <w:szCs w:val="18"/>
        </w:rPr>
        <w:t xml:space="preserve">	2018 – 2020</w:t>
      </w:r>
    </w:p>
    <w:p>
      <w:pPr>
        <w:spacing w:after="38"/>
      </w:pPr>
      <w:r>
        <w:rPr>
          <w:i/>
          <w:iCs/>
          <w:color w:val="6E6E73"/>
          <w:sz w:val="19"/>
          <w:szCs w:val="19"/>
        </w:rPr>
        <w:t xml:space="preserve">Bond New York — New York, NY</w:t>
      </w:r>
    </w:p>
    <w:p>
      <w:pPr>
        <w:pStyle w:val="ListParagraph"/>
        <w:numPr>
          <w:ilvl w:val="0"/>
          <w:numId w:val="2"/>
        </w:numPr>
        <w:spacing w:after="38" w:line="248"/>
      </w:pPr>
      <w:r>
        <w:rPr>
          <w:color w:val="333333"/>
          <w:sz w:val="19"/>
          <w:szCs w:val="19"/>
        </w:rPr>
        <w:t xml:space="preserve">Closed ~$10M in investment sales and ~$300K in rentals through off-market sourcing, valuation, and negotiation to close.</w:t>
      </w:r>
    </w:p>
    <w:p>
      <w:pPr>
        <w:pBdr>
          <w:bottom w:val="single" w:color="C7C7CC" w:sz="6" w:space="3"/>
        </w:pBdr>
        <w:spacing w:after="80" w:before="220"/>
      </w:pPr>
      <w:r>
        <w:rPr>
          <w:b/>
          <w:bCs/>
          <w:color w:val="1D1D1F"/>
          <w:spacing w:val="30"/>
          <w:sz w:val="21"/>
          <w:szCs w:val="21"/>
        </w:rPr>
        <w:t xml:space="preserve">TOOLS &amp; PLATFORMS</w:t>
      </w:r>
    </w:p>
    <w:p>
      <w:pPr>
        <w:spacing w:after="20" w:line="256"/>
      </w:pPr>
      <w:r>
        <w:rPr>
          <w:color w:val="333333"/>
          <w:sz w:val="19"/>
          <w:szCs w:val="19"/>
        </w:rPr>
        <w:t xml:space="preserve">Keynote  ·  Numbers  ·  Microsoft Excel  ·  CoStar &amp; real estate data platforms  ·  GIS / spatial analysis  ·  MS Project &amp; Primavera P6  ·  Jira, Asana &amp; Smartsheet  ·  Procore &amp; Bluebeam  ·  AI-driven design &amp; analytics tools</w:t>
      </w:r>
    </w:p>
    <w:p>
      <w:pPr>
        <w:pBdr>
          <w:bottom w:val="single" w:color="C7C7CC" w:sz="6" w:space="3"/>
        </w:pBdr>
        <w:spacing w:after="80" w:before="220"/>
      </w:pPr>
      <w:r>
        <w:rPr>
          <w:b/>
          <w:bCs/>
          <w:color w:val="1D1D1F"/>
          <w:spacing w:val="30"/>
          <w:sz w:val="21"/>
          <w:szCs w:val="21"/>
        </w:rPr>
        <w:t xml:space="preserve">EDUCATION</w:t>
      </w:r>
    </w:p>
    <w:p>
      <w:pPr>
        <w:spacing w:after="28"/>
      </w:pPr>
      <w:r>
        <w:rPr>
          <w:b/>
          <w:bCs/>
          <w:color w:val="1D1D1F"/>
          <w:sz w:val="19"/>
          <w:szCs w:val="19"/>
        </w:rPr>
        <w:t xml:space="preserve">B.A., Biological Sciences &amp; Secondary Science Education</w:t>
      </w:r>
      <w:r>
        <w:rPr>
          <w:color w:val="333333"/>
          <w:sz w:val="19"/>
          <w:szCs w:val="19"/>
        </w:rPr>
        <w:t xml:space="preserve">  —  Brooklyn College, City University of New York</w:t>
      </w:r>
    </w:p>
    <w:p>
      <w:pPr>
        <w:spacing w:after="28"/>
      </w:pPr>
      <w:r>
        <w:rPr>
          <w:b/>
          <w:bCs/>
          <w:color w:val="1D1D1F"/>
          <w:sz w:val="19"/>
          <w:szCs w:val="19"/>
        </w:rPr>
        <w:t xml:space="preserve">Executive Education — Integrated Project Management</w:t>
      </w:r>
      <w:r>
        <w:rPr>
          <w:color w:val="333333"/>
          <w:sz w:val="19"/>
          <w:szCs w:val="19"/>
        </w:rPr>
        <w:t xml:space="preserve">  —  Harvard Graduate School of Design (2021)</w:t>
      </w:r>
    </w:p>
    <w:p>
      <w:pPr>
        <w:pBdr>
          <w:bottom w:val="single" w:color="C7C7CC" w:sz="6" w:space="3"/>
        </w:pBdr>
        <w:spacing w:after="80" w:before="220"/>
      </w:pPr>
      <w:r>
        <w:rPr>
          <w:b/>
          <w:bCs/>
          <w:color w:val="1D1D1F"/>
          <w:spacing w:val="30"/>
          <w:sz w:val="21"/>
          <w:szCs w:val="21"/>
        </w:rPr>
        <w:t xml:space="preserve">CERTIFICATIONS &amp; LICENSES</w:t>
      </w:r>
    </w:p>
    <w:p>
      <w:pPr>
        <w:spacing w:after="34" w:line="248"/>
        <w:ind w:left="230" w:hanging="230"/>
      </w:pPr>
      <w:r>
        <w:rPr>
          <w:b/>
          <w:bCs/>
          <w:color w:val="1D1D1F"/>
          <w:sz w:val="19"/>
          <w:szCs w:val="19"/>
        </w:rPr>
        <w:t xml:space="preserve">Sustainability   </w:t>
      </w:r>
      <w:r>
        <w:rPr>
          <w:color w:val="333333"/>
          <w:sz w:val="19"/>
          <w:szCs w:val="19"/>
        </w:rPr>
        <w:t xml:space="preserve">LEED AP Neighborhood Development (2024) — one of ~438 holders nationally · LEED Green Associate (2021).</w:t>
      </w:r>
    </w:p>
    <w:p>
      <w:pPr>
        <w:spacing w:after="34" w:line="248"/>
        <w:ind w:left="230" w:hanging="230"/>
      </w:pPr>
      <w:r>
        <w:rPr>
          <w:b/>
          <w:bCs/>
          <w:color w:val="1D1D1F"/>
          <w:sz w:val="19"/>
          <w:szCs w:val="19"/>
        </w:rPr>
        <w:t xml:space="preserve">Program Management   </w:t>
      </w:r>
      <w:r>
        <w:rPr>
          <w:color w:val="333333"/>
          <w:sz w:val="19"/>
          <w:szCs w:val="19"/>
        </w:rPr>
        <w:t xml:space="preserve">Certified ScrumMaster (2020) · OSHA 62-Hour Construction Site Supervisor (2021).</w:t>
      </w:r>
    </w:p>
    <w:p>
      <w:pPr>
        <w:spacing w:after="34" w:line="248"/>
        <w:ind w:left="230" w:hanging="230"/>
      </w:pPr>
      <w:r>
        <w:rPr>
          <w:b/>
          <w:bCs/>
          <w:color w:val="1D1D1F"/>
          <w:sz w:val="19"/>
          <w:szCs w:val="19"/>
        </w:rPr>
        <w:t xml:space="preserve">Finance &amp; Securities   </w:t>
      </w:r>
      <w:r>
        <w:rPr>
          <w:color w:val="333333"/>
          <w:sz w:val="19"/>
          <w:szCs w:val="19"/>
        </w:rPr>
        <w:t xml:space="preserve">FINRA Series 66 (2024) &amp; SIE (2023) · A.CRE Financial Modeling Accelerator (2025).</w:t>
      </w:r>
    </w:p>
    <w:p>
      <w:pPr>
        <w:spacing w:after="34" w:line="248"/>
        <w:ind w:left="230" w:hanging="230"/>
      </w:pPr>
      <w:r>
        <w:rPr>
          <w:b/>
          <w:bCs/>
          <w:color w:val="1D1D1F"/>
          <w:sz w:val="19"/>
          <w:szCs w:val="19"/>
        </w:rPr>
        <w:t xml:space="preserve">Real Estate Licenses   </w:t>
      </w:r>
      <w:r>
        <w:rPr>
          <w:color w:val="333333"/>
          <w:sz w:val="19"/>
          <w:szCs w:val="19"/>
        </w:rPr>
        <w:t xml:space="preserve">Broker — Florida (2021) &amp; New York (2023) · California Associate (2022) · NY Salesperson (2017) · Florida Notary (2021).</w:t>
      </w:r>
    </w:p>
    <w:sectPr>
      <w:pgSz w:w="12240" w:h="15840" w:orient="portrait"/>
      <w:pgMar w:top="936" w:right="936" w:bottom="936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color w:val="0071E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Aida Nesimi — Resume</dc:title>
  <dc:creator>Aida Nesimi</dc:creator>
  <cp:lastModifiedBy>Un-named</cp:lastModifiedBy>
  <cp:revision>1</cp:revision>
  <dcterms:created xsi:type="dcterms:W3CDTF">2026-07-27T20:20:14.278Z</dcterms:created>
  <dcterms:modified xsi:type="dcterms:W3CDTF">2026-07-27T20:20:14.297Z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