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D1D1F"/>
          <w:spacing w:val="20"/>
          <w:sz w:val="40"/>
          <w:szCs w:val="40"/>
        </w:rPr>
        <w:t xml:space="preserve">AIDA NESIMI</w:t>
      </w:r>
    </w:p>
    <w:p>
      <w:pPr>
        <w:spacing w:after="20"/>
      </w:pPr>
      <w:r>
        <w:rPr>
          <w:b/>
          <w:bCs/>
          <w:color w:val="0071E3"/>
          <w:sz w:val="21"/>
          <w:szCs w:val="21"/>
        </w:rPr>
        <w:t xml:space="preserve">Real Estate Strategy, Portfolio Planning &amp; Capital Programs</w:t>
      </w:r>
    </w:p>
    <w:p>
      <w:pPr>
        <w:spacing w:after="60"/>
      </w:pPr>
      <w:r>
        <w:rPr>
          <w:color w:val="6E6E73"/>
          <w:sz w:val="18"/>
          <w:szCs w:val="18"/>
        </w:rPr>
        <w:t xml:space="preserve">Global Retail Real Estate  |  Portfolio Operations  ·  Capital Allocation  ·  Stage-Gate Governance  ·  Executive Reporting</w:t>
      </w:r>
    </w:p>
    <w:p>
      <w:pPr>
        <w:pBdr>
          <w:bottom w:val="single" w:color="C7C7CC" w:sz="6" w:space="4"/>
        </w:pBdr>
        <w:spacing w:after="60"/>
      </w:pPr>
      <w:r>
        <w:rPr>
          <w:color w:val="333333"/>
          <w:sz w:val="18"/>
          <w:szCs w:val="18"/>
        </w:rPr>
        <w:t xml:space="preserve">Fort Lauderdale, FL  ·  New York, NY   |   aidanesimire@gmail.com   |   (954) 955-2298   |   Open to 100% Travel &amp; Relocation (incl. Cupertino, CA)</w:t>
      </w:r>
    </w:p>
    <w:p>
      <w:pPr>
        <w:pBdr>
          <w:bottom w:val="single" w:color="C7C7CC" w:sz="6" w:space="3"/>
        </w:pBdr>
        <w:spacing w:after="90" w:before="240"/>
      </w:pPr>
      <w:r>
        <w:rPr>
          <w:b/>
          <w:bCs/>
          <w:color w:val="1D1D1F"/>
          <w:spacing w:val="30"/>
          <w:sz w:val="21"/>
          <w:szCs w:val="21"/>
        </w:rPr>
        <w:t xml:space="preserve">KEY FACTS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color w:val="1D1D1F"/>
          <w:sz w:val="19"/>
          <w:szCs w:val="19"/>
        </w:rPr>
        <w:t xml:space="preserve">Experience:  </w:t>
      </w:r>
      <w:r>
        <w:rPr>
          <w:color w:val="333333"/>
          <w:sz w:val="19"/>
          <w:szCs w:val="19"/>
        </w:rPr>
        <w:t xml:space="preserve">10+ years across real estate, strategy, finance, and program management, representing $2B+ in cumulative project capitalization.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color w:val="1D1D1F"/>
          <w:sz w:val="19"/>
          <w:szCs w:val="19"/>
        </w:rPr>
        <w:t xml:space="preserve">Strategic Partner:  </w:t>
      </w:r>
      <w:r>
        <w:rPr>
          <w:color w:val="333333"/>
          <w:sz w:val="19"/>
          <w:szCs w:val="19"/>
        </w:rPr>
        <w:t xml:space="preserve">Senior operational/strategic partner to executive leaders and public &amp; private stakeholders; owns planning infrastructure, analytical frameworks, and cross-functional coordination.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color w:val="1D1D1F"/>
          <w:sz w:val="19"/>
          <w:szCs w:val="19"/>
        </w:rPr>
        <w:t xml:space="preserve">Analytical Frameworks:  </w:t>
      </w:r>
      <w:r>
        <w:rPr>
          <w:color w:val="333333"/>
          <w:sz w:val="19"/>
          <w:szCs w:val="19"/>
        </w:rPr>
        <w:t xml:space="preserve">Builds reporting and underwriting frameworks that synthesize complex portfolio, pipeline, and market data into executive-ready outputs for QBRs and senior leadership.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color w:val="1D1D1F"/>
          <w:sz w:val="19"/>
          <w:szCs w:val="19"/>
        </w:rPr>
        <w:t xml:space="preserve">Planning Cycles:  </w:t>
      </w:r>
      <w:r>
        <w:rPr>
          <w:color w:val="333333"/>
          <w:sz w:val="19"/>
          <w:szCs w:val="19"/>
        </w:rPr>
        <w:t xml:space="preserve">Leads capital allocation, portfolio/fleet reviews, project approval (stage-gate) governance, and multi-year strategic roadmaps across distributed global teams.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color w:val="1D1D1F"/>
          <w:sz w:val="19"/>
          <w:szCs w:val="19"/>
        </w:rPr>
        <w:t xml:space="preserve">Availability:  </w:t>
      </w:r>
      <w:r>
        <w:rPr>
          <w:color w:val="333333"/>
          <w:sz w:val="19"/>
          <w:szCs w:val="19"/>
        </w:rPr>
        <w:t xml:space="preserve">Fully mobile — available for 100% domestic &amp; international travel and immediate relocation.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color w:val="1D1D1F"/>
          <w:sz w:val="19"/>
          <w:szCs w:val="19"/>
        </w:rPr>
        <w:t xml:space="preserve">Education:  </w:t>
      </w:r>
      <w:r>
        <w:rPr>
          <w:color w:val="333333"/>
          <w:sz w:val="19"/>
          <w:szCs w:val="19"/>
        </w:rPr>
        <w:t xml:space="preserve">Bachelor's degree + Harvard GSD Executive Education; LEED AP ND; A.CRE Financial Modeling; Certified ScrumMaster.</w:t>
      </w:r>
    </w:p>
    <w:p>
      <w:pPr>
        <w:pBdr>
          <w:bottom w:val="single" w:color="C7C7CC" w:sz="6" w:space="3"/>
        </w:pBdr>
        <w:spacing w:after="90" w:before="240"/>
      </w:pPr>
      <w:r>
        <w:rPr>
          <w:b/>
          <w:bCs/>
          <w:color w:val="1D1D1F"/>
          <w:spacing w:val="30"/>
          <w:sz w:val="21"/>
          <w:szCs w:val="21"/>
        </w:rPr>
        <w:t xml:space="preserve">PROFESSIONAL SUMMARY</w:t>
      </w:r>
    </w:p>
    <w:p>
      <w:pPr>
        <w:spacing w:after="40" w:line="258"/>
      </w:pPr>
      <w:r>
        <w:rPr>
          <w:color w:val="333333"/>
          <w:sz w:val="19"/>
          <w:szCs w:val="19"/>
        </w:rPr>
        <w:t xml:space="preserve">Real estate and development executive with 10+ years spanning real estate strategy, finance, program management, and capital programs, representing more than $2 billion in cumulative project capitalization. Serve as a senior operational and strategic partner to executive leaders — owning the planning infrastructure, analytical frameworks, and cross-functional coordination that allow teams to operate with clarity, speed, and alignment. Build and maintain reporting frameworks that translate complex portfolio, pipeline, and program data into executive-ready outputs for quarterly business reviews and senior leadership. Deep experience across the full planning lifecycle — capital allocation, portfolio and fleet reviews, project approval governance (stage-gate / Gate Packs), and five-year strategic roadmaps — coordinating across finance, operations, and global real estate partners in matrixed, distributed environments. Known for sharp analytical instincts, exceptional organizational fluency, and executive-grade written, verbal, and presentation communication. Available for 100% travel and relocation.</w:t>
      </w:r>
    </w:p>
    <w:p>
      <w:pPr>
        <w:pBdr>
          <w:bottom w:val="single" w:color="C7C7CC" w:sz="6" w:space="3"/>
        </w:pBdr>
        <w:spacing w:after="90" w:before="240"/>
      </w:pPr>
      <w:r>
        <w:rPr>
          <w:b/>
          <w:bCs/>
          <w:color w:val="1D1D1F"/>
          <w:spacing w:val="30"/>
          <w:sz w:val="21"/>
          <w:szCs w:val="21"/>
        </w:rPr>
        <w:t xml:space="preserve">CORE COMPETENCIES</w:t>
      </w:r>
    </w:p>
    <w:p>
      <w:pPr>
        <w:spacing w:after="20" w:line="260"/>
      </w:pPr>
      <w:r>
        <w:rPr>
          <w:color w:val="333333"/>
          <w:sz w:val="19"/>
          <w:szCs w:val="19"/>
        </w:rPr>
        <w:t xml:space="preserve">Global Retail Real Estate Strategy  ·  Portfolio &amp; Fleet Management  ·  Capital Allocation &amp; Capital Planning  ·  Portfolio Performance Reporting &amp; KPIs  ·  Project Pipeline Management  ·  Five-Year Strategic Roadmaps  ·  Stage-Gate / Project Approval Governance (Gate Packs)  ·  Cross-Functional Program Management  ·  Executive Reporting &amp; QBR Materials  ·  Financial Modeling &amp; Investment Underwriting  ·  Data Synthesis &amp; Analytical Frameworks  ·  Entitlements &amp; Regulatory Approvals  ·  Site Selection &amp; Market Analysis  ·  Stakeholder &amp; Investor Relations  ·  Contract &amp; Deal Negotiation  ·  Matrixed, Distributed Global Team Coordination</w:t>
      </w:r>
    </w:p>
    <w:p>
      <w:pPr>
        <w:pBdr>
          <w:bottom w:val="single" w:color="C7C7CC" w:sz="6" w:space="3"/>
        </w:pBdr>
        <w:spacing w:after="90" w:before="240"/>
      </w:pPr>
      <w:r>
        <w:rPr>
          <w:b/>
          <w:bCs/>
          <w:color w:val="1D1D1F"/>
          <w:spacing w:val="30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color w:val="1D1D1F"/>
          <w:sz w:val="19"/>
          <w:szCs w:val="19"/>
        </w:rPr>
        <w:t xml:space="preserve">Analytics &amp; Modeling:  </w:t>
      </w:r>
      <w:r>
        <w:rPr>
          <w:color w:val="333333"/>
          <w:sz w:val="19"/>
          <w:szCs w:val="19"/>
        </w:rPr>
        <w:t xml:space="preserve">Advanced Microsoft Excel (DCF, waterfalls, sensitivity analysis, pro formas), Numbers; financial &amp; investment underwriting models; KPI and portfolio reporting frameworks.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color w:val="1D1D1F"/>
          <w:sz w:val="19"/>
          <w:szCs w:val="19"/>
        </w:rPr>
        <w:t xml:space="preserve">Real Estate Data &amp; Spatial:  </w:t>
      </w:r>
      <w:r>
        <w:rPr>
          <w:color w:val="333333"/>
          <w:sz w:val="19"/>
          <w:szCs w:val="19"/>
        </w:rPr>
        <w:t xml:space="preserve">CoStar and real estate data platforms; GIS / spatial analysis for site selection and portfolio mapping.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color w:val="1D1D1F"/>
          <w:sz w:val="19"/>
          <w:szCs w:val="19"/>
        </w:rPr>
        <w:t xml:space="preserve">Presentation &amp; Executive Docs:  </w:t>
      </w:r>
      <w:r>
        <w:rPr>
          <w:color w:val="333333"/>
          <w:sz w:val="19"/>
          <w:szCs w:val="19"/>
        </w:rPr>
        <w:t xml:space="preserve">Keynote, Numbers, Microsoft Excel / Word / PowerPoint — executive-ready QBR and leadership materials.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color w:val="1D1D1F"/>
          <w:sz w:val="19"/>
          <w:szCs w:val="19"/>
        </w:rPr>
        <w:t xml:space="preserve">Program &amp; Project Management:  </w:t>
      </w:r>
      <w:r>
        <w:rPr>
          <w:color w:val="333333"/>
          <w:sz w:val="19"/>
          <w:szCs w:val="19"/>
        </w:rPr>
        <w:t xml:space="preserve">MS Project, Primavera P6, Jira, Asana, Smartsheet; stage-gate governance and cross-functional dependency tracking.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color w:val="1D1D1F"/>
          <w:sz w:val="19"/>
          <w:szCs w:val="19"/>
        </w:rPr>
        <w:t xml:space="preserve">Construction Technology:  </w:t>
      </w:r>
      <w:r>
        <w:rPr>
          <w:color w:val="333333"/>
          <w:sz w:val="19"/>
          <w:szCs w:val="19"/>
        </w:rPr>
        <w:t xml:space="preserve">Procore, Bluebeam; RFIs, submittals, change orders, and progress tracking.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color w:val="1D1D1F"/>
          <w:sz w:val="19"/>
          <w:szCs w:val="19"/>
        </w:rPr>
        <w:t xml:space="preserve">Emerging Tech:  </w:t>
      </w:r>
      <w:r>
        <w:rPr>
          <w:color w:val="333333"/>
          <w:sz w:val="19"/>
          <w:szCs w:val="19"/>
        </w:rPr>
        <w:t xml:space="preserve">AI-driven design and analytics tools applied to development and delivery.</w:t>
      </w:r>
    </w:p>
    <w:p>
      <w:pPr>
        <w:pBdr>
          <w:bottom w:val="single" w:color="C7C7CC" w:sz="6" w:space="3"/>
        </w:pBdr>
        <w:spacing w:after="90" w:before="240"/>
      </w:pPr>
      <w:r>
        <w:rPr>
          <w:b/>
          <w:bCs/>
          <w:color w:val="1D1D1F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224"/>
        </w:tabs>
        <w:spacing w:after="8" w:before="150"/>
      </w:pPr>
      <w:r>
        <w:rPr>
          <w:b/>
          <w:bCs/>
          <w:color w:val="1D1D1F"/>
          <w:sz w:val="20"/>
          <w:szCs w:val="20"/>
        </w:rPr>
        <w:t xml:space="preserve">Principal — Real Estate Strategy, Underwriting &amp; Municipal Advisory</w:t>
      </w:r>
      <w:r>
        <w:rPr>
          <w:color w:val="6E6E73"/>
          <w:sz w:val="18"/>
          <w:szCs w:val="18"/>
        </w:rPr>
        <w:t xml:space="preserve">	2025 – Present</w:t>
      </w:r>
    </w:p>
    <w:p>
      <w:pPr>
        <w:spacing w:after="40"/>
      </w:pPr>
      <w:r>
        <w:rPr>
          <w:i/>
          <w:iCs/>
          <w:color w:val="6E6E73"/>
          <w:sz w:val="19"/>
          <w:szCs w:val="19"/>
        </w:rPr>
        <w:t xml:space="preserve">DAWN RE Enterprises Corp — Fort Lauderdale, FL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Lead a real estate underwriting and advisory platform, evaluating acquisitions, feasibility, and investment risk to inform capital allocation and long-term portfolio growth.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Build data-driven underwriting and reporting frameworks that synthesize market, valuation, and portfolio data into executive-ready recommendations — models identified Class A and waterfront assets trading 40–60% below comparable market values.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Priced and validated high-value opportunities (e.g., 1400 W Lake Drive), accurately projecting market value to support a successful transaction.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Advise municipal leaders and public-sector stakeholders on land-use, infrastructure, and development strategy, presenting recommendations that accelerate delivery and improve efficiency.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Structure institutional and private capital relationships, aligning development strategy with financial performance and long-term investment objectives.</w:t>
      </w:r>
    </w:p>
    <w:p>
      <w:pPr>
        <w:tabs>
          <w:tab w:val="right" w:pos="10224"/>
        </w:tabs>
        <w:spacing w:after="8" w:before="150"/>
      </w:pPr>
      <w:r>
        <w:rPr>
          <w:b/>
          <w:bCs/>
          <w:color w:val="1D1D1F"/>
          <w:sz w:val="20"/>
          <w:szCs w:val="20"/>
        </w:rPr>
        <w:t xml:space="preserve">Development Consultant — Capital Programs &amp; Industrialized Construction ($250M+)</w:t>
      </w:r>
      <w:r>
        <w:rPr>
          <w:color w:val="6E6E73"/>
          <w:sz w:val="18"/>
          <w:szCs w:val="18"/>
        </w:rPr>
        <w:t xml:space="preserve">	2022 – 2025</w:t>
      </w:r>
    </w:p>
    <w:p>
      <w:pPr>
        <w:spacing w:after="40"/>
      </w:pPr>
      <w:r>
        <w:rPr>
          <w:i/>
          <w:iCs/>
          <w:color w:val="6E6E73"/>
          <w:sz w:val="19"/>
          <w:szCs w:val="19"/>
        </w:rPr>
        <w:t xml:space="preserve">Friedman Equities — FL, NY, CT, CA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Directed strategy for $250M+ capital programs, integrating modular construction, AI-driven design, and industrialized building technologies.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Developed delivery models that reduced construction timelines by up to 70% and project costs by up to 50% while advancing ESG objectives.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Coordinated cross-functional work streams across manufacturers, municipalities, and institutional partners to keep interdependent programs aligned and on schedule.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Led investor relations, fundraising, and private placements to capitalize large-scale programs; managed budgets, financial models, and contract negotiations.</w:t>
      </w:r>
    </w:p>
    <w:p>
      <w:pPr>
        <w:tabs>
          <w:tab w:val="right" w:pos="10224"/>
        </w:tabs>
        <w:spacing w:after="8" w:before="150"/>
      </w:pPr>
      <w:r>
        <w:rPr>
          <w:b/>
          <w:bCs/>
          <w:color w:val="1D1D1F"/>
          <w:sz w:val="20"/>
          <w:szCs w:val="20"/>
        </w:rPr>
        <w:t xml:space="preserve">Chief Operating Officer, Urban Core Division</w:t>
      </w:r>
      <w:r>
        <w:rPr>
          <w:color w:val="6E6E73"/>
          <w:sz w:val="18"/>
          <w:szCs w:val="18"/>
        </w:rPr>
        <w:t xml:space="preserve">	2022 – 2024</w:t>
      </w:r>
    </w:p>
    <w:p>
      <w:pPr>
        <w:spacing w:after="40"/>
      </w:pPr>
      <w:r>
        <w:rPr>
          <w:i/>
          <w:iCs/>
          <w:color w:val="6E6E73"/>
          <w:sz w:val="19"/>
          <w:szCs w:val="19"/>
        </w:rPr>
        <w:t xml:space="preserve">Colliers International — Miami, FL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Built and ran portfolio-performance and pipeline reporting for a $500M commercial portfolio; contributed to $40M in closed transactions.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Led weekly pipeline, KPI, and performance reviews, setting prospecting, marketing, and execution priorities that improved results.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Restructured the division to operational readiness and revenue generation within three months.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Partnered with family offices, REITs, high-net-worth investors, and development partners to source investment and joint-venture opportunities; coordinated cross-functionally with owners and municipal officials on due diligence and complex transactions.</w:t>
      </w:r>
    </w:p>
    <w:p>
      <w:pPr>
        <w:tabs>
          <w:tab w:val="right" w:pos="10224"/>
        </w:tabs>
        <w:spacing w:after="8" w:before="150"/>
      </w:pPr>
      <w:r>
        <w:rPr>
          <w:b/>
          <w:bCs/>
          <w:color w:val="1D1D1F"/>
          <w:sz w:val="20"/>
          <w:szCs w:val="20"/>
        </w:rPr>
        <w:t xml:space="preserve">Development Consultant &amp; Owner's Representative ($1.4B+ combined)</w:t>
      </w:r>
      <w:r>
        <w:rPr>
          <w:color w:val="6E6E73"/>
          <w:sz w:val="18"/>
          <w:szCs w:val="18"/>
        </w:rPr>
        <w:t xml:space="preserve">	2021 – 2022</w:t>
      </w:r>
    </w:p>
    <w:p>
      <w:pPr>
        <w:spacing w:after="40"/>
      </w:pPr>
      <w:r>
        <w:rPr>
          <w:i/>
          <w:iCs/>
          <w:color w:val="6E6E73"/>
          <w:sz w:val="19"/>
          <w:szCs w:val="19"/>
        </w:rPr>
        <w:t xml:space="preserve">Winston Capital Partners / BAS Holdings / Redwood — South Florida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Directed development, financing, and asset management for projects exceeding $1.4B in combined capitalization.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Secured a $47M bridge loan (70% LTV), created ~$5M in additional asset value, and supported a $60M permanent refinancing (80% LTV); managed end-to-end loan execution from term sheets through closing and lender compliance.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Led entitlement and stage-gate regulatory approvals, securing two unanimous approvals with full Section 8 compliance; repositioned distressed assets into fully entitled, income-producing developments valued at $100M+.</w:t>
      </w:r>
    </w:p>
    <w:p>
      <w:pPr>
        <w:tabs>
          <w:tab w:val="right" w:pos="10224"/>
        </w:tabs>
        <w:spacing w:after="8" w:before="150"/>
      </w:pPr>
      <w:r>
        <w:rPr>
          <w:b/>
          <w:bCs/>
          <w:color w:val="1D1D1F"/>
          <w:sz w:val="20"/>
          <w:szCs w:val="20"/>
        </w:rPr>
        <w:t xml:space="preserve">Assistant Project Manager — Amazon Warehouse Interior Buildout ($20M)</w:t>
      </w:r>
      <w:r>
        <w:rPr>
          <w:color w:val="6E6E73"/>
          <w:sz w:val="18"/>
          <w:szCs w:val="18"/>
        </w:rPr>
        <w:t xml:space="preserve">	2020 – 2021</w:t>
      </w:r>
    </w:p>
    <w:p>
      <w:pPr>
        <w:spacing w:after="40"/>
      </w:pPr>
      <w:r>
        <w:rPr>
          <w:i/>
          <w:iCs/>
          <w:color w:val="6E6E73"/>
          <w:sz w:val="19"/>
          <w:szCs w:val="19"/>
        </w:rPr>
        <w:t xml:space="preserve">Apolon Construction — Brooklyn, NY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Supported on-time, under-budget delivery of a $20M Amazon warehouse buildout; coordinated procurement, takeoffs, cost estimates, and subcontractor activities against schedule and budget.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Managed stage-gate project documentation — RFIs, submittals, change orders, daily reports, and progress tracking — and streamlined communication across field, PM, subcontractors, and client.</w:t>
      </w:r>
    </w:p>
    <w:p>
      <w:pPr>
        <w:tabs>
          <w:tab w:val="right" w:pos="10224"/>
        </w:tabs>
        <w:spacing w:after="8" w:before="150"/>
      </w:pPr>
      <w:r>
        <w:rPr>
          <w:b/>
          <w:bCs/>
          <w:color w:val="1D1D1F"/>
          <w:sz w:val="20"/>
          <w:szCs w:val="20"/>
        </w:rPr>
        <w:t xml:space="preserve">Development Analyst — $593M Ultra-Luxury, Retail &amp; Hospitality Portfolio</w:t>
      </w:r>
      <w:r>
        <w:rPr>
          <w:color w:val="6E6E73"/>
          <w:sz w:val="18"/>
          <w:szCs w:val="18"/>
        </w:rPr>
        <w:t xml:space="preserve">	2018 – 2020</w:t>
      </w:r>
    </w:p>
    <w:p>
      <w:pPr>
        <w:spacing w:after="40"/>
      </w:pPr>
      <w:r>
        <w:rPr>
          <w:i/>
          <w:iCs/>
          <w:color w:val="6E6E73"/>
          <w:sz w:val="19"/>
          <w:szCs w:val="19"/>
        </w:rPr>
        <w:t xml:space="preserve">Friedman Equities — California Redevelopment Portfolio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Supported a $593M redevelopment portfolio across three concurrent programs — Beverly Park ($287M), Rancho Mirage ($182M), and Palm Desert ($124M) — coordinating entitlement, due diligence, documentation, and milestone tracking.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Collaborated with architects, consultants, and cross-functional stakeholders to advance regulatory approvals and project execution.</w:t>
      </w:r>
    </w:p>
    <w:p>
      <w:pPr>
        <w:tabs>
          <w:tab w:val="right" w:pos="10224"/>
        </w:tabs>
        <w:spacing w:after="8" w:before="150"/>
      </w:pPr>
      <w:r>
        <w:rPr>
          <w:b/>
          <w:bCs/>
          <w:color w:val="1D1D1F"/>
          <w:sz w:val="20"/>
          <w:szCs w:val="20"/>
        </w:rPr>
        <w:t xml:space="preserve">Real Estate &amp; Investment Sales</w:t>
      </w:r>
      <w:r>
        <w:rPr>
          <w:color w:val="6E6E73"/>
          <w:sz w:val="18"/>
          <w:szCs w:val="18"/>
        </w:rPr>
        <w:t xml:space="preserve">	2018 – 2020</w:t>
      </w:r>
    </w:p>
    <w:p>
      <w:pPr>
        <w:spacing w:after="40"/>
      </w:pPr>
      <w:r>
        <w:rPr>
          <w:i/>
          <w:iCs/>
          <w:color w:val="6E6E73"/>
          <w:sz w:val="19"/>
          <w:szCs w:val="19"/>
        </w:rPr>
        <w:t xml:space="preserve">Bond New York — New York, NY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color w:val="333333"/>
          <w:sz w:val="19"/>
          <w:szCs w:val="19"/>
        </w:rPr>
        <w:t xml:space="preserve">Generated ~$10M in investment property sales and ~$300K in rental transactions through off-market sourcing; performed investment underwriting, financial analysis, and property evaluations, negotiating transactions from prospecting through closing.</w:t>
      </w:r>
    </w:p>
    <w:p>
      <w:pPr>
        <w:pBdr>
          <w:bottom w:val="single" w:color="C7C7CC" w:sz="6" w:space="3"/>
        </w:pBdr>
        <w:spacing w:after="90" w:before="240"/>
      </w:pPr>
      <w:r>
        <w:rPr>
          <w:b/>
          <w:bCs/>
          <w:color w:val="1D1D1F"/>
          <w:spacing w:val="30"/>
          <w:sz w:val="21"/>
          <w:szCs w:val="21"/>
        </w:rPr>
        <w:t xml:space="preserve">EDUCATION</w:t>
      </w:r>
    </w:p>
    <w:p>
      <w:pPr>
        <w:spacing w:after="30"/>
      </w:pPr>
      <w:r>
        <w:rPr>
          <w:b/>
          <w:bCs/>
          <w:color w:val="1D1D1F"/>
          <w:sz w:val="19"/>
          <w:szCs w:val="19"/>
        </w:rPr>
        <w:t xml:space="preserve">B.A., Biological Sciences &amp; Secondary Science Education</w:t>
      </w:r>
      <w:r>
        <w:rPr>
          <w:color w:val="333333"/>
          <w:sz w:val="19"/>
          <w:szCs w:val="19"/>
        </w:rPr>
        <w:t xml:space="preserve">  —  City University of New York, Brooklyn College</w:t>
      </w:r>
    </w:p>
    <w:p>
      <w:pPr>
        <w:spacing w:after="30"/>
      </w:pPr>
      <w:r>
        <w:rPr>
          <w:b/>
          <w:bCs/>
          <w:color w:val="1D1D1F"/>
          <w:sz w:val="19"/>
          <w:szCs w:val="19"/>
        </w:rPr>
        <w:t xml:space="preserve">Executive Education — Integrated Project Management</w:t>
      </w:r>
      <w:r>
        <w:rPr>
          <w:color w:val="333333"/>
          <w:sz w:val="19"/>
          <w:szCs w:val="19"/>
        </w:rPr>
        <w:t xml:space="preserve">  —  Harvard Graduate School of Design (2021)</w:t>
      </w:r>
    </w:p>
    <w:p>
      <w:pPr>
        <w:pBdr>
          <w:bottom w:val="single" w:color="C7C7CC" w:sz="6" w:space="3"/>
        </w:pBdr>
        <w:spacing w:after="90" w:before="240"/>
      </w:pPr>
      <w:r>
        <w:rPr>
          <w:b/>
          <w:bCs/>
          <w:color w:val="1D1D1F"/>
          <w:spacing w:val="30"/>
          <w:sz w:val="21"/>
          <w:szCs w:val="21"/>
        </w:rPr>
        <w:t xml:space="preserve">CERTIFICATIONS &amp; LICENSES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color w:val="1D1D1F"/>
          <w:sz w:val="19"/>
          <w:szCs w:val="19"/>
        </w:rPr>
        <w:t xml:space="preserve">Sustainability:  </w:t>
      </w:r>
      <w:r>
        <w:rPr>
          <w:color w:val="333333"/>
          <w:sz w:val="19"/>
          <w:szCs w:val="19"/>
        </w:rPr>
        <w:t xml:space="preserve">LEED AP Neighborhood Development (2024) — one of ~438 holders nationally; LEED Green Associate (2021).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color w:val="1D1D1F"/>
          <w:sz w:val="19"/>
          <w:szCs w:val="19"/>
        </w:rPr>
        <w:t xml:space="preserve">Finance &amp; Analysis:  </w:t>
      </w:r>
      <w:r>
        <w:rPr>
          <w:color w:val="333333"/>
          <w:sz w:val="19"/>
          <w:szCs w:val="19"/>
        </w:rPr>
        <w:t xml:space="preserve">A.CRE Financial Modeling Accelerator (2025); FINRA Series 66 (2024) &amp; SIE (2023).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color w:val="1D1D1F"/>
          <w:sz w:val="19"/>
          <w:szCs w:val="19"/>
        </w:rPr>
        <w:t xml:space="preserve">Program Management:  </w:t>
      </w:r>
      <w:r>
        <w:rPr>
          <w:color w:val="333333"/>
          <w:sz w:val="19"/>
          <w:szCs w:val="19"/>
        </w:rPr>
        <w:t xml:space="preserve">Certified ScrumMaster — Agile Project Management (2020); OSHA 62-Hour Construction Site Supervisor (2021).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color w:val="1D1D1F"/>
          <w:sz w:val="19"/>
          <w:szCs w:val="19"/>
        </w:rPr>
        <w:t xml:space="preserve">Real Estate Licenses:  </w:t>
      </w:r>
      <w:r>
        <w:rPr>
          <w:color w:val="333333"/>
          <w:sz w:val="19"/>
          <w:szCs w:val="19"/>
        </w:rPr>
        <w:t xml:space="preserve">Broker — Florida (2021) &amp; New York (2023); California Associate (2022); NY Salesperson (2017); Florida Notary Public (2021).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  <w:rPr>
        <w:color w:val="0071E3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30" w:hanging="180"/>
      </w:pPr>
      <w:rPr>
        <w:color w:val="6E6E73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Aida Nesimi — Resume</dc:title>
  <dc:creator>Aida Nesimi</dc:creator>
  <cp:lastModifiedBy>Un-named</cp:lastModifiedBy>
  <cp:revision>1</cp:revision>
  <dcterms:created xsi:type="dcterms:W3CDTF">2026-07-22T16:17:00.931Z</dcterms:created>
  <dcterms:modified xsi:type="dcterms:W3CDTF">2026-07-22T16:17:00.932Z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