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offigures"/>
        <w:tabs>
          <w:tab w:val="clear" w:pos="720"/>
          <w:tab w:val="right" w:pos="9350" w:leader="dot"/>
        </w:tabs>
        <w:rPr>
          <w:rFonts w:eastAsia="" w:eastAsiaTheme="minorEastAsia"/>
        </w:rPr>
      </w:pPr>
      <w:r>
        <w:fldChar w:fldCharType="begin"/>
      </w:r>
      <w:r>
        <w:rPr>
          <w:rStyle w:val="IndexLink"/>
        </w:rPr>
        <w:instrText> TOC \c "Figure" </w:instrText>
      </w:r>
      <w:r>
        <w:rPr>
          <w:rStyle w:val="IndexLink"/>
        </w:rPr>
        <w:fldChar w:fldCharType="separate"/>
      </w:r>
      <w:hyperlink w:anchor="_Toc94546411">
        <w:r>
          <w:rPr>
            <w:rStyle w:val="IndexLink"/>
          </w:rPr>
          <w:t>Figure 1: Energy Production</w:t>
        </w:r>
        <w:r>
          <w:rPr>
            <w:webHidden/>
          </w:rPr>
          <w:fldChar w:fldCharType="begin"/>
        </w:r>
        <w:r>
          <w:rPr>
            <w:webHidden/>
          </w:rPr>
          <w:instrText>PAGEREF _Toc94546411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9350" w:leader="dot"/>
        </w:tabs>
        <w:rPr>
          <w:rFonts w:eastAsia="" w:eastAsiaTheme="minorEastAsia"/>
        </w:rPr>
      </w:pPr>
      <w:hyperlink w:anchor="_Toc94546412">
        <w:r>
          <w:rPr>
            <w:rStyle w:val="IndexLink"/>
          </w:rPr>
          <w:t>Figure 2: Total Farm Production for All Farms in Oregon</w:t>
        </w:r>
        <w:r>
          <w:rPr>
            <w:webHidden/>
          </w:rPr>
          <w:fldChar w:fldCharType="begin"/>
        </w:r>
        <w:r>
          <w:rPr>
            <w:webHidden/>
          </w:rPr>
          <w:instrText>PAGEREF _Toc94546412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9350" w:leader="dot"/>
        </w:tabs>
        <w:rPr>
          <w:rFonts w:eastAsia="" w:eastAsiaTheme="minorEastAsia"/>
        </w:rPr>
      </w:pPr>
      <w:hyperlink w:anchor="_Toc94546413">
        <w:r>
          <w:rPr>
            <w:rStyle w:val="IndexLink"/>
          </w:rPr>
          <w:t>Figure 3: Proportion of Errors</w:t>
        </w:r>
        <w:r>
          <w:rPr>
            <w:webHidden/>
          </w:rPr>
          <w:fldChar w:fldCharType="begin"/>
        </w:r>
        <w:r>
          <w:rPr>
            <w:webHidden/>
          </w:rPr>
          <w:instrText>PAGEREF _Toc94546413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9350" w:leader="dot"/>
        </w:tabs>
        <w:rPr>
          <w:rFonts w:eastAsia="" w:eastAsiaTheme="minorEastAsia"/>
        </w:rPr>
      </w:pPr>
      <w:hyperlink w:anchor="_Toc94546414">
        <w:r>
          <w:rPr>
            <w:rStyle w:val="IndexLink"/>
          </w:rPr>
          <w:t>Figure 4: Natural Filtration</w:t>
        </w:r>
        <w:r>
          <w:rPr>
            <w:webHidden/>
          </w:rPr>
          <w:fldChar w:fldCharType="begin"/>
        </w:r>
        <w:r>
          <w:rPr>
            <w:webHidden/>
          </w:rPr>
          <w:instrText>PAGEREF _Toc94546414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9350" w:leader="dot"/>
        </w:tabs>
        <w:rPr>
          <w:rFonts w:eastAsia="" w:eastAsiaTheme="minorEastAsia"/>
        </w:rPr>
      </w:pPr>
      <w:hyperlink w:anchor="_Toc94546415">
        <w:r>
          <w:rPr>
            <w:rStyle w:val="IndexLink"/>
          </w:rPr>
          <w:t>Figure 5: Publication Process</w:t>
        </w:r>
        <w:r>
          <w:rPr>
            <w:webHidden/>
          </w:rPr>
          <w:fldChar w:fldCharType="begin"/>
        </w:r>
        <w:r>
          <w:rPr>
            <w:webHidden/>
          </w:rPr>
          <w:instrText>PAGEREF _Toc94546415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9350" w:leader="dot"/>
        </w:tabs>
        <w:rPr>
          <w:rFonts w:eastAsia="" w:eastAsiaTheme="minorEastAsia"/>
        </w:rPr>
      </w:pPr>
      <w:hyperlink w:anchor="_Toc94546416">
        <w:r>
          <w:rPr>
            <w:rStyle w:val="IndexLink"/>
          </w:rPr>
          <w:t>Figure 6: Distribution of low-density lipoprotein</w:t>
        </w:r>
        <w:r>
          <w:rPr>
            <w:webHidden/>
          </w:rPr>
          <w:fldChar w:fldCharType="begin"/>
        </w:r>
        <w:r>
          <w:rPr>
            <w:webHidden/>
          </w:rPr>
          <w:instrText>PAGEREF _Toc94546416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fldChar w:fldCharType="end"/>
      </w:r>
    </w:p>
    <w:p>
      <w:pPr>
        <w:pStyle w:val="Heading1"/>
        <w:tabs>
          <w:tab w:val="clear" w:pos="720"/>
          <w:tab w:val="left" w:pos="6375" w:leader="none"/>
        </w:tabs>
        <w:rPr/>
      </w:pPr>
      <w:r>
        <w:rPr/>
      </w:r>
    </w:p>
    <w:p>
      <w:pPr>
        <w:pStyle w:val="Tableoffigures"/>
        <w:tabs>
          <w:tab w:val="clear" w:pos="720"/>
          <w:tab w:val="right" w:pos="9350" w:leader="dot"/>
        </w:tabs>
        <w:rPr>
          <w:rFonts w:eastAsia="" w:eastAsiaTheme="minorEastAsia"/>
        </w:rPr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_Toc94546743">
        <w:r>
          <w:rPr>
            <w:rStyle w:val="IndexLink"/>
            <w14:textOutline w14:w="0" w14:cap="flat" w14:cmpd="sng" w14:algn="ctr">
              <w14:noFill/>
              <w14:prstDash w14:val="solid"/>
              <w14:round/>
            </w14:textOutline>
          </w:rPr>
          <w:t>Table 1: Energy production by major source from 1960 to 1980</w:t>
        </w:r>
        <w:r>
          <w:rPr>
            <w:rStyle w:val="IndexLink"/>
            <w:vertAlign w:val="superscript"/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  <w:r>
          <w:rPr>
            <w:webHidden/>
          </w:rPr>
          <w:fldChar w:fldCharType="begin"/>
        </w:r>
        <w:r>
          <w:rPr>
            <w:webHidden/>
          </w:rPr>
          <w:instrText>PAGEREF _Toc94546743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9350" w:leader="dot"/>
        </w:tabs>
        <w:rPr>
          <w:rFonts w:eastAsia="" w:eastAsiaTheme="minorEastAsia"/>
        </w:rPr>
      </w:pPr>
      <w:hyperlink w:anchor="_Toc94546744">
        <w:r>
          <w:rPr>
            <w:rStyle w:val="IndexLink"/>
          </w:rPr>
          <w:t>Table 2: Proportion of Errors in Younger and Older Groups</w:t>
        </w:r>
        <w:r>
          <w:rPr>
            <w:webHidden/>
          </w:rPr>
          <w:fldChar w:fldCharType="begin"/>
        </w:r>
        <w:r>
          <w:rPr>
            <w:webHidden/>
          </w:rPr>
          <w:instrText>PAGEREF _Toc94546744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fldChar w:fldCharType="end"/>
      </w:r>
    </w:p>
    <w:p>
      <w:pPr>
        <w:pStyle w:val="Heading1"/>
        <w:tabs>
          <w:tab w:val="clear" w:pos="720"/>
          <w:tab w:val="left" w:pos="6375" w:leader="none"/>
        </w:tabs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</w:rPr>
      </w:pPr>
      <w:r>
        <w:rPr>
          <w:rFonts w:eastAsia="Calibri" w:cs="" w:cstheme="minorBidi" w:eastAsiaTheme="minorHAnsi" w:ascii="Calibri" w:hAnsi="Calibri"/>
          <w:color w:val="auto"/>
          <w:sz w:val="22"/>
          <w:szCs w:val="22"/>
        </w:rPr>
      </w:r>
    </w:p>
    <w:p>
      <w:pPr>
        <w:pStyle w:val="Heading1"/>
        <w:tabs>
          <w:tab w:val="clear" w:pos="720"/>
          <w:tab w:val="left" w:pos="6375" w:leader="none"/>
        </w:tabs>
        <w:rPr/>
      </w:pPr>
      <w:r>
        <w:rPr/>
        <w:t>Lorem ipsum file for Visualizations Lab:</w:t>
        <w:tab/>
      </w:r>
    </w:p>
    <w:p>
      <w:pPr>
        <w:pStyle w:val="Normal"/>
        <w:rPr/>
      </w:pPr>
      <w:r>
        <w:rPr/>
        <w:t xml:space="preserve">Lorem ipsum dolor sit amet, consectetuer adipiscing elit. </w:t>
      </w:r>
      <w:r>
        <w:rPr>
          <w:lang w:val="es-ES"/>
        </w:rPr>
        <w:t xml:space="preserve">Maecenas porttitor congue massa. Fusce posuere, magna sed pulvinar ultricies, purus lectus malesuada libero, sit amet commodo magna eros quis urna. </w:t>
      </w:r>
      <w:r>
        <w:rPr/>
        <w:t>Nunc viverra imperdiet eni.</w:t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9575" w:type="dxa"/>
            <w:gridSpan w:val="6"/>
            <w:tcBorders/>
          </w:tcPr>
          <w:p>
            <w:pPr>
              <w:pStyle w:val="Caption1"/>
              <w:keepNext w:val="true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color w:val="000000" w:themeColor="text1"/>
                <w:sz w:val="22"/>
                <w:szCs w:val="22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Toc94546743"/>
            <w:r>
              <w:rPr>
                <w:rFonts w:eastAsia="Calibri" w:cs=""/>
                <w:b/>
                <w:bCs/>
                <w:i w:val="false"/>
                <w:iCs w:val="false"/>
                <w:color w:val="000000" w:themeColor="text1"/>
                <w:kern w:val="0"/>
                <w:sz w:val="22"/>
                <w:szCs w:val="22"/>
                <w:lang w:val="en-US" w:eastAsia="en-US" w:bidi="ar-SA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Table 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fldChar w:fldCharType="begin"/>
            </w:r>
            <w:r>
              <w:rPr>
                <w:sz w:val="22"/>
                <w:i w:val="false"/>
                <w:b/>
                <w:kern w:val="0"/>
                <w:szCs w:val="22"/>
                <w:iCs w:val="false"/>
                <w:bCs/>
                <w:rFonts w:eastAsia="Calibri" w:cs=""/>
                <w:color w:val="000000"/>
                <w:lang w:val="en-US" w:eastAsia="en-US" w:bidi="ar-SA"/>
              </w:rPr>
              <w:instrText> SEQ Table \* ARABIC </w:instrText>
            </w:r>
            <w:r>
              <w:rPr>
                <w:sz w:val="22"/>
                <w:i w:val="false"/>
                <w:b/>
                <w:kern w:val="0"/>
                <w:szCs w:val="22"/>
                <w:iCs w:val="false"/>
                <w:bCs/>
                <w:rFonts w:eastAsia="Calibri" w:cs=""/>
                <w:color w:val="000000"/>
                <w:lang w:val="en-US" w:eastAsia="en-US" w:bidi="ar-SA"/>
              </w:rPr>
              <w:fldChar w:fldCharType="separate"/>
            </w:r>
            <w:r>
              <w:rPr>
                <w:sz w:val="22"/>
                <w:i w:val="false"/>
                <w:b/>
                <w:kern w:val="0"/>
                <w:szCs w:val="22"/>
                <w:iCs w:val="false"/>
                <w:bCs/>
                <w:rFonts w:eastAsia="Calibri" w:cs=""/>
                <w:color w:val="000000"/>
                <w:lang w:val="en-US" w:eastAsia="en-US" w:bidi="ar-SA"/>
              </w:rPr>
              <w:t>1</w:t>
            </w:r>
            <w:r>
              <w:rPr>
                <w:sz w:val="22"/>
                <w:i w:val="false"/>
                <w:b/>
                <w:kern w:val="0"/>
                <w:szCs w:val="22"/>
                <w:iCs w:val="false"/>
                <w:bCs/>
                <w:rFonts w:eastAsia="Calibri" w:cs=""/>
                <w:color w:val="000000"/>
                <w:lang w:val="en-US" w:eastAsia="en-US" w:bidi="ar-SA"/>
              </w:rPr>
              <w:fldChar w:fldCharType="end"/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 w:themeColor="text1"/>
                <w:kern w:val="0"/>
                <w:sz w:val="22"/>
                <w:szCs w:val="22"/>
                <w:lang w:val="en-US" w:eastAsia="en-US" w:bidi="ar-SA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Energy production by major source from 1960 to 1980</w:t>
            </w:r>
            <w:r>
              <w:rPr>
                <w:rFonts w:eastAsia="Calibri" w:cs=""/>
                <w:b/>
                <w:bCs/>
                <w:i w:val="false"/>
                <w:iCs w:val="false"/>
                <w:color w:val="000000" w:themeColor="text1"/>
                <w:kern w:val="0"/>
                <w:sz w:val="22"/>
                <w:szCs w:val="22"/>
                <w:vertAlign w:val="superscript"/>
                <w:lang w:val="en-US" w:eastAsia="en-US" w:bidi="ar-SA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bookmarkEnd w:id="0"/>
          </w:p>
          <w:p>
            <w:pPr>
              <w:pStyle w:val="Normal"/>
              <w:widowControl w:val="false"/>
              <w:tabs>
                <w:tab w:val="clear" w:pos="720"/>
                <w:tab w:val="center" w:pos="4680" w:leader="none"/>
                <w:tab w:val="left" w:pos="8040" w:leader="none"/>
              </w:tabs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vertAlign w:val="superscript"/>
              </w:rPr>
            </w:pPr>
            <w:r>
              <w:rPr>
                <w:b/>
                <w:bCs/>
                <w:vertAlign w:val="superscript"/>
              </w:rPr>
            </w:r>
          </w:p>
        </w:tc>
      </w:tr>
      <w:tr>
        <w:trPr>
          <w:trHeight w:val="422" w:hRule="atLeast"/>
        </w:trPr>
        <w:tc>
          <w:tcPr>
            <w:tcW w:w="159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Year</w:t>
            </w:r>
          </w:p>
        </w:tc>
        <w:tc>
          <w:tcPr>
            <w:tcW w:w="159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Total production (quad Btu)</w:t>
            </w:r>
          </w:p>
        </w:tc>
        <w:tc>
          <w:tcPr>
            <w:tcW w:w="6384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Percent production</w:t>
            </w:r>
          </w:p>
        </w:tc>
      </w:tr>
      <w:tr>
        <w:trPr/>
        <w:tc>
          <w:tcPr>
            <w:tcW w:w="159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9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Coal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Petroleum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Natural gas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vertAlign w:val="superscript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Other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vertAlign w:val="superscript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1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1960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41.5</w:t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26.1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36.9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34.0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3.9</w:t>
            </w:r>
          </w:p>
        </w:tc>
      </w:tr>
      <w:tr>
        <w:trPr/>
        <w:tc>
          <w:tcPr>
            <w:tcW w:w="1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1970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62.1</w:t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23.5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32.9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38.9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4.7</w:t>
            </w:r>
          </w:p>
        </w:tc>
      </w:tr>
      <w:tr>
        <w:trPr/>
        <w:tc>
          <w:tcPr>
            <w:tcW w:w="1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1980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64.8</w:t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28.7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28.2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34.2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8.9</w:t>
            </w:r>
          </w:p>
        </w:tc>
      </w:tr>
    </w:tbl>
    <w:p>
      <w:pPr>
        <w:pStyle w:val="Normal"/>
        <w:spacing w:before="0" w:after="0"/>
        <w:rPr>
          <w:i/>
          <w:i/>
          <w:iCs/>
          <w:sz w:val="20"/>
          <w:szCs w:val="20"/>
        </w:rPr>
      </w:pPr>
      <w:r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>Source: U.S. Energy Information Administration</w:t>
      </w:r>
      <w:r>
        <w:rPr>
          <w:i/>
          <w:iCs/>
          <w:sz w:val="20"/>
          <w:szCs w:val="20"/>
        </w:rPr>
        <w:t>, Annual Energy Review</w:t>
      </w:r>
    </w:p>
    <w:p>
      <w:pPr>
        <w:pStyle w:val="Normal"/>
        <w:keepNext w:val="true"/>
        <w:spacing w:before="0" w:after="0"/>
        <w:rPr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Includes hydropower, nuclear power, geothermal power, and others.</w:t>
      </w:r>
    </w:p>
    <w:p>
      <w:pPr>
        <w:pStyle w:val="Caption1"/>
        <w:rPr>
          <w:i w:val="false"/>
          <w:i w:val="false"/>
          <w:iCs w:val="false"/>
          <w:color w:val="auto"/>
        </w:rPr>
      </w:pPr>
      <w:bookmarkStart w:id="1" w:name="_Toc94546411"/>
      <w:r>
        <w:rPr>
          <w:color w:val="auto"/>
        </w:rPr>
        <w:t xml:space="preserve">Figure </w:t>
      </w:r>
      <w:r>
        <w:rPr>
          <w:color w:val="auto"/>
        </w:rPr>
        <w:fldChar w:fldCharType="begin"/>
      </w:r>
      <w:r>
        <w:rPr>
          <w:color w:val="auto"/>
        </w:rPr>
        <w:instrText> SEQ Figure \* ARABIC </w:instrText>
      </w:r>
      <w:r>
        <w:rPr>
          <w:color w:val="auto"/>
        </w:rPr>
        <w:fldChar w:fldCharType="separate"/>
      </w:r>
      <w:r>
        <w:rPr>
          <w:color w:val="auto"/>
        </w:rPr>
        <w:t>1</w:t>
      </w:r>
      <w:r>
        <w:rPr>
          <w:color w:val="auto"/>
        </w:rPr>
        <w:fldChar w:fldCharType="end"/>
      </w:r>
      <w:r>
        <w:rPr>
          <w:color w:val="auto"/>
        </w:rPr>
        <w:t>: Energy Production</w:t>
      </w:r>
      <w:bookmarkEnd w:id="1"/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 xml:space="preserve">Lorem ipsum dolor sit amet, consectetuer adipiscing elit. </w:t>
      </w:r>
      <w:r>
        <w:rPr>
          <w:lang w:val="es-ES"/>
        </w:rPr>
        <w:t xml:space="preserve">Maecenas porttitor congue massa. Fusce posuere, magna sed pulvinar ultricies, purus lectus malesuada libero, sit amet commodo magna eros quis urna. </w:t>
      </w:r>
      <w:r>
        <w:rPr/>
        <w:t>Nunc viverra imperdiet eni.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 w:val="true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Output of All Farms in Oregon</w:t>
      </w:r>
    </w:p>
    <w:p>
      <w:pPr>
        <w:pStyle w:val="Normal"/>
        <w:keepNext w:val="true"/>
        <w:spacing w:before="0" w:after="0"/>
        <w:rPr/>
      </w:pPr>
      <w:r>
        <w:rPr/>
        <w:drawing>
          <wp:inline distT="0" distB="0" distL="0" distR="0">
            <wp:extent cx="5029200" cy="2581275"/>
            <wp:effectExtent l="0" t="0" r="0" b="0"/>
            <wp:docPr id="1" name="Picture 1" descr="Screenshot of a multi-color graph of 5 types of produce from 4 farm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of a multi-color graph of 5 types of produce from 4 farms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i/>
          <w:i/>
          <w:iCs/>
          <w:sz w:val="20"/>
          <w:szCs w:val="20"/>
        </w:rPr>
      </w:pPr>
      <w:r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>Source: U.S. Department of Agriculture</w:t>
      </w:r>
    </w:p>
    <w:p>
      <w:pPr>
        <w:pStyle w:val="Caption1"/>
        <w:rPr>
          <w:color w:val="auto"/>
        </w:rPr>
      </w:pPr>
      <w:bookmarkStart w:id="2" w:name="_Toc94546412"/>
      <w:r>
        <w:rPr>
          <w:color w:val="auto"/>
        </w:rPr>
        <w:t xml:space="preserve">Figure </w:t>
      </w:r>
      <w:r>
        <w:rPr>
          <w:color w:val="auto"/>
        </w:rPr>
        <w:fldChar w:fldCharType="begin"/>
      </w:r>
      <w:r>
        <w:rPr>
          <w:color w:val="auto"/>
        </w:rPr>
        <w:instrText> SEQ Figure \* ARABIC </w:instrText>
      </w:r>
      <w:r>
        <w:rPr>
          <w:color w:val="auto"/>
        </w:rPr>
        <w:fldChar w:fldCharType="separate"/>
      </w:r>
      <w:r>
        <w:rPr>
          <w:color w:val="auto"/>
        </w:rPr>
        <w:t>2</w:t>
      </w:r>
      <w:r>
        <w:rPr>
          <w:color w:val="auto"/>
        </w:rPr>
        <w:fldChar w:fldCharType="end"/>
      </w:r>
      <w:r>
        <w:rPr>
          <w:color w:val="auto"/>
        </w:rPr>
        <w:t>: Total Farm Production for All Farms in Oregon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Fusce est. Vivamus a tellus. </w:t>
      </w:r>
      <w:r>
        <w:rPr>
          <w:lang w:val="es-ES"/>
        </w:rPr>
        <w:t xml:space="preserve">Pellentesque habitant morbi tristique senectus et netus et malesuada fames ac turpis egestas. </w:t>
      </w:r>
      <w:r>
        <w:rPr/>
        <w:t>Proin pharetra nonummy pede.</w:t>
      </w:r>
    </w:p>
    <w:p>
      <w:pPr>
        <w:pStyle w:val="Normal"/>
        <w:rPr/>
      </w:pPr>
      <w:r>
        <w:rPr/>
        <w:t>Mauris et orci. Aenean nec lorem. In porttitor. Donec laoreet nonummy augue.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Caption1"/>
        <w:keepNext w:val="true"/>
        <w:rPr>
          <w:color w:val="auto"/>
          <w:sz w:val="22"/>
          <w:szCs w:val="22"/>
        </w:rPr>
      </w:pPr>
      <w:bookmarkStart w:id="3" w:name="_Toc94546744"/>
      <w:r>
        <w:rPr>
          <w:color w:val="auto"/>
          <w:sz w:val="22"/>
          <w:szCs w:val="22"/>
        </w:rPr>
        <w:t xml:space="preserve">Table </w:t>
      </w:r>
      <w:r>
        <w:rPr>
          <w:color w:val="auto"/>
          <w:sz w:val="22"/>
          <w:szCs w:val="22"/>
        </w:rPr>
        <w:fldChar w:fldCharType="begin"/>
      </w:r>
      <w:r>
        <w:rPr>
          <w:sz w:val="22"/>
          <w:szCs w:val="22"/>
          <w:color w:val="auto"/>
        </w:rPr>
        <w:instrText> SEQ Table \* ARABIC </w:instrText>
      </w:r>
      <w:r>
        <w:rPr>
          <w:sz w:val="22"/>
          <w:szCs w:val="22"/>
          <w:color w:val="auto"/>
        </w:rPr>
        <w:fldChar w:fldCharType="separate"/>
      </w:r>
      <w:r>
        <w:rPr>
          <w:sz w:val="22"/>
          <w:szCs w:val="22"/>
          <w:color w:val="auto"/>
        </w:rPr>
        <w:t>2</w:t>
      </w:r>
      <w:r>
        <w:rPr>
          <w:sz w:val="22"/>
          <w:szCs w:val="22"/>
          <w:color w:val="auto"/>
        </w:rPr>
        <w:fldChar w:fldCharType="end"/>
      </w:r>
      <w:r>
        <w:rPr>
          <w:color w:val="auto"/>
          <w:sz w:val="22"/>
          <w:szCs w:val="22"/>
        </w:rPr>
        <w:t>: Proportion of Errors in Younger and Older Groups</w:t>
      </w:r>
      <w:bookmarkEnd w:id="3"/>
    </w:p>
    <w:tbl>
      <w:tblPr>
        <w:tblStyle w:val="TableGrid"/>
        <w:tblW w:w="83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07"/>
        <w:gridCol w:w="523"/>
        <w:gridCol w:w="1260"/>
        <w:gridCol w:w="1260"/>
        <w:gridCol w:w="360"/>
        <w:gridCol w:w="450"/>
        <w:gridCol w:w="1170"/>
        <w:gridCol w:w="1440"/>
      </w:tblGrid>
      <w:tr>
        <w:trPr/>
        <w:tc>
          <w:tcPr>
            <w:tcW w:w="190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43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Younger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60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Older</w:t>
            </w:r>
          </w:p>
        </w:tc>
      </w:tr>
      <w:tr>
        <w:trPr>
          <w:trHeight w:val="278" w:hRule="atLeast"/>
        </w:trPr>
        <w:tc>
          <w:tcPr>
            <w:tcW w:w="190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Level of difficulty</w:t>
            </w:r>
          </w:p>
        </w:tc>
        <w:tc>
          <w:tcPr>
            <w:tcW w:w="523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n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M (SD)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95% CI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n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M (SD)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95% CI</w:t>
            </w:r>
          </w:p>
        </w:tc>
      </w:tr>
      <w:tr>
        <w:trPr/>
        <w:tc>
          <w:tcPr>
            <w:tcW w:w="190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Low</w:t>
            </w: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.05 (.08)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[.02, .11]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.14 (.15)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[.08, .22]</w:t>
            </w:r>
          </w:p>
        </w:tc>
      </w:tr>
      <w:tr>
        <w:trPr/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Moderate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.05, (.07)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[.02, .10]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17 (.15)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[.08, .28]</w:t>
            </w:r>
          </w:p>
        </w:tc>
      </w:tr>
      <w:tr>
        <w:trPr>
          <w:trHeight w:val="270" w:hRule="atLeast"/>
        </w:trPr>
        <w:tc>
          <w:tcPr>
            <w:tcW w:w="190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52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.11 (.10)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[.07, .17]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.26 (.21)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[.15, .39]</w:t>
            </w:r>
          </w:p>
        </w:tc>
      </w:tr>
    </w:tbl>
    <w:p>
      <w:pPr>
        <w:pStyle w:val="Normal"/>
        <w:spacing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Note CI = confidence interval.</w:t>
      </w:r>
    </w:p>
    <w:p>
      <w:pPr>
        <w:pStyle w:val="Normal"/>
        <w:spacing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Note M (SD) = mean and standard deviation</w:t>
      </w:r>
    </w:p>
    <w:p>
      <w:pPr>
        <w:pStyle w:val="Normal"/>
        <w:keepNext w:val="true"/>
        <w:spacing w:before="0" w:after="0"/>
        <w:rPr>
          <w:i/>
          <w:i/>
          <w:iCs/>
          <w:sz w:val="20"/>
          <w:szCs w:val="20"/>
        </w:rPr>
      </w:pPr>
      <w:r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>Source: The “Errors” table is from “Generations,” by L.G. Elias and C.C. Bent, 2002, Journal of Geriatric Care, 5, p. 22</w:t>
      </w:r>
    </w:p>
    <w:p>
      <w:pPr>
        <w:pStyle w:val="Caption1"/>
        <w:rPr>
          <w:color w:val="auto"/>
        </w:rPr>
      </w:pPr>
      <w:bookmarkStart w:id="4" w:name="_Toc94546413"/>
      <w:r>
        <w:rPr>
          <w:color w:val="auto"/>
        </w:rPr>
        <w:t xml:space="preserve">Figure </w:t>
      </w:r>
      <w:r>
        <w:rPr>
          <w:color w:val="auto"/>
        </w:rPr>
        <w:fldChar w:fldCharType="begin"/>
      </w:r>
      <w:r>
        <w:rPr>
          <w:color w:val="auto"/>
        </w:rPr>
        <w:instrText> SEQ Figure \* ARABIC </w:instrText>
      </w:r>
      <w:r>
        <w:rPr>
          <w:color w:val="auto"/>
        </w:rPr>
        <w:fldChar w:fldCharType="separate"/>
      </w:r>
      <w:r>
        <w:rPr>
          <w:color w:val="auto"/>
        </w:rPr>
        <w:t>3</w:t>
      </w:r>
      <w:r>
        <w:rPr>
          <w:color w:val="auto"/>
        </w:rPr>
        <w:fldChar w:fldCharType="end"/>
      </w:r>
      <w:r>
        <w:rPr>
          <w:color w:val="auto"/>
        </w:rPr>
        <w:t>: Proportion of Errors</w:t>
      </w:r>
      <w:bookmarkEnd w:id="4"/>
    </w:p>
    <w:p>
      <w:pPr>
        <w:pStyle w:val="Normal"/>
        <w:rPr/>
      </w:pPr>
      <w:r>
        <w:rPr/>
      </w:r>
    </w:p>
    <w:p>
      <w:pPr>
        <w:pStyle w:val="Normal"/>
        <w:rPr>
          <w:lang w:val="es-ES"/>
        </w:rPr>
      </w:pPr>
      <w:r>
        <w:rPr/>
        <w:t xml:space="preserve">Lorem ipsum dolor sit amet, consectetuer adipiscing elit. </w:t>
      </w:r>
      <w:r>
        <w:rPr>
          <w:lang w:val="es-ES"/>
        </w:rPr>
        <w:t>Maecenas porttitor congue massa. Fusce posuere, magna sed pulvinar ultricies, purus lectus malesuada libero, sit amet commodo magna eros quis urna.</w:t>
      </w:r>
    </w:p>
    <w:p>
      <w:pPr>
        <w:pStyle w:val="Normal"/>
        <w:rPr>
          <w:lang w:val="es-ES"/>
        </w:rPr>
      </w:pPr>
      <w:r>
        <w:rPr>
          <w:lang w:val="es-ES"/>
        </w:rPr>
        <w:t>Nunc viverra imperdiet enim. Fusce est. Vivamus a tellus.</w:t>
      </w:r>
    </w:p>
    <w:p>
      <w:pPr>
        <w:pStyle w:val="Normal"/>
        <w:rPr/>
      </w:pPr>
      <w:r>
        <w:rPr>
          <w:lang w:val="es-ES"/>
        </w:rPr>
        <w:t xml:space="preserve">Pellentesque habitant morbi tristique senectus et netus et malesuada fames ac turpis egestas. </w:t>
      </w:r>
      <w:r>
        <w:rPr/>
        <w:t>Proin pharetra nonummy pede. Mauris et orci.</w:t>
      </w:r>
    </w:p>
    <w:p>
      <w:pPr>
        <w:pStyle w:val="Normal"/>
        <w:rPr/>
      </w:pPr>
      <w:r>
        <w:rPr/>
        <w:t>Aenean nec lorem. In porttitor. Donec laoreet nonummy augue.</w:t>
      </w:r>
    </w:p>
    <w:p>
      <w:pPr>
        <w:pStyle w:val="Normal"/>
        <w:rPr/>
      </w:pPr>
      <w:r>
        <w:rPr/>
        <w:t>Suspendisse dui purus, scelerisque at, vulputate vitae, pretium mattis, nunc. Mauris eget neque at sem venenatis eleifend. Ut nonummy.</w:t>
      </w:r>
    </w:p>
    <w:p>
      <w:pPr>
        <w:pStyle w:val="Normal"/>
        <w:rPr>
          <w:lang w:val="es-ES"/>
        </w:rPr>
      </w:pPr>
      <w:r>
        <w:rPr/>
        <w:t xml:space="preserve">Fusce aliquet pede non pede. </w:t>
      </w:r>
      <w:r>
        <w:rPr>
          <w:lang w:val="es-ES"/>
        </w:rPr>
        <w:t>Suspendisse dapibus lorem pellentesque magna. Integer nulla.</w:t>
      </w:r>
    </w:p>
    <w:p>
      <w:pPr>
        <w:pStyle w:val="Normal"/>
        <w:keepNext w:val="true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Natural Water Filtration and Extraction Diagram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2211705" cy="3143250"/>
            <wp:effectExtent l="0" t="0" r="0" b="0"/>
            <wp:docPr id="2" name="Picture 2" descr="A close up of a water filtration system using sand.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water filtration system using sand.&#10;&#10;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i/>
          <w:i/>
          <w:iCs/>
          <w:sz w:val="20"/>
          <w:szCs w:val="20"/>
        </w:rPr>
      </w:pPr>
      <w:r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>Source: The Water Filtration Organization</w:t>
      </w:r>
    </w:p>
    <w:p>
      <w:pPr>
        <w:pStyle w:val="Caption1"/>
        <w:rPr>
          <w:color w:val="auto"/>
        </w:rPr>
      </w:pPr>
      <w:bookmarkStart w:id="5" w:name="_Toc94546414"/>
      <w:r>
        <w:rPr>
          <w:color w:val="auto"/>
        </w:rPr>
        <w:t xml:space="preserve">Figure </w:t>
      </w:r>
      <w:r>
        <w:rPr>
          <w:color w:val="auto"/>
        </w:rPr>
        <w:fldChar w:fldCharType="begin"/>
      </w:r>
      <w:r>
        <w:rPr>
          <w:color w:val="auto"/>
        </w:rPr>
        <w:instrText> SEQ Figure \* ARABIC </w:instrText>
      </w:r>
      <w:r>
        <w:rPr>
          <w:color w:val="auto"/>
        </w:rPr>
        <w:fldChar w:fldCharType="separate"/>
      </w:r>
      <w:r>
        <w:rPr>
          <w:color w:val="auto"/>
        </w:rPr>
        <w:t>4</w:t>
      </w:r>
      <w:r>
        <w:rPr>
          <w:color w:val="auto"/>
        </w:rPr>
        <w:fldChar w:fldCharType="end"/>
      </w:r>
      <w:r>
        <w:rPr>
          <w:color w:val="auto"/>
        </w:rPr>
        <w:t>: Natural Filtration</w:t>
      </w:r>
      <w:bookmarkEnd w:id="5"/>
      <w:r>
        <w:rPr>
          <w:color w:val="auto"/>
        </w:rPr>
        <w:t xml:space="preserve">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Suspendisse dui purus, scelerisque at, vulputate vitae, pretium mattis, nunc. Mauris eget neque at sem venenatis eleifend. Ut nonummy. Fusce aliquet pede non pede.</w:t>
      </w:r>
    </w:p>
    <w:p>
      <w:pPr>
        <w:pStyle w:val="Normal"/>
        <w:rPr/>
      </w:pPr>
      <w:r>
        <w:rPr>
          <w:lang w:val="es-ES"/>
        </w:rPr>
        <w:t xml:space="preserve">Suspendisse dapibus lorem pellentesque magna. Integer nulla. </w:t>
      </w:r>
      <w:r>
        <w:rPr/>
        <w:t>Donec blandit feugiat ligula. Donec hendrerit, felis et imperdiet euismod, purus ipsum pretium metus, in lacinia nulla nisl eget sapien.</w:t>
      </w:r>
    </w:p>
    <w:p>
      <w:pPr>
        <w:pStyle w:val="Normal"/>
        <w:keepNext w:val="true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 Publication Process Diagram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6475095" cy="1856105"/>
            <wp:effectExtent l="0" t="0" r="0" b="0"/>
            <wp:docPr id="3" name="Picture 3" descr="Flowchart of the writing proc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lowchart of the writing process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i/>
          <w:i/>
          <w:iCs/>
          <w:sz w:val="20"/>
          <w:szCs w:val="20"/>
        </w:rPr>
      </w:pPr>
      <w:r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>Source: Publication Process Organization</w:t>
      </w:r>
    </w:p>
    <w:p>
      <w:pPr>
        <w:pStyle w:val="Caption1"/>
        <w:rPr>
          <w:color w:val="auto"/>
        </w:rPr>
      </w:pPr>
      <w:bookmarkStart w:id="6" w:name="_Toc94546415"/>
      <w:r>
        <w:rPr>
          <w:color w:val="auto"/>
        </w:rPr>
        <w:t xml:space="preserve">Figure </w:t>
      </w:r>
      <w:r>
        <w:rPr>
          <w:color w:val="auto"/>
        </w:rPr>
        <w:fldChar w:fldCharType="begin"/>
      </w:r>
      <w:r>
        <w:rPr>
          <w:color w:val="auto"/>
        </w:rPr>
        <w:instrText> SEQ Figure \* ARABIC </w:instrText>
      </w:r>
      <w:r>
        <w:rPr>
          <w:color w:val="auto"/>
        </w:rPr>
        <w:fldChar w:fldCharType="separate"/>
      </w:r>
      <w:r>
        <w:rPr>
          <w:color w:val="auto"/>
        </w:rPr>
        <w:t>5</w:t>
      </w:r>
      <w:r>
        <w:rPr>
          <w:color w:val="auto"/>
        </w:rPr>
        <w:fldChar w:fldCharType="end"/>
      </w:r>
      <w:r>
        <w:rPr>
          <w:color w:val="auto"/>
        </w:rPr>
        <w:t>: Book Publication Process</w:t>
      </w:r>
      <w:bookmarkEnd w:id="6"/>
    </w:p>
    <w:p>
      <w:pPr>
        <w:pStyle w:val="Normal"/>
        <w:rPr/>
      </w:pPr>
      <w:r>
        <w:rPr/>
      </w:r>
    </w:p>
    <w:p>
      <w:pPr>
        <w:pStyle w:val="Normal"/>
        <w:rPr>
          <w:lang w:val="es-ES"/>
        </w:rPr>
      </w:pPr>
      <w:r>
        <w:rPr/>
        <w:t xml:space="preserve">Lorem ipsum dolor sit amet, consectetuer adipiscing elit. </w:t>
      </w:r>
      <w:r>
        <w:rPr>
          <w:lang w:val="es-ES"/>
        </w:rPr>
        <w:t>Maecenas porttitor congue massa. Fusce posuere, magna sed pulvinar ultricies, purus lectus malesuada libero, sit amet commodo magna eros quis urna. Nunc viverra imperdiet enim.</w:t>
      </w:r>
    </w:p>
    <w:p>
      <w:pPr>
        <w:pStyle w:val="Normal"/>
        <w:spacing w:before="0" w:after="0"/>
        <w:rPr/>
      </w:pPr>
      <w:r>
        <w:rPr>
          <w:lang w:val="es-ES"/>
        </w:rPr>
        <w:t xml:space="preserve">Fusce est. Vivamus a tellus. Pellentesque habitant morbi tristique senectus et netus et malesuada fames ac turpis egestas. </w:t>
      </w:r>
      <w:r>
        <w:rPr/>
        <w:t xml:space="preserve">Pro in pharetra nonummy pede.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  <w:sz w:val="24"/>
          <w:szCs w:val="24"/>
        </w:rPr>
        <w:t>Distribution of LDL Graph</w:t>
      </w:r>
    </w:p>
    <w:p>
      <w:pPr>
        <w:pStyle w:val="Normal"/>
        <w:spacing w:before="0" w:after="0"/>
        <w:rPr>
          <w:sz w:val="20"/>
          <w:szCs w:val="20"/>
          <w:vertAlign w:val="superscript"/>
        </w:rPr>
      </w:pPr>
      <w:r>
        <w:rPr/>
        <w:drawing>
          <wp:inline distT="0" distB="0" distL="0" distR="0">
            <wp:extent cx="5943600" cy="4691380"/>
            <wp:effectExtent l="0" t="0" r="0" b="0"/>
            <wp:docPr id="4" name="Picture 4" descr="Column chart of lipoprotein sizes  and phenotyp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lumn chart of lipoprotein sizes  and phenotypes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Note LDL = low-density lipoproteins</w:t>
      </w:r>
    </w:p>
    <w:p>
      <w:pPr>
        <w:pStyle w:val="Normal"/>
        <w:spacing w:before="0" w:after="0"/>
        <w:rPr>
          <w:i/>
          <w:i/>
          <w:iCs/>
          <w:sz w:val="20"/>
          <w:szCs w:val="20"/>
        </w:rPr>
      </w:pPr>
      <w:r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>Source: Johns Hopkins LDL Abstract</w:t>
      </w:r>
    </w:p>
    <w:p>
      <w:pPr>
        <w:pStyle w:val="Caption1"/>
        <w:rPr>
          <w:color w:val="auto"/>
        </w:rPr>
      </w:pPr>
      <w:bookmarkStart w:id="7" w:name="_Toc94546416"/>
      <w:r>
        <w:rPr>
          <w:color w:val="auto"/>
        </w:rPr>
        <w:t xml:space="preserve">Figure </w:t>
      </w:r>
      <w:r>
        <w:rPr>
          <w:color w:val="auto"/>
        </w:rPr>
        <w:fldChar w:fldCharType="begin"/>
      </w:r>
      <w:r>
        <w:rPr>
          <w:color w:val="auto"/>
        </w:rPr>
        <w:instrText> SEQ Figure \* ARABIC </w:instrText>
      </w:r>
      <w:r>
        <w:rPr>
          <w:color w:val="auto"/>
        </w:rPr>
        <w:fldChar w:fldCharType="separate"/>
      </w:r>
      <w:r>
        <w:rPr>
          <w:color w:val="auto"/>
        </w:rPr>
        <w:t>6</w:t>
      </w:r>
      <w:r>
        <w:rPr>
          <w:color w:val="auto"/>
        </w:rPr>
        <w:fldChar w:fldCharType="end"/>
      </w:r>
      <w:r>
        <w:rPr>
          <w:color w:val="auto"/>
        </w:rPr>
        <w:t>: Distribution of low-density lipoprotein</w:t>
      </w:r>
      <w:bookmarkEnd w:id="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Mauris et orci. Aenean nec lorem. In porttitor. Donec laoreet nonummy augue.</w:t>
      </w:r>
    </w:p>
    <w:p>
      <w:pPr>
        <w:pStyle w:val="Normal"/>
        <w:rPr/>
      </w:pPr>
      <w:r>
        <w:rPr/>
        <w:t>Suspendisse dui purus, scelerisque at, vulputate vitae, pretium mattis, nunc. Mauris eget neque at sem venenatis eleifend. Ut nonummy. Fusce aliquet pede non pede.</w:t>
      </w:r>
    </w:p>
    <w:p>
      <w:pPr>
        <w:pStyle w:val="Normal"/>
        <w:rPr/>
      </w:pPr>
      <w:r>
        <w:rPr>
          <w:lang w:val="es-ES"/>
        </w:rPr>
        <w:t xml:space="preserve">Suspendisse dapibus lorem pellentesque magna. Integer nulla. </w:t>
      </w:r>
      <w:r>
        <w:rPr/>
        <w:t>Donec blandit feugiat ligula. Donec hendrerit, felis et imperdiet euismod, purus ipsum pretium metus, in lacinia nulla nisl eget sapien.</w:t>
      </w:r>
    </w:p>
    <w:p>
      <w:pPr>
        <w:pStyle w:val="Normal"/>
        <w:rPr/>
      </w:pPr>
      <w:r>
        <w:rPr/>
        <w:t>Donec ut est in lectus consequat consequat. Etiam eget dui. Aliquam erat volutpat. Sed at lorem in nunc porta tristique.</w:t>
      </w:r>
    </w:p>
    <w:p>
      <w:pPr>
        <w:pStyle w:val="Normal"/>
        <w:rPr/>
      </w:pPr>
      <w:r>
        <w:rPr/>
        <w:t xml:space="preserve">Proin nec augue. </w:t>
      </w:r>
      <w:r>
        <w:rPr>
          <w:lang w:val="es-ES"/>
        </w:rPr>
        <w:t xml:space="preserve">Quisque aliquam tempor magna. Pellentesque habitant morbi tristique senectus et netus et malesuada fames ac turpis egestas. </w:t>
      </w:r>
      <w:r>
        <w:rPr/>
        <w:t>Nunc ac magna.</w:t>
      </w:r>
    </w:p>
    <w:p>
      <w:pPr>
        <w:pStyle w:val="Normal"/>
        <w:spacing w:before="0" w:after="200"/>
        <w:rPr>
          <w:u w:val="doubl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356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639a5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23356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f35e42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a71c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a71ca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639a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e27afd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35e42"/>
    <w:pPr>
      <w:spacing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a71c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a71c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1e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ED0B0AD6-3FBC-4E1A-8757-ED20AF7D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LibreOffice/7.2.5.2.0$Linux_X86_64 LibreOffice_project/20$Build-2</Application>
  <AppVersion>15.0000</AppVersion>
  <Pages>6</Pages>
  <Words>708</Words>
  <Characters>3974</Characters>
  <CharactersWithSpaces>4579</CharactersWithSpaces>
  <Paragraphs>109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2019-01-30T05:30:00Z</dcterms:created>
  <dc:creator>RoseMary Salter</dc:creator>
  <dc:description/>
  <dc:language>en-US</dc:language>
  <cp:lastModifiedBy/>
  <dcterms:modified xsi:type="dcterms:W3CDTF">2022-01-31T19:33:44Z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