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3A1D3DAC" w:rsidR="005B0F68" w:rsidRPr="00D66D6F" w:rsidRDefault="00443C38" w:rsidP="00C370EF">
      <w:pPr>
        <w:spacing w:after="280" w:line="240" w:lineRule="auto"/>
      </w:pPr>
      <w:proofErr w:type="gramStart"/>
      <w:r w:rsidRPr="00D66D6F">
        <w:t>{{ doc</w:t>
      </w:r>
      <w:proofErr w:type="gramEnd"/>
      <w:r w:rsidRPr="00D66D6F">
        <w:t>.date }}</w:t>
      </w:r>
    </w:p>
    <w:p w14:paraId="3AD54C97" w14:textId="0DC12BC6" w:rsidR="00D46A1E" w:rsidRPr="00C370EF" w:rsidRDefault="00C370EF" w:rsidP="00971F28">
      <w:pPr>
        <w:spacing w:after="280" w:line="240" w:lineRule="auto"/>
      </w:pPr>
      <w:r w:rsidRPr="00C370EF">
        <w:t xml:space="preserve">VIA EMAIL ONLY </w:t>
      </w:r>
      <w:r w:rsidR="00D66D6F" w:rsidRPr="00C370EF">
        <w:t xml:space="preserve">to </w:t>
      </w:r>
      <w:r w:rsidR="00D46A1E" w:rsidRPr="00C370EF">
        <w:t>abrady@bradyschwartz.com</w:t>
      </w:r>
    </w:p>
    <w:p w14:paraId="1369A5F5" w14:textId="77777777" w:rsidR="00F178DB" w:rsidRPr="005B0F68" w:rsidRDefault="00F178DB" w:rsidP="00600433">
      <w:pPr>
        <w:spacing w:after="0" w:line="233" w:lineRule="auto"/>
      </w:pPr>
      <w:r w:rsidRPr="005B0F68">
        <w:t xml:space="preserve">Mr. </w:t>
      </w:r>
      <w:r w:rsidR="0066142E" w:rsidRPr="005B0F68">
        <w:t>Alexander</w:t>
      </w:r>
      <w:r w:rsidRPr="005B0F68">
        <w:t xml:space="preserve"> </w:t>
      </w:r>
      <w:r w:rsidR="0066142E" w:rsidRPr="005B0F68">
        <w:t xml:space="preserve">M. </w:t>
      </w:r>
      <w:r w:rsidRPr="005B0F68">
        <w:t>Brady</w:t>
      </w:r>
    </w:p>
    <w:p w14:paraId="57106778" w14:textId="77777777" w:rsidR="001D51BB" w:rsidRPr="005B0F68" w:rsidRDefault="001D51BB" w:rsidP="00600433">
      <w:pPr>
        <w:spacing w:after="0" w:line="233" w:lineRule="auto"/>
      </w:pPr>
      <w:r w:rsidRPr="005B0F68">
        <w:t>Brady, Schwartz &amp; Kassell LLP</w:t>
      </w:r>
    </w:p>
    <w:p w14:paraId="2B5E3AAA" w14:textId="77777777" w:rsidR="00653526" w:rsidRPr="005B0F68" w:rsidRDefault="00653526" w:rsidP="00600433">
      <w:pPr>
        <w:spacing w:after="0" w:line="233" w:lineRule="auto"/>
      </w:pPr>
      <w:r w:rsidRPr="005B0F68">
        <w:t>1145 5th Avenue</w:t>
      </w:r>
      <w:r w:rsidR="0066142E" w:rsidRPr="005B0F68">
        <w:t>, Suite 120</w:t>
      </w:r>
    </w:p>
    <w:p w14:paraId="58FD5DF4" w14:textId="77777777" w:rsidR="00653526" w:rsidRPr="005B0F68" w:rsidRDefault="00653526" w:rsidP="00971F28">
      <w:pPr>
        <w:spacing w:after="280" w:line="240" w:lineRule="auto"/>
      </w:pPr>
      <w:r w:rsidRPr="005B0F68">
        <w:t>Houston, TX 34587</w:t>
      </w:r>
    </w:p>
    <w:p w14:paraId="5B09A862" w14:textId="164FF140" w:rsidR="006062DB" w:rsidRDefault="00F178DB" w:rsidP="00971F28">
      <w:pPr>
        <w:spacing w:after="0" w:line="240" w:lineRule="auto"/>
        <w:ind w:firstLine="432"/>
      </w:pPr>
      <w:r w:rsidRPr="005B0F68">
        <w:t>R</w:t>
      </w:r>
      <w:r w:rsidR="005A12C8">
        <w:t>e</w:t>
      </w:r>
      <w:r w:rsidRPr="005B0F68">
        <w:t>:</w:t>
      </w:r>
      <w:r w:rsidR="005A12C8">
        <w:tab/>
      </w:r>
      <w:r w:rsidR="006062DB">
        <w:t>Written Discovery Meet-and-Confer</w:t>
      </w:r>
    </w:p>
    <w:p w14:paraId="0B0A3D73" w14:textId="0AEFD5DA" w:rsidR="00F178DB" w:rsidRPr="005B0F68" w:rsidRDefault="006062DB" w:rsidP="005A12C8">
      <w:pPr>
        <w:spacing w:after="280" w:line="240" w:lineRule="auto"/>
        <w:ind w:left="432" w:firstLine="432"/>
      </w:pPr>
      <w:r>
        <w:t>Jones v. Smith</w:t>
      </w:r>
      <w:r w:rsidR="00960BF1">
        <w:t xml:space="preserve"> et al.</w:t>
      </w:r>
      <w:r>
        <w:t>; Sacramento County Case No. 34-2021-00283458</w:t>
      </w:r>
    </w:p>
    <w:p w14:paraId="22E41628" w14:textId="77777777" w:rsidR="001D51BB" w:rsidRDefault="00F178DB" w:rsidP="006062DB">
      <w:r w:rsidRPr="005B0F68">
        <w:t>Dear Mr. Brady</w:t>
      </w:r>
      <w:r w:rsidR="001D51BB" w:rsidRPr="005B0F68">
        <w:t>,</w:t>
      </w:r>
    </w:p>
    <w:p w14:paraId="32250999" w14:textId="07FAF947" w:rsidR="00934C1B" w:rsidRDefault="00934C1B" w:rsidP="00934C1B">
      <w:r w:rsidRPr="00934C1B">
        <w:t>Please consider this letter our initial outreach in a good faith attempt to meet-and-confer regarding your client’s</w:t>
      </w:r>
      <w:r>
        <w:t xml:space="preserve"> discovery</w:t>
      </w:r>
      <w:r w:rsidRPr="00934C1B">
        <w:t xml:space="preserve"> responses.</w:t>
      </w:r>
      <w:r>
        <w:t xml:space="preserve"> </w:t>
      </w:r>
      <w:r w:rsidR="006D3A21">
        <w:t xml:space="preserve">Please promptly confirm your receipt of this </w:t>
      </w:r>
      <w:proofErr w:type="gramStart"/>
      <w:r w:rsidR="006D3A21">
        <w:t>letter</w:t>
      </w:r>
      <w:r w:rsidR="00334D8C">
        <w:t>{</w:t>
      </w:r>
      <w:proofErr w:type="gramEnd"/>
      <w:r w:rsidR="00334D8C">
        <w:t>% if propose_call_or_meeting %}</w:t>
      </w:r>
      <w:r w:rsidR="006D3A21">
        <w:t xml:space="preserve">, and </w:t>
      </w:r>
      <w:r w:rsidR="00A82E76">
        <w:t>allow me to suggest</w:t>
      </w:r>
      <w:r>
        <w:t xml:space="preserve"> a </w:t>
      </w:r>
      <w:r w:rsidR="00C73837">
        <w:t xml:space="preserve">{{ </w:t>
      </w:r>
      <w:r w:rsidR="00D62AA0">
        <w:t>comma_and_list(propose_call_or_meeting</w:t>
      </w:r>
      <w:r w:rsidR="00334D8C">
        <w:t>.true_values()</w:t>
      </w:r>
      <w:r w:rsidR="00D62AA0">
        <w:t xml:space="preserve">, </w:t>
      </w:r>
      <w:r w:rsidR="00D62AA0" w:rsidRPr="00D62AA0">
        <w:t>and_string='or'</w:t>
      </w:r>
      <w:r w:rsidR="00D62AA0">
        <w:t>)</w:t>
      </w:r>
      <w:r w:rsidR="00D66D6F">
        <w:t>.lower()</w:t>
      </w:r>
      <w:r w:rsidR="00D62AA0">
        <w:t xml:space="preserve"> </w:t>
      </w:r>
      <w:r w:rsidR="00C73837">
        <w:t xml:space="preserve">}} </w:t>
      </w:r>
      <w:r w:rsidR="00D62AA0">
        <w:t>to discuss this once you’ve had a chance to review and consider our position.</w:t>
      </w:r>
      <w:r w:rsidR="006D3A21">
        <w:t xml:space="preserve"> </w:t>
      </w:r>
      <w:r w:rsidR="00A82E76">
        <w:t>If you’re amenable, p</w:t>
      </w:r>
      <w:r w:rsidR="006D3A21">
        <w:t xml:space="preserve">lease let me know your availability so we can coordinate </w:t>
      </w:r>
      <w:proofErr w:type="gramStart"/>
      <w:r w:rsidR="006D3A21">
        <w:t>scheduling</w:t>
      </w:r>
      <w:r w:rsidR="00334D8C">
        <w:t>{</w:t>
      </w:r>
      <w:proofErr w:type="gramEnd"/>
      <w:r w:rsidR="00334D8C">
        <w:t>% endif %}</w:t>
      </w:r>
      <w:r w:rsidR="00A82E76">
        <w:t>.</w:t>
      </w:r>
    </w:p>
    <w:p w14:paraId="017A0B56" w14:textId="6E6BA9F6" w:rsidR="008565BC" w:rsidRPr="00C370EF" w:rsidRDefault="008565BC" w:rsidP="008565BC">
      <w:pPr>
        <w:keepNext/>
        <w:jc w:val="center"/>
        <w:rPr>
          <w:rFonts w:ascii="Times New Roman Bold" w:hAnsi="Times New Roman Bold"/>
          <w:b/>
          <w:bCs/>
          <w:smallCaps/>
          <w:u w:val="single"/>
        </w:rPr>
      </w:pPr>
      <w:r w:rsidRPr="00C370EF">
        <w:rPr>
          <w:rFonts w:ascii="Times New Roman Bold" w:hAnsi="Times New Roman Bold"/>
          <w:b/>
          <w:bCs/>
          <w:smallCaps/>
          <w:u w:val="single"/>
        </w:rPr>
        <w:t>Background</w:t>
      </w:r>
    </w:p>
    <w:p w14:paraId="7E81C4B1" w14:textId="4676B8CA" w:rsidR="006D3A21" w:rsidRDefault="006D3A21" w:rsidP="006D3A21">
      <w:r>
        <w:t>A recap of the timing and service of the discovery methods at issue in this letter now follows:</w:t>
      </w:r>
    </w:p>
    <w:p w14:paraId="4F6990CF" w14:textId="1FE53F86" w:rsidR="00A82E76" w:rsidRDefault="00B403BB" w:rsidP="006062DB">
      <w:r w:rsidRPr="005964C8">
        <w:t>{%</w:t>
      </w:r>
      <w:r w:rsidR="00A82E76">
        <w:t>p</w:t>
      </w:r>
      <w:r w:rsidRPr="005964C8">
        <w:t xml:space="preserve"> for method in </w:t>
      </w:r>
      <w:proofErr w:type="gramStart"/>
      <w:r w:rsidRPr="005964C8">
        <w:t>methods.true</w:t>
      </w:r>
      <w:proofErr w:type="gramEnd"/>
      <w:r w:rsidRPr="005964C8">
        <w:t>_values() %}</w:t>
      </w:r>
    </w:p>
    <w:p w14:paraId="0540683A" w14:textId="29186832" w:rsidR="00B17D16" w:rsidRPr="0069679B" w:rsidRDefault="002F4887" w:rsidP="006062DB">
      <w:r w:rsidRPr="0069679B">
        <w:t xml:space="preserve">On </w:t>
      </w:r>
      <w:r w:rsidR="00B403BB" w:rsidRPr="0069679B">
        <w:t xml:space="preserve">{{ </w:t>
      </w:r>
      <w:r w:rsidR="002C1CA7" w:rsidRPr="0069679B">
        <w:t>disco_svc_date_docx_field</w:t>
      </w:r>
      <w:r w:rsidRPr="0069679B">
        <w:t xml:space="preserve"> </w:t>
      </w:r>
      <w:r w:rsidR="00B403BB" w:rsidRPr="0069679B">
        <w:t>}}</w:t>
      </w:r>
      <w:r w:rsidRPr="0069679B">
        <w:t xml:space="preserve">, {{ </w:t>
      </w:r>
      <w:r w:rsidR="008565BC" w:rsidRPr="0069679B">
        <w:t>propounder_docx_field</w:t>
      </w:r>
      <w:r w:rsidRPr="0069679B">
        <w:t xml:space="preserve"> }} propounded </w:t>
      </w:r>
      <w:r w:rsidR="00B403BB" w:rsidRPr="0069679B">
        <w:t>{{ method }}, Set {{ objection_categories[method].set_no }}</w:t>
      </w:r>
      <w:r w:rsidR="00D66D6F" w:rsidRPr="0069679B">
        <w:t>,</w:t>
      </w:r>
      <w:r w:rsidR="00B403BB" w:rsidRPr="0069679B">
        <w:t xml:space="preserve"> </w:t>
      </w:r>
      <w:r w:rsidR="009A2663" w:rsidRPr="0069679B">
        <w:t>consisting of {{ objection_categories[method].number_propounded}} {{ language_table[method][‘plural’] }}</w:t>
      </w:r>
      <w:r w:rsidR="00A609E1" w:rsidRPr="0069679B">
        <w:t xml:space="preserve"> </w:t>
      </w:r>
      <w:r w:rsidR="009A2663" w:rsidRPr="0069679B">
        <w:t>numbered {{ objection_categories[method].start_range }} through {{ objection_categories[method].end_range }}</w:t>
      </w:r>
      <w:r w:rsidR="00D66D6F" w:rsidRPr="0069679B">
        <w:t xml:space="preserve">, </w:t>
      </w:r>
      <w:r w:rsidR="002C1CA7" w:rsidRPr="0069679B">
        <w:t xml:space="preserve">on {{ responder_docx_field }} </w:t>
      </w:r>
      <w:r w:rsidR="00D66D6F" w:rsidRPr="0069679B">
        <w:t>via</w:t>
      </w:r>
      <w:r w:rsidR="002C1CA7" w:rsidRPr="0069679B">
        <w:t xml:space="preserve"> {{ disco_svc_method_docx_field }}. </w:t>
      </w:r>
      <w:r w:rsidR="00B403BB" w:rsidRPr="0069679B">
        <w:t>O</w:t>
      </w:r>
      <w:r w:rsidR="009B7C82" w:rsidRPr="0069679B">
        <w:t xml:space="preserve">n </w:t>
      </w:r>
      <w:proofErr w:type="gramStart"/>
      <w:r w:rsidR="00B403BB" w:rsidRPr="0069679B">
        <w:t xml:space="preserve">{{ </w:t>
      </w:r>
      <w:r w:rsidR="002C1CA7" w:rsidRPr="0069679B">
        <w:t>responses</w:t>
      </w:r>
      <w:proofErr w:type="gramEnd"/>
      <w:r w:rsidR="002C1CA7" w:rsidRPr="0069679B">
        <w:t xml:space="preserve">_svc_date_docx_field </w:t>
      </w:r>
      <w:r w:rsidR="00B403BB" w:rsidRPr="0069679B">
        <w:t>}}</w:t>
      </w:r>
      <w:r w:rsidR="009B7C82" w:rsidRPr="0069679B">
        <w:t xml:space="preserve">, {{ </w:t>
      </w:r>
      <w:r w:rsidR="008565BC" w:rsidRPr="0069679B">
        <w:t xml:space="preserve">responder_docx_field </w:t>
      </w:r>
      <w:r w:rsidR="009B7C82" w:rsidRPr="0069679B">
        <w:t xml:space="preserve">}} served responses </w:t>
      </w:r>
      <w:r w:rsidR="00B403BB" w:rsidRPr="0069679B">
        <w:t xml:space="preserve">by {{ </w:t>
      </w:r>
      <w:r w:rsidR="002C1CA7" w:rsidRPr="0069679B">
        <w:t xml:space="preserve">responses_svc_method_docx_field </w:t>
      </w:r>
      <w:r w:rsidR="00B403BB" w:rsidRPr="0069679B">
        <w:t xml:space="preserve">}} </w:t>
      </w:r>
      <w:r w:rsidR="009B7C82" w:rsidRPr="0069679B">
        <w:t>consisting of {{ objection_categories[method].responses_type }}.</w:t>
      </w:r>
      <w:r w:rsidR="0032113C" w:rsidRPr="0069679B">
        <w:t xml:space="preserve"> Something about verification.</w:t>
      </w:r>
    </w:p>
    <w:p w14:paraId="30CAB060" w14:textId="38B44C7E" w:rsidR="00EF570C" w:rsidRPr="0069679B" w:rsidRDefault="00EF570C" w:rsidP="006062DB">
      <w:r w:rsidRPr="0069679B">
        <w:t xml:space="preserve">{%p if </w:t>
      </w:r>
      <w:r w:rsidR="006D3A21" w:rsidRPr="0069679B">
        <w:t>objection_categories[method</w:t>
      </w:r>
      <w:proofErr w:type="gramStart"/>
      <w:r w:rsidR="006D3A21" w:rsidRPr="0069679B">
        <w:t>]</w:t>
      </w:r>
      <w:r w:rsidRPr="0069679B">
        <w:t>.responses</w:t>
      </w:r>
      <w:proofErr w:type="gramEnd"/>
      <w:r w:rsidRPr="0069679B">
        <w:t>_untimely %}</w:t>
      </w:r>
    </w:p>
    <w:p w14:paraId="19C32383" w14:textId="5765A546" w:rsidR="00EF570C" w:rsidRPr="0069679B" w:rsidRDefault="008565BC" w:rsidP="006062DB">
      <w:proofErr w:type="gramStart"/>
      <w:r w:rsidRPr="0069679B">
        <w:t>{{ responder</w:t>
      </w:r>
      <w:proofErr w:type="gramEnd"/>
      <w:r w:rsidRPr="0069679B">
        <w:t xml:space="preserve">_docx_field }}’s </w:t>
      </w:r>
      <w:r w:rsidR="00EF570C" w:rsidRPr="0069679B">
        <w:rPr>
          <w:u w:color="000000"/>
        </w:rPr>
        <w:t xml:space="preserve">responses were </w:t>
      </w:r>
      <w:r w:rsidR="0032113C" w:rsidRPr="0069679B">
        <w:rPr>
          <w:u w:color="000000"/>
        </w:rPr>
        <w:t xml:space="preserve">due to be served on xxxx, and are thus </w:t>
      </w:r>
      <w:r w:rsidR="00EF570C" w:rsidRPr="0069679B">
        <w:rPr>
          <w:u w:color="000000"/>
        </w:rPr>
        <w:t>untimely</w:t>
      </w:r>
      <w:r w:rsidR="0032113C" w:rsidRPr="0069679B">
        <w:rPr>
          <w:u w:color="000000"/>
        </w:rPr>
        <w:t xml:space="preserve">. </w:t>
      </w:r>
      <w:r w:rsidR="006D3A21" w:rsidRPr="0069679B">
        <w:rPr>
          <w:u w:color="000000"/>
        </w:rPr>
        <w:t xml:space="preserve">Unless </w:t>
      </w:r>
      <w:proofErr w:type="gramStart"/>
      <w:r w:rsidRPr="0069679B">
        <w:t>{{ responder</w:t>
      </w:r>
      <w:proofErr w:type="gramEnd"/>
      <w:r w:rsidRPr="0069679B">
        <w:t xml:space="preserve">_docx_field }} </w:t>
      </w:r>
      <w:r w:rsidR="006D3A21" w:rsidRPr="0069679B">
        <w:rPr>
          <w:u w:color="000000"/>
        </w:rPr>
        <w:t>affirmatively moves for relief, t</w:t>
      </w:r>
      <w:r w:rsidR="0032113C" w:rsidRPr="0069679B">
        <w:rPr>
          <w:u w:color="000000"/>
        </w:rPr>
        <w:t>he Discovery Act is clear that</w:t>
      </w:r>
      <w:r w:rsidR="00EF570C" w:rsidRPr="0069679B">
        <w:rPr>
          <w:u w:color="000000"/>
        </w:rPr>
        <w:t xml:space="preserve"> all objections, including those based on privilege, are deemed waived</w:t>
      </w:r>
      <w:r w:rsidR="0032113C" w:rsidRPr="0069679B">
        <w:rPr>
          <w:u w:color="000000"/>
        </w:rPr>
        <w:t xml:space="preserve">, and that </w:t>
      </w:r>
      <w:r w:rsidRPr="0069679B">
        <w:t xml:space="preserve">{{ responder_docx_field }} </w:t>
      </w:r>
      <w:r w:rsidR="0032113C" w:rsidRPr="0069679B">
        <w:rPr>
          <w:u w:color="000000"/>
        </w:rPr>
        <w:t xml:space="preserve">must </w:t>
      </w:r>
      <w:r w:rsidR="00EF570C" w:rsidRPr="0069679B">
        <w:rPr>
          <w:u w:color="000000"/>
        </w:rPr>
        <w:t xml:space="preserve">serve substantive responses to yyyy’s </w:t>
      </w:r>
      <w:r w:rsidR="00EF570C" w:rsidRPr="0069679B">
        <w:t>{{ method }} without any objection</w:t>
      </w:r>
      <w:r w:rsidR="006D3A21" w:rsidRPr="0069679B">
        <w:t xml:space="preserve"> recited therein</w:t>
      </w:r>
      <w:r w:rsidR="00EF570C" w:rsidRPr="0069679B">
        <w:t>.</w:t>
      </w:r>
    </w:p>
    <w:p w14:paraId="2EFB5A35" w14:textId="77777777" w:rsidR="00A82E76" w:rsidRDefault="00EF570C" w:rsidP="006062DB">
      <w:r>
        <w:t>{%p endif %}</w:t>
      </w:r>
    </w:p>
    <w:p w14:paraId="340195A9" w14:textId="7BC06FC1" w:rsidR="00EF570C" w:rsidRDefault="00A82E76" w:rsidP="006062DB">
      <w:r w:rsidRPr="005964C8">
        <w:lastRenderedPageBreak/>
        <w:t>{%</w:t>
      </w:r>
      <w:r>
        <w:t>p</w:t>
      </w:r>
      <w:r w:rsidRPr="005964C8">
        <w:t xml:space="preserve"> endfor %}</w:t>
      </w:r>
    </w:p>
    <w:p w14:paraId="384544AF" w14:textId="10A8030F" w:rsidR="008A7285" w:rsidRPr="00C370EF" w:rsidRDefault="008A7285" w:rsidP="00C370EF">
      <w:pPr>
        <w:keepNext/>
        <w:jc w:val="center"/>
        <w:rPr>
          <w:rFonts w:ascii="Times New Roman Bold" w:hAnsi="Times New Roman Bold"/>
          <w:b/>
          <w:bCs/>
          <w:smallCaps/>
          <w:u w:val="single"/>
        </w:rPr>
      </w:pPr>
      <w:r w:rsidRPr="00C370EF">
        <w:rPr>
          <w:rFonts w:ascii="Times New Roman Bold" w:hAnsi="Times New Roman Bold"/>
          <w:b/>
          <w:bCs/>
          <w:smallCaps/>
          <w:u w:val="single"/>
        </w:rPr>
        <w:t>Discovery Deficiencies</w:t>
      </w:r>
    </w:p>
    <w:p w14:paraId="5A944058" w14:textId="1C2083A2" w:rsidR="00143292" w:rsidRDefault="00143292" w:rsidP="006062DB">
      <w:r>
        <w:t xml:space="preserve">Your client’s discovery responses fail to comply with the </w:t>
      </w:r>
      <w:r w:rsidR="000D424A">
        <w:t xml:space="preserve">Civil </w:t>
      </w:r>
      <w:r>
        <w:t>Discovery Act for the reasons detailed below.</w:t>
      </w:r>
    </w:p>
    <w:p w14:paraId="6956B46E" w14:textId="55633926" w:rsidR="008466BC" w:rsidRPr="005964C8" w:rsidRDefault="008466BC" w:rsidP="006062DB">
      <w:r w:rsidRPr="005964C8">
        <w:t>{%p for method in methods %}</w:t>
      </w:r>
    </w:p>
    <w:p w14:paraId="636B639C" w14:textId="29D95242" w:rsidR="00962045" w:rsidRPr="005964C8" w:rsidRDefault="008466BC" w:rsidP="006062DB">
      <w:r w:rsidRPr="005964C8">
        <w:t>{%p for ncr in objection_categories[method].ncr.true_values() %}</w:t>
      </w:r>
    </w:p>
    <w:p w14:paraId="574E3244" w14:textId="62166345" w:rsidR="008466BC" w:rsidRPr="005B0F68" w:rsidRDefault="008466BC" w:rsidP="006062DB">
      <w:pPr>
        <w:keepNext/>
        <w:rPr>
          <w:b/>
          <w:bCs/>
          <w:i/>
          <w:iCs/>
        </w:rPr>
      </w:pPr>
      <w:r w:rsidRPr="005B0F68">
        <w:rPr>
          <w:b/>
          <w:bCs/>
          <w:i/>
          <w:iCs/>
        </w:rPr>
        <w:t xml:space="preserve">{{ </w:t>
      </w:r>
      <w:bookmarkStart w:id="0" w:name="_Hlk132898307"/>
      <w:r w:rsidR="007261C6">
        <w:rPr>
          <w:b/>
          <w:bCs/>
          <w:i/>
          <w:iCs/>
        </w:rPr>
        <w:t>method</w:t>
      </w:r>
      <w:r w:rsidRPr="005B0F68">
        <w:rPr>
          <w:b/>
          <w:bCs/>
          <w:i/>
          <w:iCs/>
        </w:rPr>
        <w:t xml:space="preserve"> </w:t>
      </w:r>
      <w:bookmarkEnd w:id="0"/>
      <w:r w:rsidRPr="005B0F68">
        <w:rPr>
          <w:b/>
          <w:bCs/>
          <w:i/>
          <w:iCs/>
        </w:rPr>
        <w:t>}} No. {{ ncr }}</w:t>
      </w:r>
    </w:p>
    <w:p w14:paraId="6DEB4FE3" w14:textId="538FF047" w:rsidR="001D51BB" w:rsidRPr="005B0F68" w:rsidRDefault="001D51BB" w:rsidP="006062DB">
      <w:pPr>
        <w:keepLines/>
      </w:pPr>
      <w:r w:rsidRPr="005B0F68">
        <w:t xml:space="preserve">The {{ </w:t>
      </w:r>
      <w:r w:rsidR="00962045" w:rsidRPr="00962045">
        <w:t xml:space="preserve">language_table[method][‘singular’] </w:t>
      </w:r>
      <w:r w:rsidRPr="005B0F68">
        <w:t>}} read as follows:</w:t>
      </w:r>
    </w:p>
    <w:p w14:paraId="7764BAF6" w14:textId="77777777" w:rsidR="001D51BB" w:rsidRPr="0069679B" w:rsidRDefault="001D51BB" w:rsidP="006062DB">
      <w:pPr>
        <w:keepLines/>
        <w:ind w:left="432" w:right="432"/>
        <w:rPr>
          <w:highlight w:val="yellow"/>
        </w:rPr>
      </w:pPr>
      <w:r w:rsidRPr="0069679B">
        <w:rPr>
          <w:highlight w:val="yellow"/>
        </w:rPr>
        <w:t>xxxxxxxxxxxxxxxxxxxxxxxxxxxxxxxxxxxxxxxxx</w:t>
      </w:r>
    </w:p>
    <w:p w14:paraId="6E65672D" w14:textId="5860E17E" w:rsidR="008466BC" w:rsidRPr="0069679B" w:rsidRDefault="008565BC" w:rsidP="006062DB">
      <w:pPr>
        <w:keepLines/>
      </w:pPr>
      <w:proofErr w:type="gramStart"/>
      <w:r w:rsidRPr="0069679B">
        <w:t>{{ responder</w:t>
      </w:r>
      <w:proofErr w:type="gramEnd"/>
      <w:r w:rsidRPr="0069679B">
        <w:t>_docx_field }}</w:t>
      </w:r>
      <w:r w:rsidR="008466BC" w:rsidRPr="0069679B">
        <w:t xml:space="preserve">’s response </w:t>
      </w:r>
      <w:r w:rsidR="001D51BB" w:rsidRPr="0069679B">
        <w:t xml:space="preserve">to the above </w:t>
      </w:r>
      <w:r w:rsidR="008466BC" w:rsidRPr="0069679B">
        <w:t>was:</w:t>
      </w:r>
    </w:p>
    <w:p w14:paraId="43341445" w14:textId="77777777" w:rsidR="008466BC" w:rsidRPr="0069679B" w:rsidRDefault="008466BC" w:rsidP="006062DB">
      <w:pPr>
        <w:keepLines/>
        <w:ind w:left="432" w:right="432"/>
        <w:rPr>
          <w:highlight w:val="yellow"/>
        </w:rPr>
      </w:pPr>
      <w:r w:rsidRPr="0069679B">
        <w:rPr>
          <w:highlight w:val="yellow"/>
        </w:rPr>
        <w:t>yyyyyyyyyyyyyyyyyyyyyyyyyyyyyyyyyyyyyyyyy</w:t>
      </w:r>
    </w:p>
    <w:p w14:paraId="2CABB152" w14:textId="1262A8FB" w:rsidR="008B2F78" w:rsidRPr="0069679B" w:rsidRDefault="007261C6" w:rsidP="006062DB">
      <w:r w:rsidRPr="0069679B">
        <w:t>This response</w:t>
      </w:r>
      <w:r w:rsidR="008466BC" w:rsidRPr="0069679B">
        <w:t xml:space="preserve"> </w:t>
      </w:r>
      <w:r w:rsidR="008B2F78" w:rsidRPr="0069679B">
        <w:t xml:space="preserve">fails to comply with the </w:t>
      </w:r>
      <w:r w:rsidR="001F3EFC" w:rsidRPr="0069679B">
        <w:t>Discovery Act</w:t>
      </w:r>
      <w:r w:rsidR="008466BC" w:rsidRPr="0069679B">
        <w:t xml:space="preserve"> </w:t>
      </w:r>
      <w:r w:rsidR="008B2F78" w:rsidRPr="0069679B">
        <w:t>because {% for objection in objection_categories[method</w:t>
      </w:r>
      <w:proofErr w:type="gramStart"/>
      <w:r w:rsidR="008B2F78" w:rsidRPr="0069679B">
        <w:t>].objections</w:t>
      </w:r>
      <w:proofErr w:type="gramEnd"/>
      <w:r w:rsidR="008B2F78" w:rsidRPr="0069679B">
        <w:t>[ncr].selected.true_values() %}</w:t>
      </w:r>
      <w:r w:rsidR="008466BC" w:rsidRPr="0069679B">
        <w:t>{{</w:t>
      </w:r>
      <w:r w:rsidR="00CD5B92" w:rsidRPr="0069679B">
        <w:t>r</w:t>
      </w:r>
      <w:r w:rsidR="008466BC" w:rsidRPr="0069679B">
        <w:t xml:space="preserve"> dataloader.load_row(to_int(objection))["</w:t>
      </w:r>
      <w:r w:rsidR="00962045" w:rsidRPr="0069679B">
        <w:t>Summary</w:t>
      </w:r>
      <w:r w:rsidR="008466BC" w:rsidRPr="0069679B">
        <w:t xml:space="preserve">"] </w:t>
      </w:r>
      <w:r w:rsidR="00F77942" w:rsidRPr="0069679B">
        <w:t xml:space="preserve">| </w:t>
      </w:r>
      <w:r w:rsidR="00CD5B92" w:rsidRPr="0069679B">
        <w:t>inline</w:t>
      </w:r>
      <w:r w:rsidR="00D15819" w:rsidRPr="0069679B">
        <w:t>_</w:t>
      </w:r>
      <w:r w:rsidR="00F77942" w:rsidRPr="0069679B">
        <w:t xml:space="preserve">markdown </w:t>
      </w:r>
      <w:r w:rsidR="008466BC" w:rsidRPr="0069679B">
        <w:t>}}</w:t>
      </w:r>
    </w:p>
    <w:p w14:paraId="539F5938" w14:textId="54D1ED7F" w:rsidR="008466BC" w:rsidRPr="0069679B" w:rsidRDefault="00962045" w:rsidP="006062DB">
      <w:r w:rsidRPr="0069679B">
        <w:t xml:space="preserve">{{r </w:t>
      </w:r>
      <w:proofErr w:type="gramStart"/>
      <w:r w:rsidRPr="0069679B">
        <w:t>dataloader.load</w:t>
      </w:r>
      <w:proofErr w:type="gramEnd"/>
      <w:r w:rsidRPr="0069679B">
        <w:t>_row(to_int(objection))["Blurb"] | inline_markdown }}</w:t>
      </w:r>
      <w:r w:rsidR="008466BC" w:rsidRPr="0069679B">
        <w:t>{% endfor %}</w:t>
      </w:r>
    </w:p>
    <w:p w14:paraId="6479EAF2" w14:textId="6608AADA" w:rsidR="009A40F8" w:rsidRPr="0069679B" w:rsidRDefault="009A40F8" w:rsidP="006062DB">
      <w:r w:rsidRPr="0069679B">
        <w:t>{%p if objection_categories[method].objections[ncr].add_custom_critique %}</w:t>
      </w:r>
    </w:p>
    <w:p w14:paraId="6A014FB2" w14:textId="0ABF2205" w:rsidR="009A40F8" w:rsidRPr="0069679B" w:rsidRDefault="009A40F8" w:rsidP="006062DB">
      <w:proofErr w:type="gramStart"/>
      <w:r w:rsidRPr="0069679B">
        <w:t>{{ objection</w:t>
      </w:r>
      <w:proofErr w:type="gramEnd"/>
      <w:r w:rsidRPr="0069679B">
        <w:t>_categories[method].objections[ncr].custom_critique }}</w:t>
      </w:r>
    </w:p>
    <w:p w14:paraId="16E0FC35" w14:textId="04C97E92" w:rsidR="009A40F8" w:rsidRPr="0069679B" w:rsidRDefault="009A40F8" w:rsidP="006062DB">
      <w:r w:rsidRPr="0069679B">
        <w:t>{%p endif %}</w:t>
      </w:r>
    </w:p>
    <w:p w14:paraId="232E967B" w14:textId="77777777" w:rsidR="008466BC" w:rsidRPr="005B0F68" w:rsidRDefault="008466BC" w:rsidP="006062DB">
      <w:r w:rsidRPr="005B0F68">
        <w:t>{%p endfor %}</w:t>
      </w:r>
    </w:p>
    <w:p w14:paraId="4D4FBE0E" w14:textId="77777777" w:rsidR="008466BC" w:rsidRDefault="008466BC" w:rsidP="006062DB">
      <w:r w:rsidRPr="005B0F68">
        <w:t>{%p endfor %}</w:t>
      </w:r>
    </w:p>
    <w:p w14:paraId="059CB8E4" w14:textId="62EFD2E2" w:rsidR="008A7285" w:rsidRPr="00C370EF" w:rsidRDefault="00600433" w:rsidP="001F3EFC">
      <w:pPr>
        <w:keepNext/>
        <w:jc w:val="center"/>
        <w:rPr>
          <w:rFonts w:ascii="Times New Roman Bold" w:hAnsi="Times New Roman Bold"/>
          <w:b/>
          <w:bCs/>
          <w:smallCaps/>
          <w:u w:val="single"/>
        </w:rPr>
      </w:pPr>
      <w:r w:rsidRPr="00C370EF">
        <w:rPr>
          <w:rFonts w:ascii="Times New Roman Bold" w:hAnsi="Times New Roman Bold"/>
          <w:b/>
          <w:bCs/>
          <w:smallCaps/>
          <w:u w:val="single"/>
        </w:rPr>
        <w:t>Proposed Resolution</w:t>
      </w:r>
    </w:p>
    <w:p w14:paraId="0814E341" w14:textId="33156AC8" w:rsidR="0068134B" w:rsidRDefault="00C73837" w:rsidP="006062DB">
      <w:r>
        <w:t>We have no desire to duke it out in law and motion, and our firm takes an uncommon approach</w:t>
      </w:r>
      <w:r w:rsidR="00683398">
        <w:t xml:space="preserve"> our meet-and-confer obligation to “</w:t>
      </w:r>
      <w:r w:rsidR="00683398" w:rsidRPr="00683398">
        <w:t>talk the matter over, compare</w:t>
      </w:r>
      <w:r>
        <w:t>…</w:t>
      </w:r>
      <w:r w:rsidR="00683398" w:rsidRPr="00683398">
        <w:t>views, consult, and deliberate</w:t>
      </w:r>
      <w:r w:rsidR="005E1F53">
        <w:t>”</w:t>
      </w:r>
      <w:r w:rsidR="005E1F53" w:rsidRPr="005E1F53">
        <w:rPr>
          <w:rStyle w:val="FootnoteReference"/>
        </w:rPr>
        <w:footnoteReference w:id="1"/>
      </w:r>
      <w:r>
        <w:t xml:space="preserve"> in a good faith effort to resolve discovery disputes.</w:t>
      </w:r>
      <w:r w:rsidR="005E1F53" w:rsidRPr="005E1F53">
        <w:t xml:space="preserve"> </w:t>
      </w:r>
      <w:r>
        <w:t>I</w:t>
      </w:r>
      <w:r w:rsidR="00850B1F">
        <w:t>f we’re wrong on any of these issues, we’ll cop to it. To that end, i</w:t>
      </w:r>
      <w:r w:rsidR="0068134B" w:rsidRPr="005E1F53">
        <w:t>f</w:t>
      </w:r>
      <w:r w:rsidR="0068134B">
        <w:t xml:space="preserve"> you </w:t>
      </w:r>
      <w:r w:rsidR="00EA13C2">
        <w:t>know of</w:t>
      </w:r>
      <w:r w:rsidR="0068134B">
        <w:t xml:space="preserve"> any legal authority or persuasive argument </w:t>
      </w:r>
      <w:r>
        <w:t>contrary to the positions taken</w:t>
      </w:r>
      <w:r w:rsidR="0068134B">
        <w:t xml:space="preserve"> above, please forward it promptly to my attention. I</w:t>
      </w:r>
      <w:r w:rsidR="0068134B" w:rsidRPr="0068134B">
        <w:t xml:space="preserve"> will </w:t>
      </w:r>
      <w:r w:rsidR="0068134B">
        <w:t xml:space="preserve">thoroughly review and </w:t>
      </w:r>
      <w:r w:rsidR="0068134B" w:rsidRPr="0068134B">
        <w:t>carefully consider any relevant authorities you produce, binding/precedential or not</w:t>
      </w:r>
      <w:r w:rsidR="0068134B">
        <w:t>, including</w:t>
      </w:r>
      <w:r w:rsidR="0068134B" w:rsidRPr="0068134B">
        <w:t xml:space="preserve"> unpublished </w:t>
      </w:r>
      <w:r w:rsidR="0068134B">
        <w:t>appellate opinions</w:t>
      </w:r>
      <w:r w:rsidR="0068134B" w:rsidRPr="0068134B">
        <w:t>, trial court rulings, treatise</w:t>
      </w:r>
      <w:r w:rsidR="005942DC">
        <w:t>s/legal encyclopedias,</w:t>
      </w:r>
      <w:r w:rsidR="0068134B" w:rsidRPr="0068134B">
        <w:t xml:space="preserve"> practice guides, out-of-state authorities, </w:t>
      </w:r>
      <w:r w:rsidR="0068134B">
        <w:t xml:space="preserve">and </w:t>
      </w:r>
      <w:r w:rsidR="0068134B" w:rsidRPr="0068134B">
        <w:t>even law review articles</w:t>
      </w:r>
      <w:r w:rsidR="0068134B">
        <w:t>.</w:t>
      </w:r>
    </w:p>
    <w:p w14:paraId="5FE5676B" w14:textId="10518A92" w:rsidR="00654A66" w:rsidRDefault="00654A66" w:rsidP="006062DB">
      <w:r>
        <w:lastRenderedPageBreak/>
        <w:t>{%p if discov.proposal_list.any_true() %}</w:t>
      </w:r>
    </w:p>
    <w:p w14:paraId="12646E0F" w14:textId="7FDD2BA6" w:rsidR="00654A66" w:rsidRDefault="00CD67CA" w:rsidP="006062DB">
      <w:r>
        <w:t>We are earnest in our desire to resolve this matter without wasteful litigation</w:t>
      </w:r>
      <w:r w:rsidR="00695FC3">
        <w:t>. As long as we can procure the discovery to which our client is entitled, we</w:t>
      </w:r>
      <w:r>
        <w:t xml:space="preserve"> willing to consider {{ discov.proposal_list.true_values() }}</w:t>
      </w:r>
      <w:r w:rsidR="00695FC3">
        <w:t xml:space="preserve"> or any other solution you may propose.</w:t>
      </w:r>
    </w:p>
    <w:p w14:paraId="4FD41B2F" w14:textId="5F2A368C" w:rsidR="00654A66" w:rsidRDefault="00CD67CA" w:rsidP="006062DB">
      <w:r>
        <w:t>{%p endif %}</w:t>
      </w:r>
    </w:p>
    <w:p w14:paraId="6F746424" w14:textId="0834D403" w:rsidR="0042208A" w:rsidRPr="00C370EF" w:rsidRDefault="0042208A" w:rsidP="001F3EFC">
      <w:pPr>
        <w:keepNext/>
        <w:jc w:val="center"/>
        <w:rPr>
          <w:rFonts w:ascii="Times New Roman Bold" w:hAnsi="Times New Roman Bold"/>
          <w:b/>
          <w:bCs/>
          <w:smallCaps/>
          <w:u w:val="single"/>
        </w:rPr>
      </w:pPr>
      <w:r w:rsidRPr="00C370EF">
        <w:rPr>
          <w:rFonts w:ascii="Times New Roman Bold" w:hAnsi="Times New Roman Bold"/>
          <w:b/>
          <w:bCs/>
          <w:smallCaps/>
          <w:u w:val="single"/>
        </w:rPr>
        <w:t>Meet-and-Confer &amp; Litigation Timing</w:t>
      </w:r>
    </w:p>
    <w:p w14:paraId="5970E788" w14:textId="563D63D1" w:rsidR="000B4A3E" w:rsidRDefault="000B4A3E" w:rsidP="003668E8">
      <w:r>
        <w:t>We respectfully request that you do the following:</w:t>
      </w:r>
    </w:p>
    <w:p w14:paraId="69913C24" w14:textId="7C411AE0" w:rsidR="000B4A3E" w:rsidRPr="00151907" w:rsidRDefault="00151907" w:rsidP="00151907">
      <w:pPr>
        <w:pStyle w:val="ListParagraph"/>
        <w:numPr>
          <w:ilvl w:val="0"/>
          <w:numId w:val="2"/>
        </w:numPr>
        <w:ind w:left="864" w:hanging="432"/>
        <w:contextualSpacing w:val="0"/>
      </w:pPr>
      <w:r w:rsidRPr="00151907">
        <w:t xml:space="preserve">Email me </w:t>
      </w:r>
      <w:r w:rsidR="00960BF1">
        <w:t>back at your next</w:t>
      </w:r>
      <w:r w:rsidR="001F3EFC">
        <w:t xml:space="preserve"> reasonable</w:t>
      </w:r>
      <w:r w:rsidR="00960BF1">
        <w:t xml:space="preserve"> opportunity </w:t>
      </w:r>
      <w:r w:rsidRPr="00151907">
        <w:t xml:space="preserve">to </w:t>
      </w:r>
      <w:r w:rsidR="000B4A3E" w:rsidRPr="00151907">
        <w:t>confirm</w:t>
      </w:r>
      <w:r w:rsidRPr="00151907">
        <w:t xml:space="preserve"> </w:t>
      </w:r>
      <w:r w:rsidR="000B4A3E" w:rsidRPr="00151907">
        <w:rPr>
          <w:u w:color="000000"/>
        </w:rPr>
        <w:t xml:space="preserve">that you’ve received and are reviewing this </w:t>
      </w:r>
      <w:r w:rsidRPr="00151907">
        <w:rPr>
          <w:u w:color="000000"/>
        </w:rPr>
        <w:t>letter</w:t>
      </w:r>
      <w:r w:rsidR="000B4A3E" w:rsidRPr="00151907">
        <w:rPr>
          <w:u w:color="000000"/>
        </w:rPr>
        <w:t>;</w:t>
      </w:r>
    </w:p>
    <w:p w14:paraId="395C0454" w14:textId="17B9536B" w:rsidR="00151907" w:rsidRDefault="00C76CB9" w:rsidP="00151907">
      <w:pPr>
        <w:pStyle w:val="ListParagraph"/>
        <w:numPr>
          <w:ilvl w:val="0"/>
          <w:numId w:val="2"/>
        </w:numPr>
        <w:ind w:left="864" w:hanging="432"/>
        <w:contextualSpacing w:val="0"/>
      </w:pPr>
      <w:r>
        <w:t>N</w:t>
      </w:r>
      <w:r w:rsidR="00151907" w:rsidRPr="00151907">
        <w:t xml:space="preserve">ot later than </w:t>
      </w:r>
      <w:proofErr w:type="gramStart"/>
      <w:r w:rsidR="00151907" w:rsidRPr="00151907">
        <w:rPr>
          <w:b/>
          <w:bCs/>
        </w:rPr>
        <w:t>{{ response</w:t>
      </w:r>
      <w:proofErr w:type="gramEnd"/>
      <w:r w:rsidR="00151907" w:rsidRPr="00151907">
        <w:rPr>
          <w:b/>
          <w:bCs/>
        </w:rPr>
        <w:t>_deadline }}</w:t>
      </w:r>
      <w:r w:rsidRPr="006D3A21">
        <w:t xml:space="preserve">, </w:t>
      </w:r>
      <w:r w:rsidRPr="00C76CB9">
        <w:t>respond in writing to this letter with specific and on-point legal authority in support of any contrary position you may hold, or else serve verified, code-compliant further responses to {{ discov.propounder_list }}’s {{ methods.true_values() }}</w:t>
      </w:r>
      <w:r w:rsidR="00151907" w:rsidRPr="00C76CB9">
        <w:t>;</w:t>
      </w:r>
    </w:p>
    <w:p w14:paraId="28CAEDA1" w14:textId="77777777" w:rsidR="00C76CB9" w:rsidRDefault="000B4A3E" w:rsidP="00151907">
      <w:pPr>
        <w:pStyle w:val="ListParagraph"/>
        <w:numPr>
          <w:ilvl w:val="0"/>
          <w:numId w:val="2"/>
        </w:numPr>
        <w:ind w:left="864" w:hanging="432"/>
        <w:contextualSpacing w:val="0"/>
      </w:pPr>
      <w:r w:rsidRPr="00151907">
        <w:t>{%</w:t>
      </w:r>
      <w:r w:rsidR="00C76CB9">
        <w:t>p</w:t>
      </w:r>
      <w:r w:rsidRPr="00151907">
        <w:t xml:space="preserve"> if request_to_extend_MTC_deadline %}</w:t>
      </w:r>
    </w:p>
    <w:p w14:paraId="5FD42175" w14:textId="68B1102A" w:rsidR="00C76CB9" w:rsidRDefault="00257649" w:rsidP="00151907">
      <w:pPr>
        <w:pStyle w:val="ListParagraph"/>
        <w:numPr>
          <w:ilvl w:val="0"/>
          <w:numId w:val="2"/>
        </w:numPr>
        <w:ind w:left="864" w:hanging="432"/>
        <w:contextualSpacing w:val="0"/>
      </w:pPr>
      <w:r w:rsidRPr="00151907">
        <w:t>Confirm an agreement</w:t>
      </w:r>
      <w:r w:rsidR="00102458" w:rsidRPr="00151907">
        <w:t xml:space="preserve"> to continue CCP § 2031.310(b)’s</w:t>
      </w:r>
      <w:r w:rsidR="00AA6FDC" w:rsidRPr="00151907">
        <w:t xml:space="preserve"> 45-day Motion to Compel deadline until </w:t>
      </w:r>
      <w:r w:rsidR="003668E8" w:rsidRPr="00151907">
        <w:rPr>
          <w:b/>
          <w:bCs/>
          <w:u w:color="000000"/>
        </w:rPr>
        <w:t>{{ proposed_MTC_extension_deadline }}</w:t>
      </w:r>
      <w:r w:rsidR="00102458" w:rsidRPr="00151907">
        <w:rPr>
          <w:b/>
          <w:bCs/>
          <w:u w:color="000000"/>
        </w:rPr>
        <w:t xml:space="preserve"> </w:t>
      </w:r>
      <w:r w:rsidR="00102458" w:rsidRPr="00151907">
        <w:rPr>
          <w:u w:color="000000"/>
        </w:rPr>
        <w:t>in order to give the parties sufficient time to confer on these issues</w:t>
      </w:r>
      <w:r w:rsidR="00C76CB9">
        <w:t>.</w:t>
      </w:r>
    </w:p>
    <w:p w14:paraId="3F543E81" w14:textId="709D6482" w:rsidR="00257649" w:rsidRPr="00151907" w:rsidRDefault="003668E8" w:rsidP="00151907">
      <w:pPr>
        <w:pStyle w:val="ListParagraph"/>
        <w:numPr>
          <w:ilvl w:val="0"/>
          <w:numId w:val="2"/>
        </w:numPr>
        <w:ind w:left="864" w:hanging="432"/>
        <w:contextualSpacing w:val="0"/>
      </w:pPr>
      <w:r w:rsidRPr="00151907">
        <w:t>{%</w:t>
      </w:r>
      <w:r w:rsidR="00C76CB9">
        <w:t>p</w:t>
      </w:r>
      <w:r w:rsidRPr="00151907">
        <w:t xml:space="preserve"> endif %}</w:t>
      </w:r>
    </w:p>
    <w:p w14:paraId="7093FA96" w14:textId="559167B6" w:rsidR="00151907" w:rsidRPr="005B0F68" w:rsidRDefault="00151907" w:rsidP="001F3EFC">
      <w:pPr>
        <w:keepNext/>
      </w:pPr>
      <w:r>
        <w:t>We</w:t>
      </w:r>
      <w:r w:rsidR="005F2EE7">
        <w:t xml:space="preserve">’re </w:t>
      </w:r>
      <w:r w:rsidR="00D66D6F">
        <w:t>hopeful</w:t>
      </w:r>
      <w:r w:rsidR="005F2EE7">
        <w:t xml:space="preserve"> that reasonable minds will come to an agreement here</w:t>
      </w:r>
      <w:r w:rsidR="00D66D6F">
        <w:t>,</w:t>
      </w:r>
      <w:r w:rsidR="005F2EE7">
        <w:t xml:space="preserve"> and we</w:t>
      </w:r>
      <w:r>
        <w:t xml:space="preserve"> look forward to a cooperative and successful resolution of this matter.</w:t>
      </w:r>
    </w:p>
    <w:p w14:paraId="7DED9C70" w14:textId="7872F5D2" w:rsidR="00F178DB" w:rsidRDefault="00C7277C" w:rsidP="00D66D6F">
      <w:pPr>
        <w:keepNext/>
        <w:keepLines/>
        <w:spacing w:after="120" w:line="240" w:lineRule="auto"/>
        <w:ind w:left="5220"/>
      </w:pPr>
      <w:r w:rsidRPr="005B0F68">
        <w:t>Cordially</w:t>
      </w:r>
      <w:r w:rsidR="00F178DB" w:rsidRPr="005B0F68">
        <w:t>,</w:t>
      </w:r>
    </w:p>
    <w:p w14:paraId="0BDB56C7" w14:textId="125D0083" w:rsidR="00214575" w:rsidRDefault="00214575" w:rsidP="00D66D6F">
      <w:pPr>
        <w:keepNext/>
        <w:keepLines/>
        <w:spacing w:after="0" w:line="240" w:lineRule="auto"/>
        <w:ind w:left="5220"/>
      </w:pPr>
      <w:r>
        <w:t>{%</w:t>
      </w:r>
      <w:r w:rsidR="00960BF1">
        <w:t>p</w:t>
      </w:r>
      <w:r>
        <w:t xml:space="preserve"> if </w:t>
      </w:r>
      <w:proofErr w:type="gramStart"/>
      <w:r>
        <w:t>doc.sign</w:t>
      </w:r>
      <w:proofErr w:type="gramEnd"/>
      <w:r>
        <w:t>_yes %}</w:t>
      </w:r>
    </w:p>
    <w:p w14:paraId="407903F2" w14:textId="14E94F39" w:rsidR="00214575" w:rsidRDefault="00C370EF" w:rsidP="00D66D6F">
      <w:pPr>
        <w:keepNext/>
        <w:keepLines/>
        <w:spacing w:before="120" w:after="120" w:line="240" w:lineRule="auto"/>
        <w:ind w:left="5220"/>
      </w:pPr>
      <w:r w:rsidRPr="005B0F68">
        <w:rPr>
          <w:noProof/>
        </w:rPr>
        <w:drawing>
          <wp:anchor distT="0" distB="0" distL="114300" distR="114300" simplePos="0" relativeHeight="251658752" behindDoc="1" locked="0" layoutInCell="1" allowOverlap="1" wp14:anchorId="6A1FCC4A" wp14:editId="70F3BD1D">
            <wp:simplePos x="0" y="0"/>
            <wp:positionH relativeFrom="margin">
              <wp:posOffset>3209650</wp:posOffset>
            </wp:positionH>
            <wp:positionV relativeFrom="paragraph">
              <wp:posOffset>-142090</wp:posOffset>
            </wp:positionV>
            <wp:extent cx="2543810" cy="428625"/>
            <wp:effectExtent l="0" t="0" r="889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A3AA5" w14:textId="129FACF1" w:rsidR="00214575" w:rsidRPr="005B0F68" w:rsidRDefault="00214575" w:rsidP="00D66D6F">
      <w:pPr>
        <w:keepNext/>
        <w:keepLines/>
        <w:spacing w:after="0" w:line="240" w:lineRule="auto"/>
        <w:ind w:left="5220"/>
      </w:pPr>
      <w:r>
        <w:t>{%</w:t>
      </w:r>
      <w:r w:rsidR="00960BF1">
        <w:t>p</w:t>
      </w:r>
      <w:r>
        <w:t xml:space="preserve"> endif %}</w:t>
      </w:r>
    </w:p>
    <w:p w14:paraId="1F97654F" w14:textId="096D6438" w:rsidR="00653526" w:rsidRPr="005B0F68" w:rsidRDefault="00F178DB" w:rsidP="00D66D6F">
      <w:pPr>
        <w:keepNext/>
        <w:keepLines/>
        <w:spacing w:after="0" w:line="240" w:lineRule="auto"/>
        <w:ind w:left="5227"/>
      </w:pPr>
      <w:r w:rsidRPr="005B0F68">
        <w:t>Daniel</w:t>
      </w:r>
      <w:r w:rsidR="00B96B77" w:rsidRPr="005B0F68">
        <w:t xml:space="preserve"> R.</w:t>
      </w:r>
      <w:r w:rsidRPr="005B0F68">
        <w:t xml:space="preserve"> Franklin</w:t>
      </w:r>
    </w:p>
    <w:p w14:paraId="0E163B7A" w14:textId="77777777" w:rsidR="00F178DB" w:rsidRPr="005B0F68" w:rsidRDefault="001D51BB" w:rsidP="00D66D6F">
      <w:pPr>
        <w:keepNext/>
        <w:keepLines/>
        <w:spacing w:after="0" w:line="240" w:lineRule="auto"/>
        <w:ind w:left="5227"/>
      </w:pPr>
      <w:r w:rsidRPr="005B0F68">
        <w:t>Managing Partner</w:t>
      </w:r>
    </w:p>
    <w:sectPr w:rsidR="00F178DB" w:rsidRPr="005B0F68" w:rsidSect="00C370E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160" w:right="1080" w:bottom="1350" w:left="1080" w:header="720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300E" w14:textId="77777777" w:rsidR="006A5DD0" w:rsidRDefault="006A5DD0" w:rsidP="00C076F2">
      <w:pPr>
        <w:spacing w:after="0" w:line="240" w:lineRule="auto"/>
      </w:pPr>
      <w:r>
        <w:separator/>
      </w:r>
    </w:p>
  </w:endnote>
  <w:endnote w:type="continuationSeparator" w:id="0">
    <w:p w14:paraId="2ADD0571" w14:textId="77777777" w:rsidR="006A5DD0" w:rsidRDefault="006A5DD0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D467A1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1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8B2F78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6FF2" w14:textId="77777777" w:rsidR="006A5DD0" w:rsidRDefault="006A5DD0" w:rsidP="00C076F2">
      <w:pPr>
        <w:spacing w:after="0" w:line="240" w:lineRule="auto"/>
      </w:pPr>
      <w:r>
        <w:separator/>
      </w:r>
    </w:p>
  </w:footnote>
  <w:footnote w:type="continuationSeparator" w:id="0">
    <w:p w14:paraId="6624DCA8" w14:textId="77777777" w:rsidR="006A5DD0" w:rsidRDefault="006A5DD0" w:rsidP="00C076F2">
      <w:pPr>
        <w:spacing w:after="0" w:line="240" w:lineRule="auto"/>
      </w:pPr>
      <w:r>
        <w:continuationSeparator/>
      </w:r>
    </w:p>
  </w:footnote>
  <w:footnote w:id="1">
    <w:p w14:paraId="1B5BBB55" w14:textId="5B5424B3" w:rsidR="005E1F53" w:rsidRDefault="005E1F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1F53">
        <w:rPr>
          <w:i/>
          <w:iCs/>
        </w:rPr>
        <w:t>Ellis v. Toshiba Am. Info. Sys., Inc</w:t>
      </w:r>
      <w:r>
        <w:rPr>
          <w:i/>
          <w:iCs/>
        </w:rPr>
        <w:t xml:space="preserve">. </w:t>
      </w:r>
      <w:r w:rsidRPr="005E1F53">
        <w:t xml:space="preserve">(2013) 218 Cal.App.4th 853, 880 [internal quotation marks, alterations, and ellipsis omitted].)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3479" w14:textId="77777777" w:rsidR="00214575" w:rsidRPr="00214575" w:rsidRDefault="00214575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214575">
      <w:rPr>
        <w:i/>
        <w:iCs/>
        <w:color w:val="595959" w:themeColor="text1" w:themeTint="A6"/>
      </w:rPr>
      <w:t>Alexander M. Brady</w:t>
    </w:r>
  </w:p>
  <w:p w14:paraId="352DC237" w14:textId="7B7BF9DD" w:rsidR="007261C6" w:rsidRDefault="00214575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214575">
      <w:rPr>
        <w:i/>
        <w:iCs/>
        <w:color w:val="595959" w:themeColor="text1" w:themeTint="A6"/>
      </w:rPr>
      <w:t>Brady, Schwartz &amp; Kassell LL</w:t>
    </w:r>
    <w:r>
      <w:rPr>
        <w:i/>
        <w:iCs/>
        <w:color w:val="595959" w:themeColor="text1" w:themeTint="A6"/>
      </w:rPr>
      <w:t>P</w:t>
    </w:r>
  </w:p>
  <w:p w14:paraId="7FE9731C" w14:textId="4D32DDAB" w:rsidR="006062DB" w:rsidRPr="007261C6" w:rsidRDefault="006062DB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6062DB">
      <w:rPr>
        <w:i/>
        <w:iCs/>
        <w:color w:val="595959" w:themeColor="text1" w:themeTint="A6"/>
      </w:rPr>
      <w:t>Jones v. Smith</w:t>
    </w:r>
    <w:r w:rsidR="00960BF1">
      <w:rPr>
        <w:i/>
        <w:iCs/>
        <w:color w:val="595959" w:themeColor="text1" w:themeTint="A6"/>
      </w:rPr>
      <w:t xml:space="preserve"> et al.</w:t>
    </w:r>
    <w:r w:rsidRPr="006062DB">
      <w:rPr>
        <w:i/>
        <w:iCs/>
        <w:color w:val="595959" w:themeColor="text1" w:themeTint="A6"/>
      </w:rPr>
      <w:t xml:space="preserve">; </w:t>
    </w:r>
    <w:r w:rsidR="00960BF1">
      <w:rPr>
        <w:i/>
        <w:iCs/>
        <w:color w:val="595959" w:themeColor="text1" w:themeTint="A6"/>
      </w:rPr>
      <w:t xml:space="preserve">Sacramento County </w:t>
    </w:r>
    <w:r>
      <w:rPr>
        <w:i/>
        <w:iCs/>
        <w:color w:val="595959" w:themeColor="text1" w:themeTint="A6"/>
      </w:rPr>
      <w:t xml:space="preserve">Case </w:t>
    </w:r>
    <w:r w:rsidRPr="006062DB">
      <w:rPr>
        <w:i/>
        <w:iCs/>
        <w:color w:val="595959" w:themeColor="text1" w:themeTint="A6"/>
      </w:rPr>
      <w:t>No. 34-2021-00283458</w:t>
    </w:r>
  </w:p>
  <w:p w14:paraId="4B7229E0" w14:textId="7AF69A6E" w:rsidR="007261C6" w:rsidRPr="00960BF1" w:rsidRDefault="00443C38" w:rsidP="007261C6">
    <w:pPr>
      <w:spacing w:after="0" w:line="235" w:lineRule="auto"/>
      <w:rPr>
        <w:i/>
        <w:iCs/>
        <w:color w:val="595959" w:themeColor="text1" w:themeTint="A6"/>
      </w:rPr>
    </w:pPr>
    <w:r w:rsidRPr="00960BF1">
      <w:rPr>
        <w:i/>
        <w:iCs/>
        <w:color w:val="595959" w:themeColor="text1" w:themeTint="A6"/>
      </w:rPr>
      <w:t>{{ doc.date }</w:t>
    </w:r>
    <w:r w:rsidR="007261C6" w:rsidRPr="00960BF1">
      <w:rPr>
        <w:i/>
        <w:iCs/>
        <w:color w:val="595959" w:themeColor="text1" w:themeTint="A6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30" w:type="dxa"/>
      <w:tblInd w:w="-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82"/>
      <w:gridCol w:w="5448"/>
    </w:tblGrid>
    <w:tr w:rsidR="00C370EF" w14:paraId="5236A6D4" w14:textId="77777777" w:rsidTr="00C370EF">
      <w:trPr>
        <w:trHeight w:val="1510"/>
      </w:trPr>
      <w:tc>
        <w:tcPr>
          <w:tcW w:w="5082" w:type="dxa"/>
        </w:tcPr>
        <w:p w14:paraId="2E265A72" w14:textId="578B7DDB" w:rsidR="00C370EF" w:rsidRPr="00C370EF" w:rsidRDefault="00C370EF" w:rsidP="00C370EF">
          <w:pPr>
            <w:spacing w:before="120" w:line="216" w:lineRule="auto"/>
            <w:ind w:left="1238" w:right="-173"/>
            <w:rPr>
              <w:rFonts w:ascii="Book Antiqua" w:hAnsi="Book Antiqua" w:cs="Aharoni"/>
              <w:b/>
              <w:color w:val="404040" w:themeColor="text1" w:themeTint="BF"/>
              <w:sz w:val="32"/>
              <w:szCs w:val="22"/>
            </w:rPr>
          </w:pPr>
          <w:r w:rsidRPr="00C370EF">
            <w:rPr>
              <w:noProof/>
              <w:color w:val="404040" w:themeColor="text1" w:themeTint="BF"/>
            </w:rPr>
            <w:drawing>
              <wp:anchor distT="0" distB="0" distL="114300" distR="114300" simplePos="0" relativeHeight="251658240" behindDoc="1" locked="0" layoutInCell="1" allowOverlap="1" wp14:anchorId="0BF00E12" wp14:editId="15855435">
                <wp:simplePos x="0" y="0"/>
                <wp:positionH relativeFrom="column">
                  <wp:posOffset>-30333</wp:posOffset>
                </wp:positionH>
                <wp:positionV relativeFrom="paragraph">
                  <wp:posOffset>83478</wp:posOffset>
                </wp:positionV>
                <wp:extent cx="795528" cy="594360"/>
                <wp:effectExtent l="0" t="0" r="5080" b="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419" t="4517" r="10313" b="26964"/>
                        <a:stretch/>
                      </pic:blipFill>
                      <pic:spPr bwMode="auto">
                        <a:xfrm>
                          <a:off x="0" y="0"/>
                          <a:ext cx="795528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370EF">
            <w:rPr>
              <w:rFonts w:ascii="Book Antiqua" w:hAnsi="Book Antiqua" w:cs="Aharoni"/>
              <w:b/>
              <w:color w:val="404040" w:themeColor="text1" w:themeTint="BF"/>
              <w:sz w:val="32"/>
              <w:szCs w:val="22"/>
            </w:rPr>
            <w:t>FRANKLIN &amp; ASSOCIATES</w:t>
          </w:r>
        </w:p>
        <w:p w14:paraId="106891E5" w14:textId="2F6E4A3F" w:rsidR="00C370EF" w:rsidRPr="00C370EF" w:rsidRDefault="00C370EF" w:rsidP="00C370EF">
          <w:pPr>
            <w:ind w:left="1239" w:right="-178"/>
            <w:rPr>
              <w:rFonts w:ascii="Book Antiqua" w:hAnsi="Book Antiqua" w:cs="Aharoni"/>
              <w:b/>
              <w:color w:val="404040" w:themeColor="text1" w:themeTint="BF"/>
              <w:sz w:val="22"/>
              <w:szCs w:val="20"/>
            </w:rPr>
          </w:pPr>
          <w:r w:rsidRPr="00C370EF">
            <w:rPr>
              <w:rFonts w:ascii="Book Antiqua" w:hAnsi="Book Antiqua" w:cs="Aharoni"/>
              <w:b/>
              <w:color w:val="404040" w:themeColor="text1" w:themeTint="BF"/>
              <w:sz w:val="22"/>
              <w:szCs w:val="20"/>
            </w:rPr>
            <w:t>ATTORNEYS AT LAW</w:t>
          </w:r>
        </w:p>
        <w:p w14:paraId="43120739" w14:textId="65CBD3DC" w:rsidR="00C370EF" w:rsidRPr="00C370EF" w:rsidRDefault="00C370EF" w:rsidP="007859A2">
          <w:pPr>
            <w:pStyle w:val="Header"/>
            <w:rPr>
              <w:color w:val="404040" w:themeColor="text1" w:themeTint="BF"/>
            </w:rPr>
          </w:pPr>
        </w:p>
      </w:tc>
      <w:tc>
        <w:tcPr>
          <w:tcW w:w="5448" w:type="dxa"/>
        </w:tcPr>
        <w:p w14:paraId="6FFFACEB" w14:textId="77777777" w:rsidR="00C370EF" w:rsidRPr="00C370EF" w:rsidRDefault="00C370EF" w:rsidP="00C370EF">
          <w:pPr>
            <w:spacing w:line="235" w:lineRule="auto"/>
            <w:jc w:val="right"/>
            <w:rPr>
              <w:rFonts w:ascii="Book Antiqua" w:hAnsi="Book Antiqua"/>
              <w:color w:val="404040" w:themeColor="text1" w:themeTint="BF"/>
              <w:sz w:val="22"/>
              <w:szCs w:val="22"/>
              <w:lang w:val="en-AU"/>
            </w:rPr>
          </w:pPr>
          <w:r w:rsidRPr="00C370EF">
            <w:rPr>
              <w:rFonts w:ascii="Book Antiqua" w:hAnsi="Book Antiqua"/>
              <w:color w:val="404040" w:themeColor="text1" w:themeTint="BF"/>
              <w:sz w:val="22"/>
              <w:szCs w:val="22"/>
              <w:lang w:val="en-AU"/>
            </w:rPr>
            <w:t>10 Long St</w:t>
          </w:r>
        </w:p>
        <w:p w14:paraId="3E99A004" w14:textId="77777777" w:rsidR="00C370EF" w:rsidRPr="00C370EF" w:rsidRDefault="00C370EF" w:rsidP="00C370EF">
          <w:pPr>
            <w:spacing w:line="235" w:lineRule="auto"/>
            <w:jc w:val="right"/>
            <w:rPr>
              <w:rFonts w:ascii="Book Antiqua" w:hAnsi="Book Antiqua"/>
              <w:color w:val="404040" w:themeColor="text1" w:themeTint="BF"/>
              <w:sz w:val="22"/>
              <w:szCs w:val="22"/>
              <w:lang w:val="en-AU"/>
            </w:rPr>
          </w:pPr>
          <w:r w:rsidRPr="00C370EF">
            <w:rPr>
              <w:rFonts w:ascii="Book Antiqua" w:hAnsi="Book Antiqua"/>
              <w:color w:val="404040" w:themeColor="text1" w:themeTint="BF"/>
              <w:sz w:val="22"/>
              <w:szCs w:val="22"/>
              <w:lang w:val="en-AU"/>
            </w:rPr>
            <w:t>Westport, Connecticut 06888</w:t>
          </w:r>
        </w:p>
        <w:p w14:paraId="269CA1FB" w14:textId="77777777" w:rsidR="00C370EF" w:rsidRPr="00C370EF" w:rsidRDefault="00C370EF" w:rsidP="00C370EF">
          <w:pPr>
            <w:spacing w:line="235" w:lineRule="auto"/>
            <w:jc w:val="right"/>
            <w:rPr>
              <w:rFonts w:ascii="Book Antiqua" w:hAnsi="Book Antiqua"/>
              <w:color w:val="404040" w:themeColor="text1" w:themeTint="BF"/>
              <w:sz w:val="22"/>
              <w:szCs w:val="22"/>
              <w:lang w:val="en-AU"/>
            </w:rPr>
          </w:pPr>
          <w:r w:rsidRPr="00C370EF">
            <w:rPr>
              <w:rFonts w:ascii="Book Antiqua" w:hAnsi="Book Antiqua"/>
              <w:color w:val="404040" w:themeColor="text1" w:themeTint="BF"/>
              <w:sz w:val="22"/>
              <w:szCs w:val="22"/>
              <w:lang w:val="en-AU"/>
            </w:rPr>
            <w:t>Phone: (203) 966-5555</w:t>
          </w:r>
        </w:p>
        <w:p w14:paraId="61FEDC91" w14:textId="77777777" w:rsidR="00C370EF" w:rsidRPr="00C370EF" w:rsidRDefault="00C370EF" w:rsidP="00C370EF">
          <w:pPr>
            <w:spacing w:line="235" w:lineRule="auto"/>
            <w:jc w:val="right"/>
            <w:rPr>
              <w:rFonts w:ascii="Book Antiqua" w:hAnsi="Book Antiqua"/>
              <w:color w:val="404040" w:themeColor="text1" w:themeTint="BF"/>
              <w:sz w:val="22"/>
              <w:szCs w:val="22"/>
              <w:lang w:val="en-AU"/>
            </w:rPr>
          </w:pPr>
          <w:r w:rsidRPr="00C370EF">
            <w:rPr>
              <w:rFonts w:ascii="Book Antiqua" w:hAnsi="Book Antiqua"/>
              <w:color w:val="404040" w:themeColor="text1" w:themeTint="BF"/>
              <w:sz w:val="22"/>
              <w:szCs w:val="22"/>
              <w:lang w:val="en-AU"/>
            </w:rPr>
            <w:t>Fax: (203) 966-5556</w:t>
          </w:r>
        </w:p>
        <w:p w14:paraId="0960A456" w14:textId="77777777" w:rsidR="00C370EF" w:rsidRPr="00C370EF" w:rsidRDefault="00C370EF" w:rsidP="00C370EF">
          <w:pPr>
            <w:spacing w:line="235" w:lineRule="auto"/>
            <w:jc w:val="right"/>
            <w:rPr>
              <w:rFonts w:ascii="Book Antiqua" w:hAnsi="Book Antiqua"/>
              <w:color w:val="404040" w:themeColor="text1" w:themeTint="BF"/>
              <w:lang w:val="en-AU"/>
            </w:rPr>
          </w:pPr>
          <w:r w:rsidRPr="00C370EF">
            <w:rPr>
              <w:rFonts w:ascii="Book Antiqua" w:hAnsi="Book Antiqua"/>
              <w:color w:val="404040" w:themeColor="text1" w:themeTint="BF"/>
              <w:sz w:val="22"/>
              <w:szCs w:val="22"/>
              <w:lang w:val="en-AU"/>
            </w:rPr>
            <w:t>www.franklinlaw.com</w:t>
          </w:r>
        </w:p>
        <w:p w14:paraId="25ABFDDC" w14:textId="77777777" w:rsidR="00C370EF" w:rsidRPr="00C370EF" w:rsidRDefault="00C370EF" w:rsidP="00C370EF">
          <w:pPr>
            <w:pStyle w:val="Header"/>
            <w:spacing w:line="235" w:lineRule="auto"/>
            <w:rPr>
              <w:color w:val="404040" w:themeColor="text1" w:themeTint="BF"/>
            </w:rPr>
          </w:pPr>
        </w:p>
      </w:tc>
    </w:tr>
  </w:tbl>
  <w:p w14:paraId="199EA84A" w14:textId="54B2444E" w:rsidR="007859A2" w:rsidRDefault="007859A2" w:rsidP="00C370EF">
    <w:pPr>
      <w:pStyle w:val="Header"/>
      <w:ind w:left="-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hybridMultilevel"/>
    <w:tmpl w:val="155CE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695E"/>
    <w:rsid w:val="00053A8F"/>
    <w:rsid w:val="000610D1"/>
    <w:rsid w:val="00075F8F"/>
    <w:rsid w:val="00077D26"/>
    <w:rsid w:val="000810E1"/>
    <w:rsid w:val="0009333E"/>
    <w:rsid w:val="000A5872"/>
    <w:rsid w:val="000A5BFB"/>
    <w:rsid w:val="000B3A7E"/>
    <w:rsid w:val="000B4A3E"/>
    <w:rsid w:val="000B7833"/>
    <w:rsid w:val="000D424A"/>
    <w:rsid w:val="000E1D0A"/>
    <w:rsid w:val="000F0F74"/>
    <w:rsid w:val="000F1579"/>
    <w:rsid w:val="00102458"/>
    <w:rsid w:val="00107785"/>
    <w:rsid w:val="00113640"/>
    <w:rsid w:val="00114E44"/>
    <w:rsid w:val="0012028B"/>
    <w:rsid w:val="00134E48"/>
    <w:rsid w:val="001353E8"/>
    <w:rsid w:val="00142D8D"/>
    <w:rsid w:val="00143292"/>
    <w:rsid w:val="00151907"/>
    <w:rsid w:val="0017131D"/>
    <w:rsid w:val="0017607D"/>
    <w:rsid w:val="001811ED"/>
    <w:rsid w:val="00184CE1"/>
    <w:rsid w:val="00185782"/>
    <w:rsid w:val="001A0D9D"/>
    <w:rsid w:val="001B1300"/>
    <w:rsid w:val="001B1990"/>
    <w:rsid w:val="001C6B82"/>
    <w:rsid w:val="001D51BB"/>
    <w:rsid w:val="001F3EFC"/>
    <w:rsid w:val="001F7529"/>
    <w:rsid w:val="0021035F"/>
    <w:rsid w:val="00214575"/>
    <w:rsid w:val="002246F0"/>
    <w:rsid w:val="00252802"/>
    <w:rsid w:val="0025397D"/>
    <w:rsid w:val="00257649"/>
    <w:rsid w:val="00265810"/>
    <w:rsid w:val="00281B65"/>
    <w:rsid w:val="00285FE7"/>
    <w:rsid w:val="002A5414"/>
    <w:rsid w:val="002B225B"/>
    <w:rsid w:val="002B2B68"/>
    <w:rsid w:val="002C1CA7"/>
    <w:rsid w:val="002D0DD5"/>
    <w:rsid w:val="002D447F"/>
    <w:rsid w:val="002F4887"/>
    <w:rsid w:val="00307E36"/>
    <w:rsid w:val="0032113C"/>
    <w:rsid w:val="00330BED"/>
    <w:rsid w:val="00334D8C"/>
    <w:rsid w:val="00355554"/>
    <w:rsid w:val="003668E8"/>
    <w:rsid w:val="003708B1"/>
    <w:rsid w:val="00374F80"/>
    <w:rsid w:val="00396EFA"/>
    <w:rsid w:val="003A0CB6"/>
    <w:rsid w:val="003A1617"/>
    <w:rsid w:val="003B0AA0"/>
    <w:rsid w:val="003D6E2E"/>
    <w:rsid w:val="003E0263"/>
    <w:rsid w:val="003F00A9"/>
    <w:rsid w:val="00400862"/>
    <w:rsid w:val="00415CB3"/>
    <w:rsid w:val="0042208A"/>
    <w:rsid w:val="004220F4"/>
    <w:rsid w:val="00424B15"/>
    <w:rsid w:val="00435317"/>
    <w:rsid w:val="00443C38"/>
    <w:rsid w:val="00457B22"/>
    <w:rsid w:val="004645E3"/>
    <w:rsid w:val="00465ECA"/>
    <w:rsid w:val="00494CF0"/>
    <w:rsid w:val="004A49C0"/>
    <w:rsid w:val="004A5648"/>
    <w:rsid w:val="004A7203"/>
    <w:rsid w:val="004A7B16"/>
    <w:rsid w:val="004B16C6"/>
    <w:rsid w:val="004B1871"/>
    <w:rsid w:val="004D185F"/>
    <w:rsid w:val="004D2A7F"/>
    <w:rsid w:val="004D6996"/>
    <w:rsid w:val="004F21CA"/>
    <w:rsid w:val="00513893"/>
    <w:rsid w:val="0052222F"/>
    <w:rsid w:val="00527642"/>
    <w:rsid w:val="005366A0"/>
    <w:rsid w:val="00555C5E"/>
    <w:rsid w:val="00557D2B"/>
    <w:rsid w:val="00575034"/>
    <w:rsid w:val="00591212"/>
    <w:rsid w:val="005942DC"/>
    <w:rsid w:val="005964C8"/>
    <w:rsid w:val="005A12C8"/>
    <w:rsid w:val="005B0F68"/>
    <w:rsid w:val="005B2BBB"/>
    <w:rsid w:val="005D59C8"/>
    <w:rsid w:val="005E1F53"/>
    <w:rsid w:val="005E554D"/>
    <w:rsid w:val="005F2512"/>
    <w:rsid w:val="005F2EE7"/>
    <w:rsid w:val="00600433"/>
    <w:rsid w:val="006062DB"/>
    <w:rsid w:val="00613845"/>
    <w:rsid w:val="00651D44"/>
    <w:rsid w:val="00653526"/>
    <w:rsid w:val="00654A66"/>
    <w:rsid w:val="006551C1"/>
    <w:rsid w:val="0066142E"/>
    <w:rsid w:val="0066742C"/>
    <w:rsid w:val="0068134B"/>
    <w:rsid w:val="00683398"/>
    <w:rsid w:val="00687606"/>
    <w:rsid w:val="00695FC3"/>
    <w:rsid w:val="0069679B"/>
    <w:rsid w:val="006A5DD0"/>
    <w:rsid w:val="006D3A21"/>
    <w:rsid w:val="006D6D51"/>
    <w:rsid w:val="006E79F9"/>
    <w:rsid w:val="006F1BFF"/>
    <w:rsid w:val="006F30FD"/>
    <w:rsid w:val="007261C6"/>
    <w:rsid w:val="0076582F"/>
    <w:rsid w:val="007718CA"/>
    <w:rsid w:val="00771BE2"/>
    <w:rsid w:val="0078233A"/>
    <w:rsid w:val="007859A2"/>
    <w:rsid w:val="00791AB4"/>
    <w:rsid w:val="00795839"/>
    <w:rsid w:val="007A1EFF"/>
    <w:rsid w:val="007A744B"/>
    <w:rsid w:val="007C5791"/>
    <w:rsid w:val="00815EC6"/>
    <w:rsid w:val="008220C5"/>
    <w:rsid w:val="008346BF"/>
    <w:rsid w:val="008466BC"/>
    <w:rsid w:val="00850B1F"/>
    <w:rsid w:val="008565BC"/>
    <w:rsid w:val="00860C80"/>
    <w:rsid w:val="00862E94"/>
    <w:rsid w:val="0086774A"/>
    <w:rsid w:val="008A7285"/>
    <w:rsid w:val="008B0B42"/>
    <w:rsid w:val="008B1240"/>
    <w:rsid w:val="008B2F78"/>
    <w:rsid w:val="008B77D6"/>
    <w:rsid w:val="008D6DD8"/>
    <w:rsid w:val="008E09D6"/>
    <w:rsid w:val="00902049"/>
    <w:rsid w:val="009064E4"/>
    <w:rsid w:val="00912C46"/>
    <w:rsid w:val="00913DCE"/>
    <w:rsid w:val="00922FE8"/>
    <w:rsid w:val="00934C1B"/>
    <w:rsid w:val="009427C3"/>
    <w:rsid w:val="00945CBD"/>
    <w:rsid w:val="00960BF1"/>
    <w:rsid w:val="00962045"/>
    <w:rsid w:val="00971F28"/>
    <w:rsid w:val="0097396C"/>
    <w:rsid w:val="0098677C"/>
    <w:rsid w:val="009A2663"/>
    <w:rsid w:val="009A40F8"/>
    <w:rsid w:val="009B7C82"/>
    <w:rsid w:val="009C10E0"/>
    <w:rsid w:val="009F0015"/>
    <w:rsid w:val="00A609E1"/>
    <w:rsid w:val="00A617F1"/>
    <w:rsid w:val="00A71568"/>
    <w:rsid w:val="00A7538E"/>
    <w:rsid w:val="00A80B04"/>
    <w:rsid w:val="00A82E76"/>
    <w:rsid w:val="00A8328D"/>
    <w:rsid w:val="00A86039"/>
    <w:rsid w:val="00A870B0"/>
    <w:rsid w:val="00AA4545"/>
    <w:rsid w:val="00AA6FDC"/>
    <w:rsid w:val="00AA76AF"/>
    <w:rsid w:val="00AC7992"/>
    <w:rsid w:val="00AD2CDD"/>
    <w:rsid w:val="00AE0FF3"/>
    <w:rsid w:val="00AF23E8"/>
    <w:rsid w:val="00AF340D"/>
    <w:rsid w:val="00B061C6"/>
    <w:rsid w:val="00B113E8"/>
    <w:rsid w:val="00B13BB4"/>
    <w:rsid w:val="00B17D16"/>
    <w:rsid w:val="00B218D5"/>
    <w:rsid w:val="00B22056"/>
    <w:rsid w:val="00B403BB"/>
    <w:rsid w:val="00B42F7A"/>
    <w:rsid w:val="00B44724"/>
    <w:rsid w:val="00B90947"/>
    <w:rsid w:val="00B90DCA"/>
    <w:rsid w:val="00B96B77"/>
    <w:rsid w:val="00BA486B"/>
    <w:rsid w:val="00BB445B"/>
    <w:rsid w:val="00BD25B3"/>
    <w:rsid w:val="00C058A6"/>
    <w:rsid w:val="00C076F2"/>
    <w:rsid w:val="00C370EF"/>
    <w:rsid w:val="00C42ABD"/>
    <w:rsid w:val="00C7277C"/>
    <w:rsid w:val="00C73837"/>
    <w:rsid w:val="00C7394F"/>
    <w:rsid w:val="00C76CB9"/>
    <w:rsid w:val="00C96FAC"/>
    <w:rsid w:val="00CA4F5B"/>
    <w:rsid w:val="00CD5B92"/>
    <w:rsid w:val="00CD67CA"/>
    <w:rsid w:val="00CE2339"/>
    <w:rsid w:val="00CF101E"/>
    <w:rsid w:val="00D04908"/>
    <w:rsid w:val="00D14623"/>
    <w:rsid w:val="00D15819"/>
    <w:rsid w:val="00D1699B"/>
    <w:rsid w:val="00D33DE3"/>
    <w:rsid w:val="00D33E54"/>
    <w:rsid w:val="00D467A1"/>
    <w:rsid w:val="00D46A1E"/>
    <w:rsid w:val="00D51987"/>
    <w:rsid w:val="00D62AA0"/>
    <w:rsid w:val="00D6474C"/>
    <w:rsid w:val="00D66D6F"/>
    <w:rsid w:val="00D84D38"/>
    <w:rsid w:val="00D90F35"/>
    <w:rsid w:val="00D9106D"/>
    <w:rsid w:val="00DC3479"/>
    <w:rsid w:val="00DD4E35"/>
    <w:rsid w:val="00E2679A"/>
    <w:rsid w:val="00E312FE"/>
    <w:rsid w:val="00E33AA7"/>
    <w:rsid w:val="00E679F9"/>
    <w:rsid w:val="00E95AB7"/>
    <w:rsid w:val="00EA13C2"/>
    <w:rsid w:val="00EA2C09"/>
    <w:rsid w:val="00EB734D"/>
    <w:rsid w:val="00EC681A"/>
    <w:rsid w:val="00ED4970"/>
    <w:rsid w:val="00EE0356"/>
    <w:rsid w:val="00EF570C"/>
    <w:rsid w:val="00F02C8E"/>
    <w:rsid w:val="00F0531E"/>
    <w:rsid w:val="00F14BF4"/>
    <w:rsid w:val="00F178DB"/>
    <w:rsid w:val="00F36626"/>
    <w:rsid w:val="00F43624"/>
    <w:rsid w:val="00F53DC6"/>
    <w:rsid w:val="00F6377E"/>
    <w:rsid w:val="00F648BA"/>
    <w:rsid w:val="00F65317"/>
    <w:rsid w:val="00F65731"/>
    <w:rsid w:val="00F77942"/>
    <w:rsid w:val="00F843A8"/>
    <w:rsid w:val="00F92711"/>
    <w:rsid w:val="00FC5914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8</cp:revision>
  <dcterms:created xsi:type="dcterms:W3CDTF">2023-04-24T15:47:00Z</dcterms:created>
  <dcterms:modified xsi:type="dcterms:W3CDTF">2023-04-25T15:53:00Z</dcterms:modified>
</cp:coreProperties>
</file>