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Arial" w:cs="Arial" w:eastAsia="Arial" w:hAnsi="Arial"/>
          <w:b/>
          <w:bCs/>
          <w:color w:val="D97757"/>
          <w:spacing w:val="40"/>
          <w:sz w:val="16"/>
          <w:szCs w:val="16"/>
        </w:rPr>
        <w:t xml:space="preserve">NEELEY AI FORWARD 2026  ·  THE FINE PRINT  ·  ADVANCED TRACK</w:t>
      </w:r>
    </w:p>
    <w:p>
      <w:pPr>
        <w:spacing w:after="120"/>
      </w:pPr>
      <w:r>
        <w:rPr>
          <w:rFonts w:ascii="Georgia" w:cs="Georgia" w:eastAsia="Georgia" w:hAnsi="Georgia"/>
          <w:color w:val="141413"/>
          <w:sz w:val="64"/>
          <w:szCs w:val="64"/>
        </w:rPr>
        <w:t xml:space="preserve">How we did it</w:t>
      </w:r>
    </w:p>
    <w:p>
      <w:pPr>
        <w:spacing w:after="200" w:line="300"/>
      </w:pPr>
      <w:r>
        <w:rPr>
          <w:rFonts w:ascii="Georgia" w:cs="Georgia" w:eastAsia="Georgia" w:hAnsi="Georgia"/>
          <w:color w:val="5E5D59"/>
          <w:sz w:val="27"/>
          <w:szCs w:val="27"/>
        </w:rPr>
        <w:t xml:space="preserve">Needle in the Haystack reads ten drugmakers' fine print, argues with itself, and shows judges the page behind every number.</w:t>
      </w:r>
    </w:p>
    <w:p>
      <w:pPr>
        <w:spacing w:after="60"/>
      </w:pPr>
      <w:r>
        <w:rPr>
          <w:rFonts w:ascii="Arial" w:cs="Arial" w:eastAsia="Arial" w:hAnsi="Arial"/>
          <w:color w:val="5E5D59"/>
          <w:sz w:val="18"/>
          <w:szCs w:val="18"/>
        </w:rPr>
        <w:t xml:space="preserve">Team Needle in the Haystack: Aidan Jones and Parker Kingsbury  ·  TCU Neeley School of Business  ·  October 18, 2026</w:t>
      </w:r>
    </w:p>
    <w:p>
      <w:pPr>
        <w:pBdr>
          <w:bottom w:val="single" w:color="D97757" w:sz="6" w:space="1"/>
        </w:pBdr>
        <w:spacing w:after="280" w:before="160"/>
      </w:pPr>
    </w:p>
    <w:p>
      <w:pPr>
        <w:spacing w:after="160" w:line="300"/>
      </w:pPr>
      <w:r>
        <w:rPr>
          <w:rFonts w:ascii="Arial" w:cs="Arial" w:eastAsia="Arial" w:hAnsi="Arial"/>
          <w:color w:val="141413"/>
          <w:sz w:val="21"/>
          <w:szCs w:val="21"/>
        </w:rPr>
        <w:t xml:space="preserve">Over thirty hours we built Needle in the Haystack, a system that finds material, non-obvious facts in pharmaceutical filings and turns them into one defensible CEO decision. It reads ten companies blind. Two skeptics who assume each candidate finding is wrong argue over it. The company pick is sealed with a hash before anyone can influence it, and no number reaches the screen unless it traces to a page a judge can open.</w:t>
      </w:r>
    </w:p>
    <w:p>
      <w:pPr>
        <w:spacing w:after="160" w:line="300"/>
      </w:pPr>
      <w:r>
        <w:rPr>
          <w:rFonts w:ascii="Arial" w:cs="Arial" w:eastAsia="Arial" w:hAnsi="Arial"/>
          <w:color w:val="141413"/>
          <w:sz w:val="21"/>
          <w:szCs w:val="21"/>
        </w:rPr>
        <w:t xml:space="preserve">The deliverable is a chat page with two prompts, both taken verbatim from the case and labelled Find the needle and The CEO Move. The first returns a five-finding table, a Sharpest Needle and a product fine-print comparison for Amgen, Merck or Pfizer. The second returns one strategic move for the next 24 months with a budget, the math, two rejected alternatives and the signals that would prove it wrong. Every figure on the page carries a footnote that opens the source document at the cited page. Anyone can open it, with no login, at aidanmcjones.github.io/needle-demo, and a seven-slide deck sets it up for a three-to-five-minute pitch.</w:t>
      </w:r>
    </w:p>
    <w:p>
      <w:pPr>
        <w:spacing w:after="160" w:line="300"/>
      </w:pPr>
      <w:r>
        <w:rPr>
          <w:rFonts w:ascii="Arial" w:cs="Arial" w:eastAsia="Arial" w:hAnsi="Arial"/>
          <w:color w:val="141413"/>
          <w:sz w:val="21"/>
          <w:szCs w:val="21"/>
        </w:rPr>
        <w:t xml:space="preserve">This report covers the tools we used and what each was for, how documents reached the AI and how the work was split between people and tools, the prompts that mattered most, the cases where the AI was confidently wrong, and what we would do differently. We logged 543 of those wrong cases. A person reading a page caught the ones that taught us the most.</w:t>
      </w:r>
    </w:p>
    <w:p>
      <w:pPr>
        <w:spacing w:after="120"/>
      </w:pP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412"/>
        <w:gridCol w:w="2412"/>
        <w:gridCol w:w="2412"/>
        <w:gridCol w:w="2412"/>
      </w:tblGrid>
      <w:tr>
        <w:tc>
          <w:tcPr>
            <w:tcW w:type="dxa" w:w="2412"/>
            <w:tcBorders>
              <w:top w:val="single" w:color="D97757" w:sz="8"/>
              <w:left w:val="none" w:color="FFFFFF" w:sz="0"/>
              <w:bottom w:val="single" w:color="D9D6CE" w:sz="4"/>
              <w:right w:val="none" w:color="FFFFFF" w:sz="0"/>
            </w:tcBorders>
            <w:tcMar>
              <w:top w:type="dxa" w:w="120"/>
              <w:left w:type="dxa" w:w="0"/>
              <w:bottom w:type="dxa" w:w="120"/>
              <w:right w:type="dxa" w:w="120"/>
            </w:tcMar>
          </w:tcPr>
          <w:p>
            <w:pPr>
              <w:spacing w:after="20"/>
            </w:pPr>
            <w:r>
              <w:rPr>
                <w:rFonts w:ascii="Georgia" w:cs="Georgia" w:eastAsia="Georgia" w:hAnsi="Georgia"/>
                <w:color w:val="141413"/>
                <w:sz w:val="34"/>
                <w:szCs w:val="34"/>
              </w:rPr>
              <w:t xml:space="preserve">78,392</w:t>
            </w:r>
          </w:p>
          <w:p>
            <w:pPr>
              <w:spacing w:after="0" w:line="230"/>
            </w:pPr>
            <w:r>
              <w:rPr>
                <w:rFonts w:ascii="Arial" w:cs="Arial" w:eastAsia="Arial" w:hAnsi="Arial"/>
                <w:color w:val="5E5D59"/>
                <w:sz w:val="15"/>
                <w:szCs w:val="15"/>
              </w:rPr>
              <w:t xml:space="preserve">pages in the citation index, from 7,005 documents and 118,329 fact rows</w:t>
            </w:r>
          </w:p>
        </w:tc>
        <w:tc>
          <w:tcPr>
            <w:tcW w:type="dxa" w:w="2412"/>
            <w:tcBorders>
              <w:top w:val="single" w:color="D97757" w:sz="8"/>
              <w:left w:val="none" w:color="FFFFFF" w:sz="0"/>
              <w:bottom w:val="single" w:color="D9D6CE" w:sz="4"/>
              <w:right w:val="none" w:color="FFFFFF" w:sz="0"/>
            </w:tcBorders>
            <w:tcMar>
              <w:top w:type="dxa" w:w="120"/>
              <w:left w:type="dxa" w:w="0"/>
              <w:bottom w:type="dxa" w:w="120"/>
              <w:right w:type="dxa" w:w="120"/>
            </w:tcMar>
          </w:tcPr>
          <w:p>
            <w:pPr>
              <w:spacing w:after="20"/>
            </w:pPr>
            <w:r>
              <w:rPr>
                <w:rFonts w:ascii="Georgia" w:cs="Georgia" w:eastAsia="Georgia" w:hAnsi="Georgia"/>
                <w:color w:val="141413"/>
                <w:sz w:val="34"/>
                <w:szCs w:val="34"/>
              </w:rPr>
              <w:t xml:space="preserve">95</w:t>
            </w:r>
          </w:p>
          <w:p>
            <w:pPr>
              <w:spacing w:after="0" w:line="230"/>
            </w:pPr>
            <w:r>
              <w:rPr>
                <w:rFonts w:ascii="Arial" w:cs="Arial" w:eastAsia="Arial" w:hAnsi="Arial"/>
                <w:color w:val="5E5D59"/>
                <w:sz w:val="15"/>
                <w:szCs w:val="15"/>
              </w:rPr>
              <w:t xml:space="preserve">candidate findings from ten blind readers; 70 killed, 25 narrowed, 0 survived as first stated</w:t>
            </w:r>
          </w:p>
        </w:tc>
        <w:tc>
          <w:tcPr>
            <w:tcW w:type="dxa" w:w="2412"/>
            <w:tcBorders>
              <w:top w:val="single" w:color="D97757" w:sz="8"/>
              <w:left w:val="none" w:color="FFFFFF" w:sz="0"/>
              <w:bottom w:val="single" w:color="D9D6CE" w:sz="4"/>
              <w:right w:val="none" w:color="FFFFFF" w:sz="0"/>
            </w:tcBorders>
            <w:tcMar>
              <w:top w:type="dxa" w:w="120"/>
              <w:left w:type="dxa" w:w="0"/>
              <w:bottom w:type="dxa" w:w="120"/>
              <w:right w:type="dxa" w:w="120"/>
            </w:tcMar>
          </w:tcPr>
          <w:p>
            <w:pPr>
              <w:spacing w:after="20"/>
            </w:pPr>
            <w:r>
              <w:rPr>
                <w:rFonts w:ascii="Georgia" w:cs="Georgia" w:eastAsia="Georgia" w:hAnsi="Georgia"/>
                <w:color w:val="141413"/>
                <w:sz w:val="34"/>
                <w:szCs w:val="34"/>
              </w:rPr>
              <w:t xml:space="preserve">503</w:t>
            </w:r>
          </w:p>
          <w:p>
            <w:pPr>
              <w:spacing w:after="0" w:line="230"/>
            </w:pPr>
            <w:r>
              <w:rPr>
                <w:rFonts w:ascii="Arial" w:cs="Arial" w:eastAsia="Arial" w:hAnsi="Arial"/>
                <w:color w:val="5E5D59"/>
                <w:sz w:val="15"/>
                <w:szCs w:val="15"/>
              </w:rPr>
              <w:t xml:space="preserve">numbers and 261 citations re-verified by an independent agent; 7 defects, all scoping, all fixed</w:t>
            </w:r>
          </w:p>
        </w:tc>
        <w:tc>
          <w:tcPr>
            <w:tcW w:type="dxa" w:w="2412"/>
            <w:tcBorders>
              <w:top w:val="single" w:color="D97757" w:sz="8"/>
              <w:left w:val="none" w:color="FFFFFF" w:sz="0"/>
              <w:bottom w:val="single" w:color="D9D6CE" w:sz="4"/>
              <w:right w:val="none" w:color="FFFFFF" w:sz="0"/>
            </w:tcBorders>
            <w:tcMar>
              <w:top w:type="dxa" w:w="120"/>
              <w:left w:type="dxa" w:w="0"/>
              <w:bottom w:type="dxa" w:w="120"/>
              <w:right w:type="dxa" w:w="120"/>
            </w:tcMar>
          </w:tcPr>
          <w:p>
            <w:pPr>
              <w:spacing w:after="20"/>
            </w:pPr>
            <w:r>
              <w:rPr>
                <w:rFonts w:ascii="Georgia" w:cs="Georgia" w:eastAsia="Georgia" w:hAnsi="Georgia"/>
                <w:color w:val="141413"/>
                <w:sz w:val="34"/>
                <w:szCs w:val="34"/>
              </w:rPr>
              <w:t xml:space="preserve">543</w:t>
            </w:r>
          </w:p>
          <w:p>
            <w:pPr>
              <w:spacing w:after="0" w:line="230"/>
            </w:pPr>
            <w:r>
              <w:rPr>
                <w:rFonts w:ascii="Arial" w:cs="Arial" w:eastAsia="Arial" w:hAnsi="Arial"/>
                <w:color w:val="5E5D59"/>
                <w:sz w:val="15"/>
                <w:szCs w:val="15"/>
              </w:rPr>
              <w:t xml:space="preserve">logged cases of a confidently wrong AI, each with the source, the catch and the fix</w:t>
            </w:r>
          </w:p>
        </w:tc>
      </w:tr>
    </w:tbl>
    <w:p>
      <w:pPr>
        <w:spacing w:after="80"/>
      </w:pPr>
    </w:p>
    <w:p>
      <w:pPr>
        <w:keepNext/>
        <w:spacing w:after="80" w:before="140"/>
        <w:jc w:val="center"/>
      </w:pPr>
      <w:r>
        <w:drawing>
          <wp:inline distT="0" distB="0" distL="0" distR="0">
            <wp:extent cx="5962650" cy="742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62650" cy="742950"/>
                    </a:xfrm>
                    <a:prstGeom prst="rect">
                      <a:avLst/>
                    </a:prstGeom>
                  </pic:spPr>
                </pic:pic>
              </a:graphicData>
            </a:graphic>
          </wp:inline>
        </w:drawing>
      </w:r>
    </w:p>
    <w:p>
      <w:pPr>
        <w:spacing w:after="220"/>
        <w:jc w:val="left"/>
      </w:pPr>
      <w:r>
        <w:rPr>
          <w:rFonts w:ascii="Arial" w:cs="Arial" w:eastAsia="Arial" w:hAnsi="Arial"/>
          <w:color w:val="5E5D59"/>
          <w:sz w:val="17"/>
          <w:szCs w:val="17"/>
        </w:rPr>
        <w:t xml:space="preserve">Figure 1. The weekend, Central Time. The case was released Saturday morning. The blind Part 1 pass ran Saturday night, and Part 2 after midnight.</w:t>
      </w:r>
    </w:p>
    <w:p>
      <w:pPr>
        <w:pStyle w:val="Heading1"/>
        <w:spacing w:after="200" w:before="520"/>
      </w:pPr>
      <w:r>
        <w:rPr>
          <w:rFonts w:ascii="Georgia" w:cs="Georgia" w:eastAsia="Georgia" w:hAnsi="Georgia"/>
          <w:color w:val="141413"/>
          <w:sz w:val="38"/>
          <w:szCs w:val="38"/>
        </w:rPr>
        <w:t xml:space="preserve">1. What the case asked, and the two traps in it</w:t>
      </w:r>
    </w:p>
    <w:p>
      <w:pPr>
        <w:spacing w:after="160" w:line="300"/>
      </w:pPr>
      <w:r>
        <w:rPr>
          <w:rFonts w:ascii="Arial" w:cs="Arial" w:eastAsia="Arial" w:hAnsi="Arial"/>
          <w:color w:val="141413"/>
          <w:sz w:val="21"/>
          <w:szCs w:val="21"/>
        </w:rPr>
        <w:t xml:space="preserve">The Fine Print asks for two things. Part 1: pick one of ten drugmakers and find at least five findings that would change an investor's view and are not obvious, each with impact math, a peer comparison and a confidence call, plus the single sharpest one and a side-by-side of one product against the rivals the case names. Part 2: take the CEO's seat and recommend one move for the next 24 months with a budget or a commitment of people, the math, the two strongest rejected alternatives, and measurable kill signals in months six to twelve.</w:t>
      </w:r>
    </w:p>
    <w:p>
      <w:pPr>
        <w:spacing w:after="160" w:line="300"/>
      </w:pPr>
      <w:r>
        <w:rPr>
          <w:rFonts w:ascii="Arial" w:cs="Arial" w:eastAsia="Arial" w:hAnsi="Arial"/>
          <w:color w:val="141413"/>
          <w:sz w:val="21"/>
          <w:szCs w:val="21"/>
        </w:rPr>
        <w:t xml:space="preserve">The case also names the two ways AI fails at this. On Part 1, a model will surface things management has already said plainly, such as the patent cliff, the press-release headline and the starter thread. On Part 2, as the case puts it, AI will argue convincingly for almost any strategy. We treated both as design constraints.</w:t>
      </w:r>
    </w:p>
    <w:p>
      <w:pPr>
        <w:pBdr>
          <w:left w:val="single" w:color="D97757" w:sz="18" w:space="12"/>
        </w:pBdr>
        <w:spacing w:after="60" w:before="60" w:line="320"/>
        <w:ind w:left="360" w:right="720"/>
      </w:pPr>
      <w:r>
        <w:rPr>
          <w:rFonts w:ascii="Georgia" w:cs="Georgia" w:eastAsia="Georgia" w:hAnsi="Georgia"/>
          <w:i/>
          <w:iCs/>
          <w:color w:val="141413"/>
          <w:sz w:val="25"/>
          <w:szCs w:val="25"/>
        </w:rPr>
        <w:t xml:space="preserve">Every number you see was computed by deterministic code from a cited page. AI writes the words, argues the case and reads the calls, and nothing it says reaches the screen until a verifier has found it on the page it cites. When the AI was wrong, and it was, that is how we caught it.</w:t>
      </w:r>
    </w:p>
    <w:p>
      <w:pPr>
        <w:pBdr>
          <w:left w:val="single" w:color="D97757" w:sz="18" w:space="12"/>
        </w:pBdr>
        <w:spacing w:after="200"/>
        <w:ind w:left="360" w:right="720"/>
      </w:pPr>
      <w:r>
        <w:rPr>
          <w:rFonts w:ascii="Arial" w:cs="Arial" w:eastAsia="Arial" w:hAnsi="Arial"/>
          <w:color w:val="5E5D59"/>
          <w:sz w:val="17"/>
          <w:szCs w:val="17"/>
        </w:rPr>
        <w:t xml:space="preserve">The line we built the system around</w:t>
      </w:r>
    </w:p>
    <w:p>
      <w:pPr>
        <w:spacing w:after="160" w:line="300"/>
      </w:pPr>
      <w:r>
        <w:rPr>
          <w:rFonts w:ascii="Arial" w:cs="Arial" w:eastAsia="Arial" w:hAnsi="Arial"/>
          <w:color w:val="141413"/>
          <w:sz w:val="21"/>
          <w:szCs w:val="21"/>
        </w:rPr>
        <w:t xml:space="preserve">We worked to three rules. First, code fetches and verifies. Scripts collect every source into a page-marked index, nothing is pasted into a chat, and every quote is checked by exact match on its page. Second, agents reason blind and against each other. The readers who look for findings cannot see any prior run, and every candidate must survive two skeptics who read each other's arguments. Third, people decide. A person opened the cited page behind every needle before it reached a slide, and the company pick rests on that read.</w:t>
      </w:r>
    </w:p>
    <w:p>
      <w:pPr>
        <w:keepNext/>
        <w:spacing w:after="80" w:before="140"/>
        <w:jc w:val="center"/>
      </w:pPr>
      <w:r>
        <w:drawing>
          <wp:inline distT="0" distB="0" distL="0" distR="0">
            <wp:extent cx="6124575" cy="18573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24575" cy="1857375"/>
                    </a:xfrm>
                    <a:prstGeom prst="rect">
                      <a:avLst/>
                    </a:prstGeom>
                  </pic:spPr>
                </pic:pic>
              </a:graphicData>
            </a:graphic>
          </wp:inline>
        </w:drawing>
      </w:r>
    </w:p>
    <w:p>
      <w:pPr>
        <w:spacing w:after="220"/>
        <w:jc w:val="left"/>
      </w:pPr>
      <w:r>
        <w:rPr>
          <w:rFonts w:ascii="Arial" w:cs="Arial" w:eastAsia="Arial" w:hAnsi="Arial"/>
          <w:color w:val="5E5D59"/>
          <w:sz w:val="17"/>
          <w:szCs w:val="17"/>
        </w:rPr>
        <w:t xml:space="preserve">Figure 2. The system at a glance. Sources flow left to right. People and a watcher session sit alongside the two stages where judgment happens.</w:t>
      </w:r>
    </w:p>
    <w:p>
      <w:pPr>
        <w:pStyle w:val="Heading1"/>
        <w:spacing w:after="200" w:before="520"/>
      </w:pPr>
      <w:r>
        <w:rPr>
          <w:rFonts w:ascii="Georgia" w:cs="Georgia" w:eastAsia="Georgia" w:hAnsi="Georgia"/>
          <w:color w:val="141413"/>
          <w:sz w:val="38"/>
          <w:szCs w:val="38"/>
        </w:rPr>
        <w:t xml:space="preserve">2. The tools and what each was for</w:t>
      </w:r>
    </w:p>
    <w:p>
      <w:pPr>
        <w:spacing w:after="160" w:line="300"/>
      </w:pPr>
      <w:r>
        <w:rPr>
          <w:rFonts w:ascii="Arial" w:cs="Arial" w:eastAsia="Arial" w:hAnsi="Arial"/>
          <w:color w:val="141413"/>
          <w:sz w:val="21"/>
          <w:szCs w:val="21"/>
        </w:rPr>
        <w:t xml:space="preserve">We used one model family for every reasoning step and ordinary engineering for everything else. No model wrote a number into the deliverable. Models proposed findings, argued over them and verified them. Code decided what could be shown.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24"/>
        <w:gridCol w:w="6624"/>
      </w:tblGrid>
      <w:tr>
        <w:trPr>
          <w:tblHeader/>
        </w:trPr>
        <w:tc>
          <w:tcPr>
            <w:tcW w:type="dxa" w:w="3024"/>
            <w:tcBorders>
              <w:top w:val="single" w:color="D9D6CE" w:sz="4"/>
              <w:left w:val="none" w:color="FFFFFF" w:sz="0"/>
              <w:bottom w:val="single" w:color="D9D6CE" w:sz="4"/>
              <w:right w:val="none" w:color="FFFFFF" w:sz="0"/>
            </w:tcBorders>
            <w:shd w:fill="F0EEE6" w:color="auto" w:val="clear"/>
            <w:tcMar>
              <w:top w:type="dxa" w:w="70"/>
              <w:left w:type="dxa" w:w="90"/>
              <w:bottom w:type="dxa" w:w="70"/>
              <w:right w:type="dxa" w:w="90"/>
            </w:tcMar>
            <w:vAlign w:val="top"/>
          </w:tcPr>
          <w:p>
            <w:pPr>
              <w:spacing w:after="0" w:line="250"/>
            </w:pPr>
            <w:r>
              <w:rPr>
                <w:rFonts w:ascii="Arial" w:cs="Arial" w:eastAsia="Arial" w:hAnsi="Arial"/>
                <w:b/>
                <w:bCs/>
                <w:color w:val="141413"/>
                <w:sz w:val="17"/>
                <w:szCs w:val="17"/>
              </w:rPr>
              <w:t xml:space="preserve">Tool</w:t>
            </w:r>
          </w:p>
        </w:tc>
        <w:tc>
          <w:tcPr>
            <w:tcW w:type="dxa" w:w="6624"/>
            <w:tcBorders>
              <w:top w:val="single" w:color="D9D6CE" w:sz="4"/>
              <w:left w:val="none" w:color="FFFFFF" w:sz="0"/>
              <w:bottom w:val="single" w:color="D9D6CE" w:sz="4"/>
              <w:right w:val="none" w:color="FFFFFF" w:sz="0"/>
            </w:tcBorders>
            <w:shd w:fill="F0EEE6" w:color="auto" w:val="clear"/>
            <w:tcMar>
              <w:top w:type="dxa" w:w="70"/>
              <w:left w:type="dxa" w:w="90"/>
              <w:bottom w:type="dxa" w:w="70"/>
              <w:right w:type="dxa" w:w="90"/>
            </w:tcMar>
            <w:vAlign w:val="top"/>
          </w:tcPr>
          <w:p>
            <w:pPr>
              <w:spacing w:after="0" w:line="250"/>
            </w:pPr>
            <w:r>
              <w:rPr>
                <w:rFonts w:ascii="Arial" w:cs="Arial" w:eastAsia="Arial" w:hAnsi="Arial"/>
                <w:b/>
                <w:bCs/>
                <w:color w:val="141413"/>
                <w:sz w:val="17"/>
                <w:szCs w:val="17"/>
              </w:rPr>
              <w:t xml:space="preserve">What it was for</w:t>
            </w:r>
          </w:p>
        </w:tc>
      </w:tr>
      <w:tr>
        <w:trPr>
          <w:cantSplit/>
        </w:trPr>
        <w:tc>
          <w:tcPr>
            <w:tcW w:type="dxa" w:w="3024"/>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7"/>
                <w:szCs w:val="17"/>
              </w:rPr>
              <w:t xml:space="preserve">Claude Code with Claude Opus 5.5</w:t>
            </w:r>
          </w:p>
        </w:tc>
        <w:tc>
          <w:tcPr>
            <w:tcW w:type="dxa" w:w="6624"/>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7"/>
                <w:szCs w:val="17"/>
              </w:rPr>
              <w:t xml:space="preserve">Four long-running sessions (scraper, model, UI, watcher) and 59 worker agents launched by the model session. Every reader, skeptic, synthesizer, ranker, writer, strategist and verifier was an Opus agent with a written brief. Later sessions ran on Claude Fable 5.1.</w:t>
            </w:r>
          </w:p>
        </w:tc>
      </w:tr>
      <w:tr>
        <w:trPr>
          <w:cantSplit/>
        </w:trPr>
        <w:tc>
          <w:tcPr>
            <w:tcW w:type="dxa" w:w="3024"/>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7"/>
                <w:szCs w:val="17"/>
              </w:rPr>
              <w:t xml:space="preserve">Git worktrees and a PR chain</w:t>
            </w:r>
          </w:p>
        </w:tc>
        <w:tc>
          <w:tcPr>
            <w:tcW w:type="dxa" w:w="6624"/>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7"/>
                <w:szCs w:val="17"/>
              </w:rPr>
              <w:t xml:space="preserve">Each session owned one branch and one open pull request. No two agents edited the same file. Chain: scaffold #1, gap-data #2, corpus #5, Parker's needle branch, data-moat #16, quant-model #21, ui #22.</w:t>
            </w:r>
          </w:p>
        </w:tc>
      </w:tr>
      <w:tr>
        <w:trPr>
          <w:cantSplit/>
        </w:trPr>
        <w:tc>
          <w:tcPr>
            <w:tcW w:type="dxa" w:w="3024"/>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7"/>
                <w:szCs w:val="17"/>
              </w:rPr>
              <w:t xml:space="preserve">Python collectors</w:t>
            </w:r>
          </w:p>
        </w:tc>
        <w:tc>
          <w:tcPr>
            <w:tcW w:type="dxa" w:w="6624"/>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7"/>
                <w:szCs w:val="17"/>
              </w:rPr>
              <w:t xml:space="preserve">Fetched SEC EDGAR filings and XBRL companyfacts, DailyMed labels, Orange and Purple Book dates, CMS Part B and Part D files, NADAC, FAERS, ClinicalTrials.gov, ICER reports and GDELT news volumes into page-marked text and verified CSV tables.</w:t>
            </w:r>
          </w:p>
        </w:tc>
      </w:tr>
      <w:tr>
        <w:trPr>
          <w:cantSplit/>
        </w:trPr>
        <w:tc>
          <w:tcPr>
            <w:tcW w:type="dxa" w:w="3024"/>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7"/>
                <w:szCs w:val="17"/>
              </w:rPr>
              <w:t xml:space="preserve">The citation index (SQLite, FTS5)</w:t>
            </w:r>
          </w:p>
        </w:tc>
        <w:tc>
          <w:tcPr>
            <w:tcW w:type="dxa" w:w="6624"/>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7"/>
                <w:szCs w:val="17"/>
              </w:rPr>
              <w:t xml:space="preserve">7,005 documents, 78,392 pages, 15,463 speaker turns and 118,329 fact rows. A five-call API: search_pages, search_facts, get_page, cite, verify_quote. Transcripts graded A to D for quotability; Bloomberg pages flagged as licensed.</w:t>
            </w:r>
          </w:p>
        </w:tc>
      </w:tr>
      <w:tr>
        <w:trPr>
          <w:cantSplit/>
        </w:trPr>
        <w:tc>
          <w:tcPr>
            <w:tcW w:type="dxa" w:w="3024"/>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7"/>
                <w:szCs w:val="17"/>
              </w:rPr>
              <w:t xml:space="preserve">Eight case retrieval helpers</w:t>
            </w:r>
          </w:p>
        </w:tc>
        <w:tc>
          <w:tcPr>
            <w:tcW w:type="dxa" w:w="6624"/>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7"/>
                <w:szCs w:val="17"/>
              </w:rPr>
              <w:t xml:space="preserve">One per item on the case's own 'where findings hide' list: language drift, gross-to-net, working capital, segment changes, footnotes, call Q&amp;A, label fine print, peer forces. Each returns cited rows and never ranks them.</w:t>
            </w:r>
          </w:p>
        </w:tc>
      </w:tr>
      <w:tr>
        <w:trPr>
          <w:cantSplit/>
        </w:trPr>
        <w:tc>
          <w:tcPr>
            <w:tcW w:type="dxa" w:w="3024"/>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7"/>
                <w:szCs w:val="17"/>
              </w:rPr>
              <w:t xml:space="preserve">The per-number citation gate</w:t>
            </w:r>
          </w:p>
        </w:tc>
        <w:tc>
          <w:tcPr>
            <w:tcW w:type="dxa" w:w="6624"/>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7"/>
                <w:szCs w:val="17"/>
              </w:rPr>
              <w:t xml:space="preserve">Python that checks every figure in every block one at a time against the quoted span, a recomputed derivation or a printed assumption label, and withholds anything else.</w:t>
            </w:r>
          </w:p>
        </w:tc>
      </w:tr>
      <w:tr>
        <w:trPr>
          <w:cantSplit/>
        </w:trPr>
        <w:tc>
          <w:tcPr>
            <w:tcW w:type="dxa" w:w="3024"/>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7"/>
                <w:szCs w:val="17"/>
              </w:rPr>
              <w:t xml:space="preserve">Adversarial review pattern</w:t>
            </w:r>
          </w:p>
        </w:tc>
        <w:tc>
          <w:tcPr>
            <w:tcW w:type="dxa" w:w="6624"/>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7"/>
                <w:szCs w:val="17"/>
              </w:rPr>
              <w:t xml:space="preserve">Two skeptic agents with different lenses, two rounds in which each reads the other, a synthesizer who never averages, then a fresh verifier. Used on the quant spec, the gate itself, the backtest, every Part 1 finding and every Part 2 move, and later on the pitch deck's layout and wording.</w:t>
            </w:r>
          </w:p>
        </w:tc>
      </w:tr>
      <w:tr>
        <w:trPr>
          <w:cantSplit/>
        </w:trPr>
        <w:tc>
          <w:tcPr>
            <w:tcW w:type="dxa" w:w="3024"/>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7"/>
                <w:szCs w:val="17"/>
              </w:rPr>
              <w:t xml:space="preserve">Bloomberg transcripts and WRDS I/B/E/S</w:t>
            </w:r>
          </w:p>
        </w:tc>
        <w:tc>
          <w:tcPr>
            <w:tcW w:type="dxa" w:w="6624"/>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7"/>
                <w:szCs w:val="17"/>
              </w:rPr>
              <w:t xml:space="preserve">Official transcripts to upgrade quote grades, and analyst consensus for the 'was it priced in' test. Both are licensed, so we used them locally and cited them by label only.</w:t>
            </w:r>
          </w:p>
        </w:tc>
      </w:tr>
      <w:tr>
        <w:trPr>
          <w:cantSplit/>
        </w:trPr>
        <w:tc>
          <w:tcPr>
            <w:tcW w:type="dxa" w:w="3024"/>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7"/>
                <w:szCs w:val="17"/>
              </w:rPr>
              <w:t xml:space="preserve">pytest</w:t>
            </w:r>
          </w:p>
        </w:tc>
        <w:tc>
          <w:tcPr>
            <w:tcW w:type="dxa" w:w="6624"/>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7"/>
                <w:szCs w:val="17"/>
              </w:rPr>
              <w:t xml:space="preserve">259 tests across the data, citation and model code. Every behavior change carried a test.</w:t>
            </w:r>
          </w:p>
        </w:tc>
      </w:tr>
      <w:tr>
        <w:trPr>
          <w:cantSplit/>
        </w:trPr>
        <w:tc>
          <w:tcPr>
            <w:tcW w:type="dxa" w:w="3024"/>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7"/>
                <w:szCs w:val="17"/>
              </w:rPr>
              <w:t xml:space="preserve">Vite and React, published as a claude.ai Artifact and on GitHub Pages</w:t>
            </w:r>
          </w:p>
        </w:tc>
        <w:tc>
          <w:tcPr>
            <w:tcW w:type="dxa" w:w="6624"/>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7"/>
                <w:szCs w:val="17"/>
              </w:rPr>
              <w:t xml:space="preserve">A static one-page chat with cached answers and no API key, republished to the artifact on every commit so Parker always saw the committed state. The artifact needs a claude.ai login, so a public copy on GitHub Pages is what the deck's QR code opens.</w:t>
            </w:r>
          </w:p>
        </w:tc>
      </w:tr>
      <w:tr>
        <w:trPr>
          <w:cantSplit/>
        </w:trPr>
        <w:tc>
          <w:tcPr>
            <w:tcW w:type="dxa" w:w="3024"/>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7"/>
                <w:szCs w:val="17"/>
              </w:rPr>
              <w:t xml:space="preserve">python-pptx and PowerPoint</w:t>
            </w:r>
          </w:p>
        </w:tc>
        <w:tc>
          <w:tcPr>
            <w:tcW w:type="dxa" w:w="6624"/>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7"/>
                <w:szCs w:val="17"/>
              </w:rPr>
              <w:t xml:space="preserve">Built the seven-slide pitch deck from code in the product's theme, with every number on a slide linked to its filing page. Review renders were exported through PowerPoint itself, because LibreOffice swapped in other fonts and misreported the layout.</w:t>
            </w:r>
          </w:p>
        </w:tc>
      </w:tr>
      <w:tr>
        <w:trPr>
          <w:cantSplit/>
        </w:trPr>
        <w:tc>
          <w:tcPr>
            <w:tcW w:type="dxa" w:w="3024"/>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7"/>
                <w:szCs w:val="17"/>
              </w:rPr>
              <w:t xml:space="preserve">agent-chat (GitHub issues)</w:t>
            </w:r>
          </w:p>
        </w:tc>
        <w:tc>
          <w:tcPr>
            <w:tcW w:type="dxa" w:w="6624"/>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7"/>
                <w:szCs w:val="17"/>
              </w:rPr>
              <w:t xml:space="preserve">A message bus so Aidan's and Parker's agents could ask each other for data without a human relaying.</w:t>
            </w:r>
          </w:p>
        </w:tc>
      </w:tr>
      <w:tr>
        <w:trPr>
          <w:cantSplit/>
        </w:trPr>
        <w:tc>
          <w:tcPr>
            <w:tcW w:type="dxa" w:w="3024"/>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7"/>
                <w:szCs w:val="17"/>
              </w:rPr>
              <w:t xml:space="preserve">Cloudflare R2</w:t>
            </w:r>
          </w:p>
        </w:tc>
        <w:tc>
          <w:tcPr>
            <w:tcW w:type="dxa" w:w="6624"/>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7"/>
                <w:szCs w:val="17"/>
              </w:rPr>
              <w:t xml:space="preserve">Bulk storage for the corpus and the gzipped index, so either machine could rebuild from the same bytes.</w:t>
            </w:r>
          </w:p>
        </w:tc>
      </w:tr>
    </w:tbl>
    <w:p>
      <w:pPr>
        <w:pStyle w:val="Heading1"/>
        <w:spacing w:after="200" w:before="520"/>
      </w:pPr>
      <w:r>
        <w:rPr>
          <w:rFonts w:ascii="Georgia" w:cs="Georgia" w:eastAsia="Georgia" w:hAnsi="Georgia"/>
          <w:color w:val="141413"/>
          <w:sz w:val="38"/>
          <w:szCs w:val="38"/>
        </w:rPr>
        <w:t xml:space="preserve">3. The workflow</w:t>
      </w:r>
    </w:p>
    <w:p>
      <w:pPr>
        <w:pStyle w:val="Heading2"/>
        <w:keepNext/>
        <w:spacing w:after="120" w:before="320"/>
      </w:pPr>
      <w:r>
        <w:rPr>
          <w:rFonts w:ascii="Georgia" w:cs="Georgia" w:eastAsia="Georgia" w:hAnsi="Georgia"/>
          <w:color w:val="141413"/>
          <w:sz w:val="27"/>
          <w:szCs w:val="27"/>
        </w:rPr>
        <w:t xml:space="preserve">3.1 How documents got into the AI</w:t>
      </w:r>
    </w:p>
    <w:p>
      <w:pPr>
        <w:spacing w:after="160" w:line="300"/>
      </w:pPr>
      <w:r>
        <w:rPr>
          <w:rFonts w:ascii="Arial" w:cs="Arial" w:eastAsia="Arial" w:hAnsi="Arial"/>
          <w:color w:val="141413"/>
          <w:sz w:val="21"/>
          <w:szCs w:val="21"/>
        </w:rPr>
        <w:t xml:space="preserve">We did not paste any document into a prompt. Collectors fetched each filing, transcript, label and dataset by code and wrote page-marked text, with a marker of the form [[page N | printed P]] on every page so that a file page and a printed page could both be cited. The index stores pages, speaker turns and fact rows with full-text search, and every row carries a locator of the form doc_id#p&lt;page&gt; that opens the source.</w:t>
      </w:r>
    </w:p>
    <w:p>
      <w:pPr>
        <w:spacing w:after="160" w:line="300"/>
      </w:pPr>
      <w:r>
        <w:rPr>
          <w:rFonts w:ascii="Arial" w:cs="Arial" w:eastAsia="Arial" w:hAnsi="Arial"/>
          <w:color w:val="141413"/>
          <w:sz w:val="21"/>
          <w:szCs w:val="21"/>
        </w:rPr>
        <w:t xml:space="preserve">Two rules made the index trustworthy enough to reason over. The first is verify_quote. A sentence passes only if it is an exact substring of the one page it cites, after quotes, dashes, whitespace and case are normalised. The retrieval helpers drop any row that fails before an agent sees it. The second is grading and flagging. Transcripts are graded A to D and only A and B may be quoted. Bloomberg pages are cited by label and never copied. A mislabeled transcript and a set of fool.com files that open with model-written summaries are marked superseded or unquotable.</w:t>
      </w:r>
    </w:p>
    <w:p>
      <w:pPr>
        <w:keepNext/>
        <w:spacing w:after="80" w:before="140"/>
        <w:jc w:val="center"/>
      </w:pPr>
      <w:r>
        <w:drawing>
          <wp:inline distT="0" distB="0" distL="0" distR="0">
            <wp:extent cx="6124575" cy="13239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24575" cy="1323975"/>
                    </a:xfrm>
                    <a:prstGeom prst="rect">
                      <a:avLst/>
                    </a:prstGeom>
                  </pic:spPr>
                </pic:pic>
              </a:graphicData>
            </a:graphic>
          </wp:inline>
        </w:drawing>
      </w:r>
    </w:p>
    <w:p>
      <w:pPr>
        <w:spacing w:after="220"/>
        <w:jc w:val="left"/>
      </w:pPr>
      <w:r>
        <w:rPr>
          <w:rFonts w:ascii="Arial" w:cs="Arial" w:eastAsia="Arial" w:hAnsi="Arial"/>
          <w:color w:val="5E5D59"/>
          <w:sz w:val="17"/>
          <w:szCs w:val="17"/>
        </w:rPr>
        <w:t xml:space="preserve">Figure 3. A document's path into the index. The collectors also keep a log of their own confident mistakes, which became the largest part of our AI-was-wrong record.</w:t>
      </w:r>
    </w:p>
    <w:p>
      <w:pPr>
        <w:spacing w:after="160" w:line="300"/>
      </w:pPr>
      <w:r>
        <w:rPr>
          <w:rFonts w:ascii="Arial" w:cs="Arial" w:eastAsia="Arial" w:hAnsi="Arial"/>
          <w:color w:val="141413"/>
          <w:sz w:val="21"/>
          <w:szCs w:val="21"/>
        </w:rPr>
        <w:t xml:space="preserve">The scraper session ran five waves on Saturday. The first fetched the ten shortlist companies at filing depth, with ten quarters of graded calls. The second built the Part 2 backend for all ten companies and 52 drugs, covering epidemiology, peers, deals, pipeline, costs and prescribers. The third filled every gap a free source could still fill. The fourth built the eight case helpers. The fifth was a Part 2 evidence wave of labels, head-to-head trials, payer tables, deal comps and 325 page-anchored filing numbers for the three picked companies. Explicit negatives are rows too, so 'no public source' is itself citable.</w:t>
      </w:r>
    </w:p>
    <w:p>
      <w:pPr>
        <w:pStyle w:val="Heading2"/>
        <w:keepNext/>
        <w:spacing w:after="120" w:before="320"/>
      </w:pPr>
      <w:r>
        <w:rPr>
          <w:rFonts w:ascii="Georgia" w:cs="Georgia" w:eastAsia="Georgia" w:hAnsi="Georgia"/>
          <w:color w:val="141413"/>
          <w:sz w:val="27"/>
          <w:szCs w:val="27"/>
        </w:rPr>
        <w:t xml:space="preserve">3.2 How the work was split between people and tools</w:t>
      </w:r>
    </w:p>
    <w:p>
      <w:pPr>
        <w:spacing w:after="160" w:line="300"/>
      </w:pPr>
      <w:r>
        <w:rPr>
          <w:rFonts w:ascii="Arial" w:cs="Arial" w:eastAsia="Arial" w:hAnsi="Arial"/>
          <w:color w:val="141413"/>
          <w:sz w:val="21"/>
          <w:szCs w:val="21"/>
        </w:rPr>
        <w:t xml:space="preserve">Two people ran four long-lived Claude Code sessions, each in its own git worktree with its own branch and pull request. Parker owned the company read, the human judgment on findings and the Part 2 content, and he shaped the judge-facing page himself, editing its layout in the browser. Aidan owned the API key, the repository and PR chain, the UI, the demo and its public copy, the pitch deck, this report and the submission. A fourth session, the watcher, did no building. It checked the other three against their goals, the rubric and the one deadline, and ruled on discrepancies when a refresh moved a published number.</w:t>
      </w:r>
    </w:p>
    <w:p>
      <w:pPr>
        <w:spacing w:after="160" w:line="300"/>
      </w:pPr>
      <w:r>
        <w:rPr>
          <w:rFonts w:ascii="Arial" w:cs="Arial" w:eastAsia="Arial" w:hAnsi="Arial"/>
          <w:color w:val="141413"/>
          <w:sz w:val="21"/>
          <w:szCs w:val="21"/>
        </w:rPr>
        <w:t xml:space="preserve">Parker's branch also carried a nugget miner and a red-team agent that read footnotes, risk language and call Q&amp;A for each company and scored our work against the rubric. We demoted an earlier quantitative league table, which ranked companies by a scoring equation, to internal triage on Saturday evening after a scorer bug misled it (Section 5). Nothing from it appears in the pitch.</w:t>
      </w:r>
    </w:p>
    <w:p>
      <w:pPr>
        <w:keepNext/>
        <w:spacing w:after="80" w:before="140"/>
        <w:jc w:val="center"/>
      </w:pPr>
      <w:r>
        <w:drawing>
          <wp:inline distT="0" distB="0" distL="0" distR="0">
            <wp:extent cx="4848225" cy="18288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848225" cy="1828800"/>
                    </a:xfrm>
                    <a:prstGeom prst="rect">
                      <a:avLst/>
                    </a:prstGeom>
                  </pic:spPr>
                </pic:pic>
              </a:graphicData>
            </a:graphic>
          </wp:inline>
        </w:drawing>
      </w:r>
    </w:p>
    <w:p>
      <w:pPr>
        <w:spacing w:after="220"/>
        <w:jc w:val="left"/>
      </w:pPr>
      <w:r>
        <w:rPr>
          <w:rFonts w:ascii="Arial" w:cs="Arial" w:eastAsia="Arial" w:hAnsi="Arial"/>
          <w:color w:val="5E5D59"/>
          <w:sz w:val="17"/>
          <w:szCs w:val="17"/>
        </w:rPr>
        <w:t xml:space="preserve">Figure 4. People, sessions and branches. Sessions messaged each other directly with status, commit SHAs, data inventories and rulings.</w:t>
      </w:r>
    </w:p>
    <w:p>
      <w:pPr>
        <w:spacing w:after="160" w:line="300"/>
      </w:pPr>
      <w:r>
        <w:rPr>
          <w:rFonts w:ascii="Arial" w:cs="Arial" w:eastAsia="Arial" w:hAnsi="Arial"/>
          <w:color w:val="141413"/>
          <w:sz w:val="21"/>
          <w:szCs w:val="21"/>
        </w:rPr>
        <w:t xml:space="preserve">Keeping each agent's scope narrow did more for us than any wording in the prompts. Every worker agent opened with the same frame. It is a worker and not an orchestrator, it works only in its own worktree, it owns only the files named, it does not spawn agents, and it reports file paths and counts. No two agents edited the same file all weekend.</w:t>
      </w:r>
    </w:p>
    <w:p>
      <w:pPr>
        <w:pStyle w:val="Heading2"/>
        <w:keepNext/>
        <w:spacing w:after="120" w:before="320"/>
      </w:pPr>
      <w:r>
        <w:rPr>
          <w:rFonts w:ascii="Georgia" w:cs="Georgia" w:eastAsia="Georgia" w:hAnsi="Georgia"/>
          <w:color w:val="141413"/>
          <w:sz w:val="27"/>
          <w:szCs w:val="27"/>
        </w:rPr>
        <w:t xml:space="preserve">3.3 Part 1: Find the Story</w:t>
      </w:r>
    </w:p>
    <w:p>
      <w:pPr>
        <w:spacing w:after="160" w:line="300"/>
      </w:pPr>
      <w:r>
        <w:rPr>
          <w:rFonts w:ascii="Arial" w:cs="Arial" w:eastAsia="Arial" w:hAnsi="Arial"/>
          <w:color w:val="141413"/>
          <w:sz w:val="21"/>
          <w:szCs w:val="21"/>
        </w:rPr>
        <w:t xml:space="preserve">The model session launched ten reader agents, one per company, together on Saturday at 10:27 pm. Each had the case PDF, the rubric, the citation index and a written list of files it was forbidden to open, which covered any prior run, the league table, the nugget files, the red-team notes and every other worktree. Each walked the case's eight hiding places and wrote candidates with page-verified evidence as it found them.</w:t>
      </w:r>
    </w:p>
    <w:p>
      <w:pPr>
        <w:keepNext/>
        <w:spacing w:after="80" w:before="140"/>
        <w:jc w:val="center"/>
      </w:pPr>
      <w:r>
        <w:drawing>
          <wp:inline distT="0" distB="0" distL="0" distR="0">
            <wp:extent cx="6124575" cy="28003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24575" cy="2800350"/>
                    </a:xfrm>
                    <a:prstGeom prst="rect">
                      <a:avLst/>
                    </a:prstGeom>
                  </pic:spPr>
                </pic:pic>
              </a:graphicData>
            </a:graphic>
          </wp:inline>
        </w:drawing>
      </w:r>
    </w:p>
    <w:p>
      <w:pPr>
        <w:spacing w:after="220"/>
        <w:jc w:val="left"/>
      </w:pPr>
      <w:r>
        <w:rPr>
          <w:rFonts w:ascii="Arial" w:cs="Arial" w:eastAsia="Arial" w:hAnsi="Arial"/>
          <w:color w:val="5E5D59"/>
          <w:sz w:val="17"/>
          <w:szCs w:val="17"/>
        </w:rPr>
        <w:t xml:space="preserve">Figure 5. Part 1 in two phases. Phase A ran in 45 minutes of wall clock. Phase B wrote the deliverables through the gate and an independent verifier.</w:t>
      </w:r>
    </w:p>
    <w:p>
      <w:pPr>
        <w:spacing w:after="160" w:line="300"/>
      </w:pPr>
      <w:r>
        <w:rPr>
          <w:rFonts w:ascii="Arial" w:cs="Arial" w:eastAsia="Arial" w:hAnsi="Arial"/>
          <w:color w:val="141413"/>
          <w:sz w:val="21"/>
          <w:szCs w:val="21"/>
        </w:rPr>
        <w:t xml:space="preserve">Each company's candidates then went to two skeptics with different lenses, materiality and math versus obviousness, both instructed to assume every candidate is wrong until the cited page proves otherwise and to open each page themselves. In round two the same agents were resumed, read the other lens's file against the sources, and conceded, held or narrowed. A synthesizer per company ruled each candidate survived, narrowed or killed without voting or averaging. A single ranker picked three companies on the case's test, wrote selection.md, appended its sha256, and only then was allowed to read the league table and the red team to write a separate appendix.</w:t>
      </w:r>
    </w:p>
    <w:p>
      <w:pPr>
        <w:spacing w:after="160" w:line="300"/>
      </w:pPr>
      <w:r>
        <w:rPr>
          <w:rFonts w:ascii="Arial" w:cs="Arial" w:eastAsia="Arial" w:hAnsi="Arial"/>
          <w:color w:val="141413"/>
          <w:sz w:val="21"/>
          <w:szCs w:val="21"/>
        </w:rPr>
        <w:t xml:space="preserve">The skeptics killed about 80 percent of what the readers found, nearly always because management had already said it. The honest result of the trace is '0 survived as first stated, 25 narrowed', and the chat shows that. The sealed pick was Amgen, Merck and Pfizer. The blind result agreed with Parker's red-team read on Merck and Pfizer and with the retired league table on Amgen; Johnson &amp; Johnson, which the league had favoured, dropped out.</w:t>
      </w:r>
    </w:p>
    <w:p>
      <w:pPr>
        <w:spacing w:after="160" w:line="300"/>
      </w:pPr>
      <w:r>
        <w:rPr>
          <w:rFonts w:ascii="Arial" w:cs="Arial" w:eastAsia="Arial" w:hAnsi="Arial"/>
          <w:color w:val="141413"/>
          <w:sz w:val="21"/>
          <w:szCs w:val="21"/>
        </w:rPr>
        <w:t xml:space="preserve">Phase B then wrote each company's deliverable from the sealed rulings: five findings (killed-as-obvious rows used to fill the table are tagged on the record), the Sharpest Needle by one plain rule, the biggest impact that analysts asked about least, and the five-row product comparison with a financial tie, a growth limiter and an evidence-graded priced-in call. Every cell ran through the gate. A fresh verifier agent then re-opened all 261 citations and re-checked all 503 numbers with the instruction to assume each was wrong; it found seven defects, every one an error of attribution or scope and none of arithmetic. We fixed and re-gated all seven.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419"/>
        <w:gridCol w:w="4682"/>
        <w:gridCol w:w="2270"/>
        <w:gridCol w:w="1277"/>
      </w:tblGrid>
      <w:tr>
        <w:trPr>
          <w:tblHeader/>
        </w:trPr>
        <w:tc>
          <w:tcPr>
            <w:tcW w:type="dxa" w:w="1419"/>
            <w:tcBorders>
              <w:top w:val="single" w:color="D9D6CE" w:sz="4"/>
              <w:left w:val="none" w:color="FFFFFF" w:sz="0"/>
              <w:bottom w:val="single" w:color="D9D6CE" w:sz="4"/>
              <w:right w:val="none" w:color="FFFFFF" w:sz="0"/>
            </w:tcBorders>
            <w:shd w:fill="F0EEE6" w:color="auto" w:val="clear"/>
            <w:tcMar>
              <w:top w:type="dxa" w:w="70"/>
              <w:left w:type="dxa" w:w="90"/>
              <w:bottom w:type="dxa" w:w="70"/>
              <w:right w:type="dxa" w:w="90"/>
            </w:tcMar>
            <w:vAlign w:val="top"/>
          </w:tcPr>
          <w:p>
            <w:pPr>
              <w:spacing w:after="0" w:line="250"/>
            </w:pPr>
            <w:r>
              <w:rPr>
                <w:rFonts w:ascii="Arial" w:cs="Arial" w:eastAsia="Arial" w:hAnsi="Arial"/>
                <w:b/>
                <w:bCs/>
                <w:color w:val="141413"/>
                <w:sz w:val="17"/>
                <w:szCs w:val="17"/>
              </w:rPr>
              <w:t xml:space="preserve">Company</w:t>
            </w:r>
          </w:p>
        </w:tc>
        <w:tc>
          <w:tcPr>
            <w:tcW w:type="dxa" w:w="4682"/>
            <w:tcBorders>
              <w:top w:val="single" w:color="D9D6CE" w:sz="4"/>
              <w:left w:val="none" w:color="FFFFFF" w:sz="0"/>
              <w:bottom w:val="single" w:color="D9D6CE" w:sz="4"/>
              <w:right w:val="none" w:color="FFFFFF" w:sz="0"/>
            </w:tcBorders>
            <w:shd w:fill="F0EEE6" w:color="auto" w:val="clear"/>
            <w:tcMar>
              <w:top w:type="dxa" w:w="70"/>
              <w:left w:type="dxa" w:w="90"/>
              <w:bottom w:type="dxa" w:w="70"/>
              <w:right w:type="dxa" w:w="90"/>
            </w:tcMar>
            <w:vAlign w:val="top"/>
          </w:tcPr>
          <w:p>
            <w:pPr>
              <w:spacing w:after="0" w:line="250"/>
            </w:pPr>
            <w:r>
              <w:rPr>
                <w:rFonts w:ascii="Arial" w:cs="Arial" w:eastAsia="Arial" w:hAnsi="Arial"/>
                <w:b/>
                <w:bCs/>
                <w:color w:val="141413"/>
                <w:sz w:val="17"/>
                <w:szCs w:val="17"/>
              </w:rPr>
              <w:t xml:space="preserve">Sharpest Needle</w:t>
            </w:r>
          </w:p>
        </w:tc>
        <w:tc>
          <w:tcPr>
            <w:tcW w:type="dxa" w:w="2270"/>
            <w:tcBorders>
              <w:top w:val="single" w:color="D9D6CE" w:sz="4"/>
              <w:left w:val="none" w:color="FFFFFF" w:sz="0"/>
              <w:bottom w:val="single" w:color="D9D6CE" w:sz="4"/>
              <w:right w:val="none" w:color="FFFFFF" w:sz="0"/>
            </w:tcBorders>
            <w:shd w:fill="F0EEE6" w:color="auto" w:val="clear"/>
            <w:tcMar>
              <w:top w:type="dxa" w:w="70"/>
              <w:left w:type="dxa" w:w="90"/>
              <w:bottom w:type="dxa" w:w="70"/>
              <w:right w:type="dxa" w:w="90"/>
            </w:tcMar>
            <w:vAlign w:val="top"/>
          </w:tcPr>
          <w:p>
            <w:pPr>
              <w:spacing w:after="0" w:line="250"/>
            </w:pPr>
            <w:r>
              <w:rPr>
                <w:rFonts w:ascii="Arial" w:cs="Arial" w:eastAsia="Arial" w:hAnsi="Arial"/>
                <w:b/>
                <w:bCs/>
                <w:color w:val="141413"/>
                <w:sz w:val="17"/>
                <w:szCs w:val="17"/>
              </w:rPr>
              <w:t xml:space="preserve">Product fine print</w:t>
            </w:r>
          </w:p>
        </w:tc>
        <w:tc>
          <w:tcPr>
            <w:tcW w:type="dxa" w:w="1277"/>
            <w:tcBorders>
              <w:top w:val="single" w:color="D9D6CE" w:sz="4"/>
              <w:left w:val="none" w:color="FFFFFF" w:sz="0"/>
              <w:bottom w:val="single" w:color="D9D6CE" w:sz="4"/>
              <w:right w:val="none" w:color="FFFFFF" w:sz="0"/>
            </w:tcBorders>
            <w:shd w:fill="F0EEE6" w:color="auto" w:val="clear"/>
            <w:tcMar>
              <w:top w:type="dxa" w:w="70"/>
              <w:left w:type="dxa" w:w="90"/>
              <w:bottom w:type="dxa" w:w="70"/>
              <w:right w:type="dxa" w:w="90"/>
            </w:tcMar>
            <w:vAlign w:val="top"/>
          </w:tcPr>
          <w:p>
            <w:pPr>
              <w:spacing w:after="0" w:line="250"/>
            </w:pPr>
            <w:r>
              <w:rPr>
                <w:rFonts w:ascii="Arial" w:cs="Arial" w:eastAsia="Arial" w:hAnsi="Arial"/>
                <w:b/>
                <w:bCs/>
                <w:color w:val="141413"/>
                <w:sz w:val="17"/>
                <w:szCs w:val="17"/>
              </w:rPr>
              <w:t xml:space="preserve">Priced in?</w:t>
            </w:r>
          </w:p>
        </w:tc>
      </w:tr>
      <w:tr>
        <w:trPr>
          <w:cantSplit/>
        </w:trPr>
        <w:tc>
          <w:tcPr>
            <w:tcW w:type="dxa" w:w="1419"/>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7"/>
                <w:szCs w:val="17"/>
              </w:rPr>
              <w:t xml:space="preserve">Amgen</w:t>
            </w:r>
          </w:p>
        </w:tc>
        <w:tc>
          <w:tcPr>
            <w:tcW w:type="dxa" w:w="468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7"/>
                <w:szCs w:val="17"/>
              </w:rPr>
              <w:t xml:space="preserve">A $2.4B TAVNEOS intangible carried at about 5.2 times FY2025 sales against a drug the FDA has formally proposed to withdraw. Not raised on any call.</w:t>
            </w:r>
          </w:p>
        </w:tc>
        <w:tc>
          <w:tcPr>
            <w:tcW w:type="dxa" w:w="2270"/>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7"/>
                <w:szCs w:val="17"/>
              </w:rPr>
              <w:t xml:space="preserve">Repatha vs Praluent, Leqvio and Lipfendra</w:t>
            </w:r>
          </w:p>
        </w:tc>
        <w:tc>
          <w:tcPr>
            <w:tcW w:type="dxa" w:w="1277"/>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7"/>
                <w:szCs w:val="17"/>
              </w:rPr>
              <w:t xml:space="preserve">Not priced in</w:t>
            </w:r>
          </w:p>
        </w:tc>
      </w:tr>
      <w:tr>
        <w:trPr>
          <w:cantSplit/>
        </w:trPr>
        <w:tc>
          <w:tcPr>
            <w:tcW w:type="dxa" w:w="1419"/>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7"/>
                <w:szCs w:val="17"/>
              </w:rPr>
              <w:t xml:space="preserve">Merck</w:t>
            </w:r>
          </w:p>
        </w:tc>
        <w:tc>
          <w:tcPr>
            <w:tcW w:type="dxa" w:w="468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7"/>
                <w:szCs w:val="17"/>
              </w:rPr>
              <w:t xml:space="preserve">IRS notices seeking about $1.3B of extra transition tax plus $260M of penalties, outside the non-GAAP EPS line the Street models and absent from every call and release.</w:t>
            </w:r>
          </w:p>
        </w:tc>
        <w:tc>
          <w:tcPr>
            <w:tcW w:type="dxa" w:w="2270"/>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7"/>
                <w:szCs w:val="17"/>
              </w:rPr>
              <w:t xml:space="preserve">Keytruda and Keytruda Qlex vs Opdivo, Imfinzi and Tecentriq</w:t>
            </w:r>
          </w:p>
        </w:tc>
        <w:tc>
          <w:tcPr>
            <w:tcW w:type="dxa" w:w="1277"/>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7"/>
                <w:szCs w:val="17"/>
              </w:rPr>
              <w:t xml:space="preserve">Not priced in</w:t>
            </w:r>
          </w:p>
        </w:tc>
      </w:tr>
      <w:tr>
        <w:trPr>
          <w:cantSplit/>
        </w:trPr>
        <w:tc>
          <w:tcPr>
            <w:tcW w:type="dxa" w:w="1419"/>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7"/>
                <w:szCs w:val="17"/>
              </w:rPr>
              <w:t xml:space="preserve">Pfizer</w:t>
            </w:r>
          </w:p>
        </w:tc>
        <w:tc>
          <w:tcPr>
            <w:tcW w:type="dxa" w:w="468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7"/>
                <w:szCs w:val="17"/>
              </w:rPr>
              <w:t xml:space="preserve">U.S. Vyndaqel revenue flat while the U.S. ATTR-CM class grew 47 percent in H1 2026. Credited as a quantification, since rivals and management have described the share loss.</w:t>
            </w:r>
          </w:p>
        </w:tc>
        <w:tc>
          <w:tcPr>
            <w:tcW w:type="dxa" w:w="2270"/>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7"/>
                <w:szCs w:val="17"/>
              </w:rPr>
              <w:t xml:space="preserve">Vyndaqel family vs Attruby and Amvuttra</w:t>
            </w:r>
          </w:p>
        </w:tc>
        <w:tc>
          <w:tcPr>
            <w:tcW w:type="dxa" w:w="1277"/>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7"/>
                <w:szCs w:val="17"/>
              </w:rPr>
              <w:t xml:space="preserve">Priced in</w:t>
            </w:r>
          </w:p>
        </w:tc>
      </w:tr>
    </w:tbl>
    <w:p>
      <w:pPr>
        <w:spacing w:after="160"/>
      </w:pPr>
    </w:p>
    <w:p>
      <w:pPr>
        <w:pStyle w:val="Heading2"/>
        <w:keepNext/>
        <w:spacing w:after="120" w:before="320"/>
      </w:pPr>
      <w:r>
        <w:rPr>
          <w:rFonts w:ascii="Georgia" w:cs="Georgia" w:eastAsia="Georgia" w:hAnsi="Georgia"/>
          <w:color w:val="141413"/>
          <w:sz w:val="27"/>
          <w:szCs w:val="27"/>
        </w:rPr>
        <w:t xml:space="preserve">3.4 Part 2: Make the Call</w:t>
      </w:r>
    </w:p>
    <w:p>
      <w:pPr>
        <w:spacing w:after="160" w:line="300"/>
      </w:pPr>
      <w:r>
        <w:rPr>
          <w:rFonts w:ascii="Arial" w:cs="Arial" w:eastAsia="Arial" w:hAnsi="Arial"/>
          <w:color w:val="141413"/>
          <w:sz w:val="21"/>
          <w:szCs w:val="21"/>
        </w:rPr>
        <w:t xml:space="preserve">Part 2 ran only for the three sealed companies and reused the structure. A strategist agent per company, with fresh context and the same forbidden list, proposed at least four costed moves of at least two types from the sealed Part 1 findings, and recorded every data gap as a request rather than a guess. Two skeptics, a CFO-and-math lens and a Decider-and-compliance lens, defaulted to kill, each received the specific operands, comparables and deciders to test, and were resumed for a second round against each other's files. A synthesizer picked one move that had been ruled survived or narrowed, and never one the CFO skeptic had refuted on the math. The pick carried exactly two rejected alternatives, kill signals with thresholds and month windows, decider evidence that states what it cannot tell, and the six promotional rules with a claims map wherever a doctor or patient would see material.</w:t>
      </w:r>
    </w:p>
    <w:p>
      <w:pPr>
        <w:keepNext/>
        <w:spacing w:after="80" w:before="140"/>
        <w:jc w:val="center"/>
      </w:pPr>
      <w:r>
        <w:drawing>
          <wp:inline distT="0" distB="0" distL="0" distR="0">
            <wp:extent cx="6124575" cy="19050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24575" cy="1905000"/>
                    </a:xfrm>
                    <a:prstGeom prst="rect">
                      <a:avLst/>
                    </a:prstGeom>
                  </pic:spPr>
                </pic:pic>
              </a:graphicData>
            </a:graphic>
          </wp:inline>
        </w:drawing>
      </w:r>
    </w:p>
    <w:p>
      <w:pPr>
        <w:spacing w:after="220"/>
        <w:jc w:val="left"/>
      </w:pPr>
      <w:r>
        <w:rPr>
          <w:rFonts w:ascii="Arial" w:cs="Arial" w:eastAsia="Arial" w:hAnsi="Arial"/>
          <w:color w:val="5E5D59"/>
          <w:sz w:val="17"/>
          <w:szCs w:val="17"/>
        </w:rPr>
        <w:t xml:space="preserve">Figure 6. Part 2. The scraper's evidence wave landed mid-run. Files announced but not yet on disk stayed labelled as assumptions.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173"/>
        <w:gridCol w:w="4694"/>
        <w:gridCol w:w="1304"/>
        <w:gridCol w:w="2477"/>
      </w:tblGrid>
      <w:tr>
        <w:trPr>
          <w:tblHeader/>
        </w:trPr>
        <w:tc>
          <w:tcPr>
            <w:tcW w:type="dxa" w:w="1173"/>
            <w:tcBorders>
              <w:top w:val="single" w:color="D9D6CE" w:sz="4"/>
              <w:left w:val="none" w:color="FFFFFF" w:sz="0"/>
              <w:bottom w:val="single" w:color="D9D6CE" w:sz="4"/>
              <w:right w:val="none" w:color="FFFFFF" w:sz="0"/>
            </w:tcBorders>
            <w:shd w:fill="F0EEE6" w:color="auto" w:val="clear"/>
            <w:tcMar>
              <w:top w:type="dxa" w:w="70"/>
              <w:left w:type="dxa" w:w="90"/>
              <w:bottom w:type="dxa" w:w="70"/>
              <w:right w:type="dxa" w:w="90"/>
            </w:tcMar>
            <w:vAlign w:val="top"/>
          </w:tcPr>
          <w:p>
            <w:pPr>
              <w:spacing w:after="0" w:line="250"/>
            </w:pPr>
            <w:r>
              <w:rPr>
                <w:rFonts w:ascii="Arial" w:cs="Arial" w:eastAsia="Arial" w:hAnsi="Arial"/>
                <w:b/>
                <w:bCs/>
                <w:color w:val="141413"/>
                <w:sz w:val="17"/>
                <w:szCs w:val="17"/>
              </w:rPr>
              <w:t xml:space="preserve">Company</w:t>
            </w:r>
          </w:p>
        </w:tc>
        <w:tc>
          <w:tcPr>
            <w:tcW w:type="dxa" w:w="4694"/>
            <w:tcBorders>
              <w:top w:val="single" w:color="D9D6CE" w:sz="4"/>
              <w:left w:val="none" w:color="FFFFFF" w:sz="0"/>
              <w:bottom w:val="single" w:color="D9D6CE" w:sz="4"/>
              <w:right w:val="none" w:color="FFFFFF" w:sz="0"/>
            </w:tcBorders>
            <w:shd w:fill="F0EEE6" w:color="auto" w:val="clear"/>
            <w:tcMar>
              <w:top w:type="dxa" w:w="70"/>
              <w:left w:type="dxa" w:w="90"/>
              <w:bottom w:type="dxa" w:w="70"/>
              <w:right w:type="dxa" w:w="90"/>
            </w:tcMar>
            <w:vAlign w:val="top"/>
          </w:tcPr>
          <w:p>
            <w:pPr>
              <w:spacing w:after="0" w:line="250"/>
            </w:pPr>
            <w:r>
              <w:rPr>
                <w:rFonts w:ascii="Arial" w:cs="Arial" w:eastAsia="Arial" w:hAnsi="Arial"/>
                <w:b/>
                <w:bCs/>
                <w:color w:val="141413"/>
                <w:sz w:val="17"/>
                <w:szCs w:val="17"/>
              </w:rPr>
              <w:t xml:space="preserve">The move</w:t>
            </w:r>
          </w:p>
        </w:tc>
        <w:tc>
          <w:tcPr>
            <w:tcW w:type="dxa" w:w="1304"/>
            <w:tcBorders>
              <w:top w:val="single" w:color="D9D6CE" w:sz="4"/>
              <w:left w:val="none" w:color="FFFFFF" w:sz="0"/>
              <w:bottom w:val="single" w:color="D9D6CE" w:sz="4"/>
              <w:right w:val="none" w:color="FFFFFF" w:sz="0"/>
            </w:tcBorders>
            <w:shd w:fill="F0EEE6" w:color="auto" w:val="clear"/>
            <w:tcMar>
              <w:top w:type="dxa" w:w="70"/>
              <w:left w:type="dxa" w:w="90"/>
              <w:bottom w:type="dxa" w:w="70"/>
              <w:right w:type="dxa" w:w="90"/>
            </w:tcMar>
            <w:vAlign w:val="top"/>
          </w:tcPr>
          <w:p>
            <w:pPr>
              <w:spacing w:after="0" w:line="250"/>
            </w:pPr>
            <w:r>
              <w:rPr>
                <w:rFonts w:ascii="Arial" w:cs="Arial" w:eastAsia="Arial" w:hAnsi="Arial"/>
                <w:b/>
                <w:bCs/>
                <w:color w:val="141413"/>
                <w:sz w:val="17"/>
                <w:szCs w:val="17"/>
              </w:rPr>
              <w:t xml:space="preserve">Budget</w:t>
            </w:r>
          </w:p>
        </w:tc>
        <w:tc>
          <w:tcPr>
            <w:tcW w:type="dxa" w:w="2477"/>
            <w:tcBorders>
              <w:top w:val="single" w:color="D9D6CE" w:sz="4"/>
              <w:left w:val="none" w:color="FFFFFF" w:sz="0"/>
              <w:bottom w:val="single" w:color="D9D6CE" w:sz="4"/>
              <w:right w:val="none" w:color="FFFFFF" w:sz="0"/>
            </w:tcBorders>
            <w:shd w:fill="F0EEE6" w:color="auto" w:val="clear"/>
            <w:tcMar>
              <w:top w:type="dxa" w:w="70"/>
              <w:left w:type="dxa" w:w="90"/>
              <w:bottom w:type="dxa" w:w="70"/>
              <w:right w:type="dxa" w:w="90"/>
            </w:tcMar>
            <w:vAlign w:val="top"/>
          </w:tcPr>
          <w:p>
            <w:pPr>
              <w:spacing w:after="0" w:line="250"/>
            </w:pPr>
            <w:r>
              <w:rPr>
                <w:rFonts w:ascii="Arial" w:cs="Arial" w:eastAsia="Arial" w:hAnsi="Arial"/>
                <w:b/>
                <w:bCs/>
                <w:color w:val="141413"/>
                <w:sz w:val="17"/>
                <w:szCs w:val="17"/>
              </w:rPr>
              <w:t xml:space="preserve">Kill signals</w:t>
            </w:r>
          </w:p>
        </w:tc>
      </w:tr>
      <w:tr>
        <w:trPr>
          <w:cantSplit/>
        </w:trPr>
        <w:tc>
          <w:tcPr>
            <w:tcW w:type="dxa" w:w="1173"/>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7"/>
                <w:szCs w:val="17"/>
              </w:rPr>
              <w:t xml:space="preserve">Merck</w:t>
            </w:r>
          </w:p>
        </w:tc>
        <w:tc>
          <w:tcPr>
            <w:tcW w:type="dxa" w:w="4694"/>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7"/>
                <w:szCs w:val="17"/>
              </w:rPr>
              <w:t xml:space="preserve">A 15-person team splits the $5.9B long-dated inventory pool by product by month six, discloses the split, and releases only the sellable surplus, up to $1.0B, to retire the 4.30 percent notes due 2028 rather than refinance them. The IRS needle is recorded as a non-driver, with a gated sentence saying why.</w:t>
            </w:r>
          </w:p>
        </w:tc>
        <w:tc>
          <w:tcPr>
            <w:tcW w:type="dxa" w:w="1304"/>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7"/>
                <w:szCs w:val="17"/>
              </w:rPr>
              <w:t xml:space="preserve">$7.5M, 15 people</w:t>
            </w:r>
          </w:p>
        </w:tc>
        <w:tc>
          <w:tcPr>
            <w:tcW w:type="dxa" w:w="2477"/>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7"/>
                <w:szCs w:val="17"/>
              </w:rPr>
              <w:t xml:space="preserve">Four, including the month-six surplus review below $0.34B and the long-dated line at or above $5.9B in the 10-Q note.</w:t>
            </w:r>
          </w:p>
        </w:tc>
      </w:tr>
      <w:tr>
        <w:trPr>
          <w:cantSplit/>
        </w:trPr>
        <w:tc>
          <w:tcPr>
            <w:tcW w:type="dxa" w:w="1173"/>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7"/>
                <w:szCs w:val="17"/>
              </w:rPr>
              <w:t xml:space="preserve">Amgen</w:t>
            </w:r>
          </w:p>
        </w:tc>
        <w:tc>
          <w:tcPr>
            <w:tcW w:type="dxa" w:w="4694"/>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7"/>
                <w:szCs w:val="17"/>
              </w:rPr>
              <w:t xml:space="preserve">Owned by the head of R&amp;D, file into the TAVNEOS withdrawal hearing record an offer to fully fund and independently adjudicate the FDA-required five-year trial plus a U.S. liver-safety registry, releasing the trial budget only if the FDA signals it will accept postmarketing commitments. The indexed precedents cut against it and the deliverable says so.</w:t>
            </w:r>
          </w:p>
        </w:tc>
        <w:tc>
          <w:tcPr>
            <w:tcW w:type="dxa" w:w="1304"/>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7"/>
                <w:szCs w:val="17"/>
              </w:rPr>
              <w:t xml:space="preserve">$12.5M, 12 people</w:t>
            </w:r>
          </w:p>
        </w:tc>
        <w:tc>
          <w:tcPr>
            <w:tcW w:type="dxa" w:w="2477"/>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7"/>
                <w:szCs w:val="17"/>
              </w:rPr>
              <w:t xml:space="preserve">Five, including any written denial of the hearing request and no FDA signal by month twelve.</w:t>
            </w:r>
          </w:p>
        </w:tc>
      </w:tr>
      <w:tr>
        <w:trPr>
          <w:cantSplit/>
        </w:trPr>
        <w:tc>
          <w:tcPr>
            <w:tcW w:type="dxa" w:w="1173"/>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7"/>
                <w:szCs w:val="17"/>
              </w:rPr>
              <w:t xml:space="preserve">Pfizer</w:t>
            </w:r>
          </w:p>
        </w:tc>
        <w:tc>
          <w:tcPr>
            <w:tcW w:type="dxa" w:w="4694"/>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7"/>
                <w:szCs w:val="17"/>
              </w:rPr>
              <w:t xml:space="preserve">Scale the existing U.S. ATTR-CM detection program with scintigraphy referral support at high heart-failure, low-testing cardiology sites, paid in two $25M tranches against matched control sites, the second released at month twelve only on a 380-start gate. Two promotional pieces with a 17-row claims map.</w:t>
            </w:r>
          </w:p>
        </w:tc>
        <w:tc>
          <w:tcPr>
            <w:tcW w:type="dxa" w:w="1304"/>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7"/>
                <w:szCs w:val="17"/>
              </w:rPr>
              <w:t xml:space="preserve">$50M over 24 months</w:t>
            </w:r>
          </w:p>
        </w:tc>
        <w:tc>
          <w:tcPr>
            <w:tcW w:type="dxa" w:w="2477"/>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7"/>
                <w:szCs w:val="17"/>
              </w:rPr>
              <w:t xml:space="preserve">Three, including fewer than 380 attributable starts by month twelve and U.S. Vyndaqel share of the class below 45 percent.</w:t>
            </w:r>
          </w:p>
        </w:tc>
      </w:tr>
    </w:tbl>
    <w:p>
      <w:pPr>
        <w:spacing w:after="120"/>
      </w:pPr>
    </w:p>
    <w:p>
      <w:pPr>
        <w:spacing w:after="160" w:line="300"/>
      </w:pPr>
      <w:r>
        <w:rPr>
          <w:rFonts w:ascii="Arial" w:cs="Arial" w:eastAsia="Arial" w:hAnsi="Arial"/>
          <w:color w:val="141413"/>
          <w:sz w:val="21"/>
          <w:szCs w:val="21"/>
        </w:rPr>
        <w:t xml:space="preserve">Of 13 candidate moves, nine were killed and four narrowed. Every chosen move is a narrowed candidate, and its label is unrefuted, not confirmed. Where the two skeptics could not settle a point, the deliverable prints both positions and does not average them.</w:t>
      </w:r>
    </w:p>
    <w:p>
      <w:pPr>
        <w:pStyle w:val="Heading2"/>
        <w:keepNext/>
        <w:spacing w:after="120" w:before="320"/>
      </w:pPr>
      <w:r>
        <w:rPr>
          <w:rFonts w:ascii="Georgia" w:cs="Georgia" w:eastAsia="Georgia" w:hAnsi="Georgia"/>
          <w:color w:val="141413"/>
          <w:sz w:val="27"/>
          <w:szCs w:val="27"/>
        </w:rPr>
        <w:t xml:space="preserve">3.5 How outputs were checked</w:t>
      </w:r>
    </w:p>
    <w:p>
      <w:pPr>
        <w:spacing w:after="160" w:line="300"/>
      </w:pPr>
      <w:r>
        <w:rPr>
          <w:rFonts w:ascii="Arial" w:cs="Arial" w:eastAsia="Arial" w:hAnsi="Arial"/>
          <w:color w:val="141413"/>
          <w:sz w:val="21"/>
          <w:szCs w:val="21"/>
        </w:rPr>
        <w:t xml:space="preserve">Five checks sit between an agent's sentence and the screen, and they catch different things.</w:t>
      </w:r>
    </w:p>
    <w:p>
      <w:pPr>
        <w:keepNext/>
        <w:spacing w:after="80" w:before="140"/>
        <w:jc w:val="center"/>
      </w:pPr>
      <w:r>
        <w:drawing>
          <wp:inline distT="0" distB="0" distL="0" distR="0">
            <wp:extent cx="6124575" cy="189547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24575" cy="1895475"/>
                    </a:xfrm>
                    <a:prstGeom prst="rect">
                      <a:avLst/>
                    </a:prstGeom>
                  </pic:spPr>
                </pic:pic>
              </a:graphicData>
            </a:graphic>
          </wp:inline>
        </w:drawing>
      </w:r>
    </w:p>
    <w:p>
      <w:pPr>
        <w:spacing w:after="220"/>
        <w:jc w:val="left"/>
      </w:pPr>
      <w:r>
        <w:rPr>
          <w:rFonts w:ascii="Arial" w:cs="Arial" w:eastAsia="Arial" w:hAnsi="Arial"/>
          <w:color w:val="5E5D59"/>
          <w:sz w:val="17"/>
          <w:szCs w:val="17"/>
        </w:rPr>
        <w:t xml:space="preserve">Figure 7. The gate decides what a number may be. It fails closed. A sentence with an unsupported figure is withheld and logged, and is never shown with a guess.</w:t>
      </w:r>
    </w:p>
    <w:p>
      <w:pPr>
        <w:pStyle w:val="ListParagraph"/>
        <w:numPr>
          <w:ilvl w:val="0"/>
          <w:numId w:val="2"/>
        </w:numPr>
        <w:spacing w:after="90" w:line="290"/>
      </w:pPr>
      <w:r>
        <w:rPr>
          <w:rFonts w:ascii="Arial" w:cs="Arial" w:eastAsia="Arial" w:hAnsi="Arial"/>
          <w:b/>
          <w:bCs/>
          <w:color w:val="141413"/>
          <w:sz w:val="21"/>
          <w:szCs w:val="21"/>
        </w:rPr>
        <w:t xml:space="preserve">The per-number gate. </w:t>
      </w:r>
      <w:r>
        <w:rPr>
          <w:rFonts w:ascii="Arial" w:cs="Arial" w:eastAsia="Arial" w:hAnsi="Arial"/>
          <w:color w:val="141413"/>
          <w:sz w:val="21"/>
          <w:szCs w:val="21"/>
        </w:rPr>
        <w:t xml:space="preserve">Every figure in every finding, product cell, move, budget, math step, kill signal and promotional claim is tokenised and checked against the quoted span of its citation, a formula whose operands are each cited and which recomputes the printed value, or a printed assumption label. A text with no numbers reports 'no numbers', not a pass. The rule is strict on purpose. A numeral elsewhere on the same page does not count, because our first gate accepted exactly that and approved wrong numbers (Section 5).</w:t>
      </w:r>
    </w:p>
    <w:p>
      <w:pPr>
        <w:pStyle w:val="ListParagraph"/>
        <w:numPr>
          <w:ilvl w:val="0"/>
          <w:numId w:val="2"/>
        </w:numPr>
        <w:spacing w:after="90" w:line="290"/>
      </w:pPr>
      <w:r>
        <w:rPr>
          <w:rFonts w:ascii="Arial" w:cs="Arial" w:eastAsia="Arial" w:hAnsi="Arial"/>
          <w:b/>
          <w:bCs/>
          <w:color w:val="141413"/>
          <w:sz w:val="21"/>
          <w:szCs w:val="21"/>
        </w:rPr>
        <w:t xml:space="preserve">An independent verifier. </w:t>
      </w:r>
      <w:r>
        <w:rPr>
          <w:rFonts w:ascii="Arial" w:cs="Arial" w:eastAsia="Arial" w:hAnsi="Arial"/>
          <w:color w:val="141413"/>
          <w:sz w:val="21"/>
          <w:szCs w:val="21"/>
        </w:rPr>
        <w:t xml:space="preserve">A fresh agent that never saw the writers' reasoning re-opened every citation and re-ran every derivation. The gate checks numbers. The verifier checks attribution and scope, which is where all seven Part 1 defects were.</w:t>
      </w:r>
    </w:p>
    <w:p>
      <w:pPr>
        <w:pStyle w:val="ListParagraph"/>
        <w:numPr>
          <w:ilvl w:val="0"/>
          <w:numId w:val="2"/>
        </w:numPr>
        <w:spacing w:after="90" w:line="290"/>
      </w:pPr>
      <w:r>
        <w:rPr>
          <w:rFonts w:ascii="Arial" w:cs="Arial" w:eastAsia="Arial" w:hAnsi="Arial"/>
          <w:b/>
          <w:bCs/>
          <w:color w:val="141413"/>
          <w:sz w:val="21"/>
          <w:szCs w:val="21"/>
        </w:rPr>
        <w:t xml:space="preserve">The UI exporter. </w:t>
      </w:r>
      <w:r>
        <w:rPr>
          <w:rFonts w:ascii="Arial" w:cs="Arial" w:eastAsia="Arial" w:hAnsi="Arial"/>
          <w:color w:val="141413"/>
          <w:sz w:val="21"/>
          <w:szCs w:val="21"/>
        </w:rPr>
        <w:t xml:space="preserve">Before an answer is cached for the chat, the exporter re-runs the structural contract. It requires that every block passed or had no numbers, that there are exactly two rejected alternatives, that drivers name real Part 1 findings, and that no figure appears in prose unless a passed block governs it. A company that fails is not written, and its tab shows as 'writing'. Both Part 1 and Part 2 exported with zero errors and zero figures withheld.</w:t>
      </w:r>
    </w:p>
    <w:p>
      <w:pPr>
        <w:pStyle w:val="ListParagraph"/>
        <w:numPr>
          <w:ilvl w:val="0"/>
          <w:numId w:val="2"/>
        </w:numPr>
        <w:spacing w:after="90" w:line="290"/>
      </w:pPr>
      <w:r>
        <w:rPr>
          <w:rFonts w:ascii="Arial" w:cs="Arial" w:eastAsia="Arial" w:hAnsi="Arial"/>
          <w:b/>
          <w:bCs/>
          <w:color w:val="141413"/>
          <w:sz w:val="21"/>
          <w:szCs w:val="21"/>
        </w:rPr>
        <w:t xml:space="preserve">Tests and greps. </w:t>
      </w:r>
      <w:r>
        <w:rPr>
          <w:rFonts w:ascii="Arial" w:cs="Arial" w:eastAsia="Arial" w:hAnsi="Arial"/>
          <w:color w:val="141413"/>
          <w:sz w:val="21"/>
          <w:szCs w:val="21"/>
        </w:rPr>
        <w:t xml:space="preserve">259 tests, plus two mechanical checks after every write: a pattern that catches a dropped leading digit (one shell heredoc turned '$2.4B' into '.4B' before we banned heredocs for output) and a count of em dashes, which must be zero.</w:t>
      </w:r>
    </w:p>
    <w:p>
      <w:pPr>
        <w:pStyle w:val="ListParagraph"/>
        <w:numPr>
          <w:ilvl w:val="0"/>
          <w:numId w:val="2"/>
        </w:numPr>
        <w:spacing w:after="90" w:line="290"/>
      </w:pPr>
      <w:r>
        <w:rPr>
          <w:rFonts w:ascii="Arial" w:cs="Arial" w:eastAsia="Arial" w:hAnsi="Arial"/>
          <w:b/>
          <w:bCs/>
          <w:color w:val="141413"/>
          <w:sz w:val="21"/>
          <w:szCs w:val="21"/>
        </w:rPr>
        <w:t xml:space="preserve">A human read. </w:t>
      </w:r>
      <w:r>
        <w:rPr>
          <w:rFonts w:ascii="Arial" w:cs="Arial" w:eastAsia="Arial" w:hAnsi="Arial"/>
          <w:color w:val="141413"/>
          <w:sz w:val="21"/>
          <w:szCs w:val="21"/>
        </w:rPr>
        <w:t xml:space="preserve">A person opened the cited page behind every needle. Several of our worst errors passed every code check, and that read is where we caught them.</w:t>
      </w:r>
    </w:p>
    <w:p>
      <w:pPr>
        <w:spacing w:after="160" w:line="300"/>
      </w:pPr>
      <w:r>
        <w:rPr>
          <w:rFonts w:ascii="Arial" w:cs="Arial" w:eastAsia="Arial" w:hAnsi="Arial"/>
          <w:color w:val="141413"/>
          <w:sz w:val="21"/>
          <w:szCs w:val="21"/>
        </w:rPr>
        <w:t xml:space="preserve">Across sessions, the watcher ran status checks, enforced the single deadline and ruled on refresh discrepancies. Its rulings were that a cited benchmark replaces an unsourced assumption even when it moves a number, that a timing assumption stays when no page dates it, and that a published number which fails against a new source is logged and reported before anyone edits it.</w:t>
      </w:r>
    </w:p>
    <w:p>
      <w:pPr>
        <w:pStyle w:val="Heading2"/>
        <w:keepNext/>
        <w:spacing w:after="120" w:before="320"/>
      </w:pPr>
      <w:r>
        <w:rPr>
          <w:rFonts w:ascii="Georgia" w:cs="Georgia" w:eastAsia="Georgia" w:hAnsi="Georgia"/>
          <w:color w:val="141413"/>
          <w:sz w:val="27"/>
          <w:szCs w:val="27"/>
        </w:rPr>
        <w:t xml:space="preserve">3.6 Getting it in front of judges</w:t>
      </w:r>
    </w:p>
    <w:p>
      <w:pPr>
        <w:spacing w:after="160" w:line="300"/>
      </w:pPr>
      <w:r>
        <w:rPr>
          <w:rFonts w:ascii="Arial" w:cs="Arial" w:eastAsia="Arial" w:hAnsi="Arial"/>
          <w:color w:val="141413"/>
          <w:sz w:val="21"/>
          <w:szCs w:val="21"/>
        </w:rPr>
        <w:t xml:space="preserve">The last morning went into making the work easy for a judge to read without changing a single cited number. The chat took the name Needle in the Haystack and a haystack theme, and its two prompts were relabelled Find the needle and The CEO Move, with the case's own Part 1 and Part 2 kept beside them on the slides. Answers now open with what the case grades first. The product answer leads with what limits growth and the tie to the numbers, and the CEO Move leads with what it should return. When that summary started repeating the detail below it, the expandable section was cut back to only what the summary leaves out.</w:t>
      </w:r>
    </w:p>
    <w:p>
      <w:pPr>
        <w:spacing w:after="160" w:line="300"/>
      </w:pPr>
      <w:r>
        <w:rPr>
          <w:rFonts w:ascii="Arial" w:cs="Arial" w:eastAsia="Arial" w:hAnsi="Arial"/>
          <w:color w:val="141413"/>
          <w:sz w:val="21"/>
          <w:szCs w:val="21"/>
        </w:rPr>
        <w:t xml:space="preserve">The judge-facing page lives on Parker's claude.ai artifact, which needs a login to open. We published an exact copy to GitHub Pages so the QR code on the deck opens it on any phone. The copy is a snapshot, so each change to the artifact is pushed to it again, and we check that the two match by file fingerprint.</w:t>
      </w:r>
    </w:p>
    <w:p>
      <w:pPr>
        <w:spacing w:after="160" w:line="300"/>
      </w:pPr>
      <w:r>
        <w:rPr>
          <w:rFonts w:ascii="Arial" w:cs="Arial" w:eastAsia="Arial" w:hAnsi="Arial"/>
          <w:color w:val="141413"/>
          <w:sz w:val="21"/>
          <w:szCs w:val="21"/>
        </w:rPr>
        <w:t xml:space="preserve">The deck went through the same adversarial pattern as the analysis. A skeptic agent reviewed PowerPoint renders of every slide for gaps, sizing, alignment and arrows over three rounds; it flagged 25 problems in the first round and two in the last, and every slide passed. A second skeptic read every line of slide text and speaker notes for machine-sounding phrasing and proposed 30 rewrites that kept each number, citation and asterisk. We applied most of them, and overrode the ones that would have made a claim less accurate (Section 5).</w:t>
      </w:r>
    </w:p>
    <w:p>
      <w:pPr>
        <w:pStyle w:val="Heading1"/>
        <w:spacing w:after="200" w:before="520"/>
      </w:pPr>
      <w:r>
        <w:rPr>
          <w:rFonts w:ascii="Georgia" w:cs="Georgia" w:eastAsia="Georgia" w:hAnsi="Georgia"/>
          <w:color w:val="141413"/>
          <w:sz w:val="38"/>
          <w:szCs w:val="38"/>
        </w:rPr>
        <w:t xml:space="preserve">4. The most important prompts</w:t>
      </w:r>
    </w:p>
    <w:p>
      <w:pPr>
        <w:spacing w:after="160" w:line="300"/>
      </w:pPr>
      <w:r>
        <w:rPr>
          <w:rFonts w:ascii="Arial" w:cs="Arial" w:eastAsia="Arial" w:hAnsi="Arial"/>
          <w:color w:val="141413"/>
          <w:sz w:val="21"/>
          <w:szCs w:val="21"/>
        </w:rPr>
        <w:t xml:space="preserve">Most of the prompting lives in written briefs, one per role, that every worker was told to read in full before starting: the forbidden lists, the output contracts, the gate rules, the eight category strings verbatim from the case. The launch prompts below pointed each agent at its brief and added the company-specific facts to test. They are reproduced exactly as sent, with one example per role. The other companies' prompts differ only in ticker and in the specific checks lifted from that company's files.</w:t>
      </w:r>
    </w:p>
    <w:p>
      <w:pPr>
        <w:keepNext/>
        <w:spacing w:after="60" w:before="200"/>
      </w:pPr>
      <w:r>
        <w:rPr>
          <w:rFonts w:ascii="Arial" w:cs="Arial" w:eastAsia="Arial" w:hAnsi="Arial"/>
          <w:b/>
          <w:bCs/>
          <w:color w:val="D97757"/>
          <w:sz w:val="18"/>
          <w:szCs w:val="18"/>
        </w:rPr>
        <w:t xml:space="preserve">The worker preamble, on every launch</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none" w:color="FFFFFF" w:sz="0"/>
              <w:left w:val="none" w:color="FFFFFF" w:sz="0"/>
              <w:bottom w:val="none" w:color="FFFFFF" w:sz="0"/>
              <w:right w:val="none" w:color="FFFFFF" w:sz="0"/>
            </w:tcBorders>
            <w:shd w:fill="F0EEE6" w:color="auto" w:val="clear"/>
            <w:tcMar>
              <w:top w:type="dxa" w:w="120"/>
              <w:left w:type="dxa" w:w="160"/>
              <w:bottom w:type="dxa" w:w="120"/>
              <w:right w:type="dxa" w:w="160"/>
            </w:tcMar>
          </w:tcPr>
          <w:p>
            <w:pPr>
              <w:spacing w:after="0" w:line="228"/>
            </w:pPr>
            <w:r>
              <w:rPr>
                <w:rFonts w:ascii="Courier New" w:cs="Courier New" w:eastAsia="Courier New" w:hAnsi="Courier New"/>
                <w:color w:val="141413"/>
                <w:sz w:val="14"/>
                <w:szCs w:val="14"/>
              </w:rPr>
              <w:t xml:space="preserve">CONTEXT: You are a WORKER agent, not an orchestrator.</w:t>
            </w:r>
          </w:p>
          <w:p>
            <w:pPr>
              <w:spacing w:after="0" w:line="228"/>
            </w:pPr>
            <w:r>
              <w:rPr>
                <w:rFonts w:ascii="Courier New" w:cs="Courier New" w:eastAsia="Courier New" w:hAnsi="Courier New"/>
                <w:color w:val="141413"/>
                <w:sz w:val="14"/>
                <w:szCs w:val="14"/>
              </w:rPr>
              <w:t xml:space="preserve"> </w:t>
            </w:r>
          </w:p>
          <w:p>
            <w:pPr>
              <w:spacing w:after="0" w:line="228"/>
            </w:pPr>
            <w:r>
              <w:rPr>
                <w:rFonts w:ascii="Courier New" w:cs="Courier New" w:eastAsia="Courier New" w:hAnsi="Courier New"/>
                <w:color w:val="141413"/>
                <w:sz w:val="14"/>
                <w:szCs w:val="14"/>
              </w:rPr>
              <w:t xml:space="preserve">RULES:</w:t>
            </w:r>
          </w:p>
          <w:p>
            <w:pPr>
              <w:spacing w:after="0" w:line="228"/>
            </w:pPr>
            <w:r>
              <w:rPr>
                <w:rFonts w:ascii="Courier New" w:cs="Courier New" w:eastAsia="Courier New" w:hAnsi="Courier New"/>
                <w:color w:val="141413"/>
                <w:sz w:val="14"/>
                <w:szCs w:val="14"/>
              </w:rPr>
              <w:t xml:space="preserve">- Complete ONLY the task described below</w:t>
            </w:r>
          </w:p>
          <w:p>
            <w:pPr>
              <w:spacing w:after="0" w:line="228"/>
            </w:pPr>
            <w:r>
              <w:rPr>
                <w:rFonts w:ascii="Courier New" w:cs="Courier New" w:eastAsia="Courier New" w:hAnsi="Courier New"/>
                <w:color w:val="141413"/>
                <w:sz w:val="14"/>
                <w:szCs w:val="14"/>
              </w:rPr>
              <w:t xml:space="preserve">- Use tools directly (Read, Bash, Write, etc.)</w:t>
            </w:r>
          </w:p>
          <w:p>
            <w:pPr>
              <w:spacing w:after="0" w:line="228"/>
            </w:pPr>
            <w:r>
              <w:rPr>
                <w:rFonts w:ascii="Courier New" w:cs="Courier New" w:eastAsia="Courier New" w:hAnsi="Courier New"/>
                <w:color w:val="141413"/>
                <w:sz w:val="14"/>
                <w:szCs w:val="14"/>
              </w:rPr>
              <w:t xml:space="preserve">- Write results to disk incrementally as you find them</w:t>
            </w:r>
          </w:p>
          <w:p>
            <w:pPr>
              <w:spacing w:after="0" w:line="228"/>
            </w:pPr>
            <w:r>
              <w:rPr>
                <w:rFonts w:ascii="Courier New" w:cs="Courier New" w:eastAsia="Courier New" w:hAnsi="Courier New"/>
                <w:color w:val="141413"/>
                <w:sz w:val="14"/>
                <w:szCs w:val="14"/>
              </w:rPr>
              <w:t xml:space="preserve">- Do NOT spawn sub-agents</w:t>
            </w:r>
          </w:p>
          <w:p>
            <w:pPr>
              <w:spacing w:after="0" w:line="228"/>
            </w:pPr>
            <w:r>
              <w:rPr>
                <w:rFonts w:ascii="Courier New" w:cs="Courier New" w:eastAsia="Courier New" w:hAnsi="Courier New"/>
                <w:color w:val="141413"/>
                <w:sz w:val="14"/>
                <w:szCs w:val="14"/>
              </w:rPr>
              <w:t xml:space="preserve">- Do NOT call TaskCreate/TaskUpdate or progress.sh</w:t>
            </w:r>
          </w:p>
          <w:p>
            <w:pPr>
              <w:spacing w:after="0" w:line="228"/>
            </w:pPr>
            <w:r>
              <w:rPr>
                <w:rFonts w:ascii="Courier New" w:cs="Courier New" w:eastAsia="Courier New" w:hAnsi="Courier New"/>
                <w:color w:val="141413"/>
                <w:sz w:val="14"/>
                <w:szCs w:val="14"/>
              </w:rPr>
              <w:t xml:space="preserve">- Report results with absolute file paths and counts</w:t>
            </w:r>
          </w:p>
        </w:tc>
      </w:tr>
    </w:tbl>
    <w:p>
      <w:pPr>
        <w:spacing w:after="160"/>
      </w:pPr>
    </w:p>
    <w:p>
      <w:pPr>
        <w:spacing w:after="160" w:line="300"/>
      </w:pPr>
      <w:r>
        <w:rPr>
          <w:rFonts w:ascii="Arial" w:cs="Arial" w:eastAsia="Arial" w:hAnsi="Arial"/>
          <w:color w:val="141413"/>
          <w:sz w:val="21"/>
          <w:szCs w:val="21"/>
        </w:rPr>
        <w:t xml:space="preserve">This preamble and one brief per role are the reason 59 agents could run against one repository without a merge conflict.</w:t>
      </w:r>
    </w:p>
    <w:p>
      <w:pPr>
        <w:keepNext/>
        <w:spacing w:after="60" w:before="200"/>
      </w:pPr>
      <w:r>
        <w:rPr>
          <w:rFonts w:ascii="Arial" w:cs="Arial" w:eastAsia="Arial" w:hAnsi="Arial"/>
          <w:b/>
          <w:bCs/>
          <w:color w:val="D97757"/>
          <w:sz w:val="18"/>
          <w:szCs w:val="18"/>
        </w:rPr>
        <w:t xml:space="preserve">Part 1 blind reader (paths shortened for the page)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none" w:color="FFFFFF" w:sz="0"/>
              <w:left w:val="none" w:color="FFFFFF" w:sz="0"/>
              <w:bottom w:val="none" w:color="FFFFFF" w:sz="0"/>
              <w:right w:val="none" w:color="FFFFFF" w:sz="0"/>
            </w:tcBorders>
            <w:shd w:fill="F0EEE6" w:color="auto" w:val="clear"/>
            <w:tcMar>
              <w:top w:type="dxa" w:w="120"/>
              <w:left w:type="dxa" w:w="160"/>
              <w:bottom w:type="dxa" w:w="120"/>
              <w:right w:type="dxa" w:w="160"/>
            </w:tcMar>
          </w:tcPr>
          <w:p>
            <w:pPr>
              <w:spacing w:after="0" w:line="228"/>
            </w:pPr>
            <w:r>
              <w:rPr>
                <w:rFonts w:ascii="Courier New" w:cs="Courier New" w:eastAsia="Courier New" w:hAnsi="Courier New"/>
                <w:color w:val="141413"/>
                <w:sz w:val="14"/>
                <w:szCs w:val="14"/>
              </w:rPr>
              <w:t xml:space="preserve">TASK: You are the blind reader for ticker AMGN (Amgen). First read, in full, docs/part1/BLIND_READER_BRIEF.md and follow every rule in it, especially the DO NOT READ list (no prior-run files, no league/findings/nuggets/needle/handoff docs, no other worktrees). Then read the case PDF and rubric it names. Then walk all eight hiding places for AMGN using the citation index and verified tables, and write out/part1/_blind/AMGN/candidates.jsonl and reader_summary.md exactly in the brief's output contract. Verify every quote with verify_quote before writing it. Report the file paths, the number of candidates and no-finding records, and any data gaps.</w:t>
            </w:r>
          </w:p>
        </w:tc>
      </w:tr>
    </w:tbl>
    <w:p>
      <w:pPr>
        <w:spacing w:after="160"/>
      </w:pPr>
    </w:p>
    <w:p>
      <w:pPr>
        <w:keepNext/>
        <w:spacing w:after="60" w:before="200"/>
      </w:pPr>
      <w:r>
        <w:rPr>
          <w:rFonts w:ascii="Arial" w:cs="Arial" w:eastAsia="Arial" w:hAnsi="Arial"/>
          <w:b/>
          <w:bCs/>
          <w:color w:val="D97757"/>
          <w:sz w:val="18"/>
          <w:szCs w:val="18"/>
        </w:rPr>
        <w:t xml:space="preserve">Part 1 skeptic, round 1. Naming the exact operands to test is what produced specific verdicts.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none" w:color="FFFFFF" w:sz="0"/>
              <w:left w:val="none" w:color="FFFFFF" w:sz="0"/>
              <w:bottom w:val="none" w:color="FFFFFF" w:sz="0"/>
              <w:right w:val="none" w:color="FFFFFF" w:sz="0"/>
            </w:tcBorders>
            <w:shd w:fill="F0EEE6" w:color="auto" w:val="clear"/>
            <w:tcMar>
              <w:top w:type="dxa" w:w="120"/>
              <w:left w:type="dxa" w:w="160"/>
              <w:bottom w:type="dxa" w:w="120"/>
              <w:right w:type="dxa" w:w="160"/>
            </w:tcMar>
          </w:tcPr>
          <w:p>
            <w:pPr>
              <w:spacing w:after="0" w:line="228"/>
            </w:pPr>
            <w:r>
              <w:rPr>
                <w:rFonts w:ascii="Courier New" w:cs="Courier New" w:eastAsia="Courier New" w:hAnsi="Courier New"/>
                <w:color w:val="141413"/>
                <w:sz w:val="14"/>
                <w:szCs w:val="14"/>
              </w:rPr>
              <w:t xml:space="preserve">TASK: Round 1 skeptic, lens MATERIALITY AND MATH, ticker AMGN. Read docs/part1/SKEPTIC_BRIEF.md in full and follow it. Input: out/part1/_blind/AMGN/candidates.jsonl (and reader_summary.md). Assume every candidate is wrong until the cited page proves otherwise; open each cited page with get_page yourself. Check especially: the TAVNEOS intangible figure and the "5.6 times sales" and EPS math (is it a gross or net-of-tax number, what share count), the IRS Puerto Rico exposure vs accrual numbers and periods, whether the receivables conclusion (no finding) is right, whether net-price percentages come from a cited page or a raw table, and whether "52% of growth in Other products" is arithmetic on cited lines. Write out/part1/_blind/AMGN/skeptic_materiality_r1.json in the brief's shape. Report the count of refuted vs held and the single biggest math problem you found.</w:t>
            </w:r>
          </w:p>
        </w:tc>
      </w:tr>
    </w:tbl>
    <w:p>
      <w:pPr>
        <w:spacing w:after="160"/>
      </w:pPr>
    </w:p>
    <w:p>
      <w:pPr>
        <w:keepNext/>
        <w:spacing w:after="60" w:before="200"/>
      </w:pPr>
      <w:r>
        <w:rPr>
          <w:rFonts w:ascii="Arial" w:cs="Arial" w:eastAsia="Arial" w:hAnsi="Arial"/>
          <w:b/>
          <w:bCs/>
          <w:color w:val="D97757"/>
          <w:sz w:val="18"/>
          <w:szCs w:val="18"/>
        </w:rPr>
        <w:t xml:space="preserve">Part 1 skeptic, round 2. The same agent is resumed so it keeps its notes, and it checks the other lens against the cited pages.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none" w:color="FFFFFF" w:sz="0"/>
              <w:left w:val="none" w:color="FFFFFF" w:sz="0"/>
              <w:bottom w:val="none" w:color="FFFFFF" w:sz="0"/>
              <w:right w:val="none" w:color="FFFFFF" w:sz="0"/>
            </w:tcBorders>
            <w:shd w:fill="F0EEE6" w:color="auto" w:val="clear"/>
            <w:tcMar>
              <w:top w:type="dxa" w:w="120"/>
              <w:left w:type="dxa" w:w="160"/>
              <w:bottom w:type="dxa" w:w="120"/>
              <w:right w:type="dxa" w:w="160"/>
            </w:tcMar>
          </w:tcPr>
          <w:p>
            <w:pPr>
              <w:spacing w:after="0" w:line="228"/>
            </w:pPr>
            <w:r>
              <w:rPr>
                <w:rFonts w:ascii="Courier New" w:cs="Courier New" w:eastAsia="Courier New" w:hAnsi="Courier New"/>
                <w:color w:val="141413"/>
                <w:sz w:val="14"/>
                <w:szCs w:val="14"/>
              </w:rPr>
              <w:t xml:space="preserve">Round 2, same lens (MATERIALITY AND MATH), ticker AMGN. The other skeptic, on the OBVIOUSNESS lens, has written out/part1/_blind/AMGN/skeptic_obviousness_r1.json. Read their argument AGAINST THE SOURCES (open the pages they cite with get_page). Concede what they got right, hold what you still believe with a reason, and narrow your claim if it was too broad. Do not restate round 1. In particular: they held c03 (TEPEZZA: the Q1 2026 10-Q says 22 of 29 growth points were channel inventory while the call credited demand) as least obvious, which you refuted as too small and contradicted by Q2; settle whether a channel-inventory-vs-demand discrepancy on a roughly $2B product is material. They held c06 narrowed (TAVNEOS carrying value about 5x sales, GAAP-only, FDA withdrawal request reported on the 2026Q2 call but not in the 10-Q note), c02 narrowed to the filings-only 54% deduction rate and 30% accrual build with new "timing of payments" wording, and c08 narrowed to the unflagged $130M Q2 2026 true-ups; they killed c05 (the accrual gap was answered in 2024Q2 and 2026Q1 Q&amp;A) and c10 (the $2.5B U.S. capex undercuts "no pledge"). Size the narrowed c02, c06 and c08 versions on your math. Write out/part1/_blind/AMGN/skeptic_materiality_r2.json in the SKEPTIC_BRIEF round-2 shape (each verdict carries round2: {conceded, held, narrowed}). Report what changed between your rounds.</w:t>
            </w:r>
          </w:p>
        </w:tc>
      </w:tr>
    </w:tbl>
    <w:p>
      <w:pPr>
        <w:spacing w:after="160"/>
      </w:pPr>
    </w:p>
    <w:p>
      <w:pPr>
        <w:keepNext/>
        <w:spacing w:after="60" w:before="200"/>
      </w:pPr>
      <w:r>
        <w:rPr>
          <w:rFonts w:ascii="Arial" w:cs="Arial" w:eastAsia="Arial" w:hAnsi="Arial"/>
          <w:b/>
          <w:bCs/>
          <w:color w:val="D97757"/>
          <w:sz w:val="18"/>
          <w:szCs w:val="18"/>
        </w:rPr>
        <w:t xml:space="preserve">Part 1 independent verifier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none" w:color="FFFFFF" w:sz="0"/>
              <w:left w:val="none" w:color="FFFFFF" w:sz="0"/>
              <w:bottom w:val="none" w:color="FFFFFF" w:sz="0"/>
              <w:right w:val="none" w:color="FFFFFF" w:sz="0"/>
            </w:tcBorders>
            <w:shd w:fill="F0EEE6" w:color="auto" w:val="clear"/>
            <w:tcMar>
              <w:top w:type="dxa" w:w="120"/>
              <w:left w:type="dxa" w:w="160"/>
              <w:bottom w:type="dxa" w:w="120"/>
              <w:right w:type="dxa" w:w="160"/>
            </w:tcMar>
          </w:tcPr>
          <w:p>
            <w:pPr>
              <w:spacing w:after="0" w:line="228"/>
            </w:pPr>
            <w:r>
              <w:rPr>
                <w:rFonts w:ascii="Courier New" w:cs="Courier New" w:eastAsia="Courier New" w:hAnsi="Courier New"/>
                <w:color w:val="141413"/>
                <w:sz w:val="14"/>
                <w:szCs w:val="14"/>
              </w:rPr>
              <w:t xml:space="preserve">TASK: Independent verifier for the three Part 1 deliverables. Assume every number is WRONG until the cited page proves it. Do not read the writers' reports or scripts; read only the output files and the sources. Files: out/part1/{AMGN,MRK,PFE}/part1.json. Sources: the citation index via agent/moat/cite.py (get_page(doc_id, page) and verify_quote). For each company: (1) for every finding row, open every cite in cites and confirm the quote is on the page (verify_quote) and that each number in finding, impact.text and impact.math is either inside a quoted span, equal to a cite's own value, labelled [derived] with operands that are themselves cited and whose arithmetic you reproduce, or labelled [assumption]; (2) for the Sharpest Needle "why" and the product_table financial_tie, growth_limiter and priced_in texts, do the same; (3) sample 6 product cells per company (at least one per row key) and check the quoted label or table text is on the page; (4) check that no sentence states as fact a number the blind skeptics refuted (read out/part1/_blind/&lt;T&gt;/synthesis.json rulings for the ids used); (5) check currency labels and that no Bloomberg-licensed page is quoted. Write out/part1/verify_report.md with a table per company (row or cell, what you checked, pass or fail, the exact defect) and a summary line with counts. Do not edit the part1 files. Report the fail count per company and the single worst defect.</w:t>
            </w:r>
          </w:p>
        </w:tc>
      </w:tr>
    </w:tbl>
    <w:p>
      <w:pPr>
        <w:spacing w:after="160"/>
      </w:pPr>
    </w:p>
    <w:p>
      <w:pPr>
        <w:keepNext/>
        <w:spacing w:after="60" w:before="200"/>
      </w:pPr>
      <w:r>
        <w:rPr>
          <w:rFonts w:ascii="Arial" w:cs="Arial" w:eastAsia="Arial" w:hAnsi="Arial"/>
          <w:b/>
          <w:bCs/>
          <w:color w:val="D97757"/>
          <w:sz w:val="18"/>
          <w:szCs w:val="18"/>
        </w:rPr>
        <w:t xml:space="preserve">Part 2 strategist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none" w:color="FFFFFF" w:sz="0"/>
              <w:left w:val="none" w:color="FFFFFF" w:sz="0"/>
              <w:bottom w:val="none" w:color="FFFFFF" w:sz="0"/>
              <w:right w:val="none" w:color="FFFFFF" w:sz="0"/>
            </w:tcBorders>
            <w:shd w:fill="F0EEE6" w:color="auto" w:val="clear"/>
            <w:tcMar>
              <w:top w:type="dxa" w:w="120"/>
              <w:left w:type="dxa" w:w="160"/>
              <w:bottom w:type="dxa" w:w="120"/>
              <w:right w:type="dxa" w:w="160"/>
            </w:tcMar>
          </w:tcPr>
          <w:p>
            <w:pPr>
              <w:spacing w:after="0" w:line="228"/>
            </w:pPr>
            <w:r>
              <w:rPr>
                <w:rFonts w:ascii="Courier New" w:cs="Courier New" w:eastAsia="Courier New" w:hAnsi="Courier New"/>
                <w:color w:val="141413"/>
                <w:sz w:val="14"/>
                <w:szCs w:val="14"/>
              </w:rPr>
              <w:t xml:space="preserve">TASK: You are the Part 2 STRATEGIST for ticker AMGN (Amgen). First read, in full, docs/part2/STRATEGIST_BRIEF.md and follow every rule in it: the READ ONLY list, the DO NOT READ list, the index interpreter and usage, the citation rules, the Python-only writing rule and the grep check. Then read the case PDF's Part 2 section and the rubric, then out/part1/AMGN/part1.json and part1.md. Propose at least four candidate moves of at least two types, each costed with cited math, written to out/part2/_work/AMGN/candidates.jsonl in the brief's exact contract, plus strategist_summary.md and data_requests.md. The skeptics default to kill, so every number must trace to a cited page or carry [assumption]; a move management has already announced is obvious and must be marked so in already_announced_check. Work to disk as you go. Finish within about 40 minutes of work; depth on four well-evidenced moves beats six thin ones. Report the candidate ids, types, cost and return amounts, and the data gaps.</w:t>
            </w:r>
          </w:p>
        </w:tc>
      </w:tr>
    </w:tbl>
    <w:p>
      <w:pPr>
        <w:spacing w:after="160"/>
      </w:pPr>
    </w:p>
    <w:p>
      <w:pPr>
        <w:keepNext/>
        <w:spacing w:after="60" w:before="200"/>
      </w:pPr>
      <w:r>
        <w:rPr>
          <w:rFonts w:ascii="Arial" w:cs="Arial" w:eastAsia="Arial" w:hAnsi="Arial"/>
          <w:b/>
          <w:bCs/>
          <w:color w:val="D97757"/>
          <w:sz w:val="18"/>
          <w:szCs w:val="18"/>
        </w:rPr>
        <w:t xml:space="preserve">From the Part 2 synthesizer prompt. The orchestrator's summary is a pointer, not evidence.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none" w:color="FFFFFF" w:sz="0"/>
              <w:left w:val="none" w:color="FFFFFF" w:sz="0"/>
              <w:bottom w:val="none" w:color="FFFFFF" w:sz="0"/>
              <w:right w:val="none" w:color="FFFFFF" w:sz="0"/>
            </w:tcBorders>
            <w:shd w:fill="F0EEE6" w:color="auto" w:val="clear"/>
            <w:tcMar>
              <w:top w:type="dxa" w:w="120"/>
              <w:left w:type="dxa" w:w="160"/>
              <w:bottom w:type="dxa" w:w="120"/>
              <w:right w:type="dxa" w:w="160"/>
            </w:tcMar>
          </w:tcPr>
          <w:p>
            <w:pPr>
              <w:spacing w:after="0" w:line="228"/>
            </w:pPr>
            <w:r>
              <w:rPr>
                <w:rFonts w:ascii="Courier New" w:cs="Courier New" w:eastAsia="Courier New" w:hAnsi="Courier New"/>
                <w:color w:val="141413"/>
                <w:sz w:val="14"/>
                <w:szCs w:val="14"/>
              </w:rPr>
              <w:t xml:space="preserve">What the skeptics concluded (verify against their files, do not trust this summary): all four AMGN candidates refuted as written; after round 2 both lenses name the same narrowed survivor: m01 in gated form, a $10M to $15M [assumption] hearing-record offer to the FDA ... Unresolved: whether the FDA's postmarketing-requirement path has real probability given the untrue-statements ground; whether m02's lift is unsourced or uncreditable; gross vs net rebate basis; UCB's walk-away price. Record them in unresolved[] as the two positions, never averaged.</w:t>
            </w:r>
          </w:p>
        </w:tc>
      </w:tr>
    </w:tbl>
    <w:p>
      <w:pPr>
        <w:spacing w:after="160"/>
      </w:pPr>
    </w:p>
    <w:p>
      <w:pPr>
        <w:keepNext/>
        <w:spacing w:after="60" w:before="200"/>
      </w:pPr>
      <w:r>
        <w:rPr>
          <w:rFonts w:ascii="Arial" w:cs="Arial" w:eastAsia="Arial" w:hAnsi="Arial"/>
          <w:b/>
          <w:bCs/>
          <w:color w:val="D97757"/>
          <w:sz w:val="18"/>
          <w:szCs w:val="18"/>
        </w:rPr>
        <w:t xml:space="preserve">The citation system rule, appended to every cited model call. The last sentence is true: the gate deletes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none" w:color="FFFFFF" w:sz="0"/>
              <w:left w:val="none" w:color="FFFFFF" w:sz="0"/>
              <w:bottom w:val="none" w:color="FFFFFF" w:sz="0"/>
              <w:right w:val="none" w:color="FFFFFF" w:sz="0"/>
            </w:tcBorders>
            <w:shd w:fill="F0EEE6" w:color="auto" w:val="clear"/>
            <w:tcMar>
              <w:top w:type="dxa" w:w="120"/>
              <w:left w:type="dxa" w:w="160"/>
              <w:bottom w:type="dxa" w:w="120"/>
              <w:right w:type="dxa" w:w="160"/>
            </w:tcMar>
          </w:tcPr>
          <w:p>
            <w:pPr>
              <w:spacing w:after="0" w:line="228"/>
            </w:pPr>
            <w:r>
              <w:rPr>
                <w:rFonts w:ascii="Courier New" w:cs="Courier New" w:eastAsia="Courier New" w:hAnsi="Courier New"/>
                <w:color w:val="141413"/>
                <w:sz w:val="14"/>
                <w:szCs w:val="14"/>
              </w:rPr>
              <w:t xml:space="preserve">Every number and every quotation in your answer must carry a citation to one of the provided source blocks. Quote figures exactly as they appear in the source (same digits, same units). Write one claim per sentence and cite each sentence that contains a number or a factual assertion. If the sources do not contain the fact, write "not found in the provided sources" instead of guessing. Never compute or round a figure that is not printed on a source page unless you show the calculation with each operand cited. Never invent, infer, or state page numbers or document names yourself; page references come only from the citations. Any sentence containing a number or quote that has no citation will be deleted before the reader sees it.</w:t>
            </w:r>
          </w:p>
        </w:tc>
      </w:tr>
    </w:tbl>
    <w:p>
      <w:pPr>
        <w:spacing w:after="160"/>
      </w:pPr>
    </w:p>
    <w:p>
      <w:pPr>
        <w:spacing w:after="160" w:line="300"/>
      </w:pPr>
      <w:r>
        <w:rPr>
          <w:rFonts w:ascii="Arial" w:cs="Arial" w:eastAsia="Arial" w:hAnsi="Arial"/>
          <w:color w:val="141413"/>
          <w:sz w:val="21"/>
          <w:szCs w:val="21"/>
        </w:rPr>
        <w:t xml:space="preserve">We used one more sentence earlier in the weekend, when we set two reviewer agents on our own model code: 'Assume the claim is WRONG until the code proves otherwise.' Applied to the first backtest, it killed a result we had been pleased with (Section 5, case 1).</w:t>
      </w:r>
    </w:p>
    <w:p>
      <w:pPr>
        <w:spacing w:after="160" w:line="300"/>
      </w:pPr>
      <w:r>
        <w:rPr>
          <w:rFonts w:ascii="Arial" w:cs="Arial" w:eastAsia="Arial" w:hAnsi="Arial"/>
          <w:color w:val="141413"/>
          <w:sz w:val="21"/>
          <w:szCs w:val="21"/>
        </w:rPr>
        <w:t xml:space="preserve">Both pipelines are now packaged as Claude Code skills, fine-print-part1 and fine-print-part2, with every brief copied byte for byte and the launch and resume messages recorded per role, so the run can be repeated on any company in the index.</w:t>
      </w:r>
    </w:p>
    <w:p>
      <w:pPr>
        <w:pStyle w:val="Heading1"/>
        <w:spacing w:after="200" w:before="520"/>
      </w:pPr>
      <w:r>
        <w:rPr>
          <w:rFonts w:ascii="Georgia" w:cs="Georgia" w:eastAsia="Georgia" w:hAnsi="Georgia"/>
          <w:color w:val="141413"/>
          <w:sz w:val="38"/>
          <w:szCs w:val="38"/>
        </w:rPr>
        <w:t xml:space="preserve">5. Where the AI was confidently wrong</w:t>
      </w:r>
    </w:p>
    <w:p>
      <w:pPr>
        <w:spacing w:after="160" w:line="300"/>
      </w:pPr>
      <w:r>
        <w:rPr>
          <w:rFonts w:ascii="Arial" w:cs="Arial" w:eastAsia="Arial" w:hAnsi="Arial"/>
          <w:color w:val="141413"/>
          <w:sz w:val="21"/>
          <w:szCs w:val="21"/>
        </w:rPr>
        <w:t xml:space="preserve">We kept a log. The collectors recorded 516 cases where a model wrote something the source did not say, each with what it wrote, what the page says and how it was caught. The model, findings and deck work added 27 more. The table picks the cases that changed how we built, grouped by what caught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592"/>
        <w:gridCol w:w="2592"/>
        <w:gridCol w:w="1872"/>
        <w:gridCol w:w="2592"/>
      </w:tblGrid>
      <w:tr>
        <w:trPr>
          <w:tblHeader/>
        </w:trPr>
        <w:tc>
          <w:tcPr>
            <w:tcW w:type="dxa" w:w="2592"/>
            <w:tcBorders>
              <w:top w:val="single" w:color="D9D6CE" w:sz="4"/>
              <w:left w:val="none" w:color="FFFFFF" w:sz="0"/>
              <w:bottom w:val="single" w:color="D9D6CE" w:sz="4"/>
              <w:right w:val="none" w:color="FFFFFF" w:sz="0"/>
            </w:tcBorders>
            <w:shd w:fill="F0EEE6" w:color="auto" w:val="clear"/>
            <w:tcMar>
              <w:top w:type="dxa" w:w="70"/>
              <w:left w:type="dxa" w:w="90"/>
              <w:bottom w:type="dxa" w:w="70"/>
              <w:right w:type="dxa" w:w="90"/>
            </w:tcMar>
            <w:vAlign w:val="top"/>
          </w:tcPr>
          <w:p>
            <w:pPr>
              <w:spacing w:after="0" w:line="220"/>
            </w:pPr>
            <w:r>
              <w:rPr>
                <w:rFonts w:ascii="Arial" w:cs="Arial" w:eastAsia="Arial" w:hAnsi="Arial"/>
                <w:b/>
                <w:bCs/>
                <w:color w:val="141413"/>
                <w:sz w:val="16"/>
                <w:szCs w:val="16"/>
              </w:rPr>
              <w:t xml:space="preserve">What the AI claimed</w:t>
            </w:r>
          </w:p>
        </w:tc>
        <w:tc>
          <w:tcPr>
            <w:tcW w:type="dxa" w:w="2592"/>
            <w:tcBorders>
              <w:top w:val="single" w:color="D9D6CE" w:sz="4"/>
              <w:left w:val="none" w:color="FFFFFF" w:sz="0"/>
              <w:bottom w:val="single" w:color="D9D6CE" w:sz="4"/>
              <w:right w:val="none" w:color="FFFFFF" w:sz="0"/>
            </w:tcBorders>
            <w:shd w:fill="F0EEE6" w:color="auto" w:val="clear"/>
            <w:tcMar>
              <w:top w:type="dxa" w:w="70"/>
              <w:left w:type="dxa" w:w="90"/>
              <w:bottom w:type="dxa" w:w="70"/>
              <w:right w:type="dxa" w:w="90"/>
            </w:tcMar>
            <w:vAlign w:val="top"/>
          </w:tcPr>
          <w:p>
            <w:pPr>
              <w:spacing w:after="0" w:line="220"/>
            </w:pPr>
            <w:r>
              <w:rPr>
                <w:rFonts w:ascii="Arial" w:cs="Arial" w:eastAsia="Arial" w:hAnsi="Arial"/>
                <w:b/>
                <w:bCs/>
                <w:color w:val="141413"/>
                <w:sz w:val="16"/>
                <w:szCs w:val="16"/>
              </w:rPr>
              <w:t xml:space="preserve">What was true</w:t>
            </w:r>
          </w:p>
        </w:tc>
        <w:tc>
          <w:tcPr>
            <w:tcW w:type="dxa" w:w="1872"/>
            <w:tcBorders>
              <w:top w:val="single" w:color="D9D6CE" w:sz="4"/>
              <w:left w:val="none" w:color="FFFFFF" w:sz="0"/>
              <w:bottom w:val="single" w:color="D9D6CE" w:sz="4"/>
              <w:right w:val="none" w:color="FFFFFF" w:sz="0"/>
            </w:tcBorders>
            <w:shd w:fill="F0EEE6" w:color="auto" w:val="clear"/>
            <w:tcMar>
              <w:top w:type="dxa" w:w="70"/>
              <w:left w:type="dxa" w:w="90"/>
              <w:bottom w:type="dxa" w:w="70"/>
              <w:right w:type="dxa" w:w="90"/>
            </w:tcMar>
            <w:vAlign w:val="top"/>
          </w:tcPr>
          <w:p>
            <w:pPr>
              <w:spacing w:after="0" w:line="220"/>
            </w:pPr>
            <w:r>
              <w:rPr>
                <w:rFonts w:ascii="Arial" w:cs="Arial" w:eastAsia="Arial" w:hAnsi="Arial"/>
                <w:b/>
                <w:bCs/>
                <w:color w:val="141413"/>
                <w:sz w:val="16"/>
                <w:szCs w:val="16"/>
              </w:rPr>
              <w:t xml:space="preserve">Caught by</w:t>
            </w:r>
          </w:p>
        </w:tc>
        <w:tc>
          <w:tcPr>
            <w:tcW w:type="dxa" w:w="2592"/>
            <w:tcBorders>
              <w:top w:val="single" w:color="D9D6CE" w:sz="4"/>
              <w:left w:val="none" w:color="FFFFFF" w:sz="0"/>
              <w:bottom w:val="single" w:color="D9D6CE" w:sz="4"/>
              <w:right w:val="none" w:color="FFFFFF" w:sz="0"/>
            </w:tcBorders>
            <w:shd w:fill="F0EEE6" w:color="auto" w:val="clear"/>
            <w:tcMar>
              <w:top w:type="dxa" w:w="70"/>
              <w:left w:type="dxa" w:w="90"/>
              <w:bottom w:type="dxa" w:w="70"/>
              <w:right w:type="dxa" w:w="90"/>
            </w:tcMar>
            <w:vAlign w:val="top"/>
          </w:tcPr>
          <w:p>
            <w:pPr>
              <w:spacing w:after="0" w:line="220"/>
            </w:pPr>
            <w:r>
              <w:rPr>
                <w:rFonts w:ascii="Arial" w:cs="Arial" w:eastAsia="Arial" w:hAnsi="Arial"/>
                <w:b/>
                <w:bCs/>
                <w:color w:val="141413"/>
                <w:sz w:val="16"/>
                <w:szCs w:val="16"/>
              </w:rPr>
              <w:t xml:space="preserve">What changed</w:t>
            </w:r>
          </w:p>
        </w:tc>
      </w:tr>
      <w:tr>
        <w:trPr>
          <w:cantSplit/>
        </w:trPr>
        <w:tc>
          <w:tcPr>
            <w:tcW w:type="dxa" w:w="259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20"/>
            </w:pPr>
            <w:r>
              <w:rPr>
                <w:rFonts w:ascii="Arial" w:cs="Arial" w:eastAsia="Arial" w:hAnsi="Arial"/>
                <w:b w:val="false"/>
                <w:bCs w:val="false"/>
                <w:color w:val="141413"/>
                <w:sz w:val="16"/>
                <w:szCs w:val="16"/>
              </w:rPr>
              <w:t xml:space="preserve">Lilly led the company ranking. Its gross margin implied about $68B of impact, 80 percent of its score.</w:t>
            </w:r>
          </w:p>
        </w:tc>
        <w:tc>
          <w:tcPr>
            <w:tcW w:type="dxa" w:w="259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20"/>
            </w:pPr>
            <w:r>
              <w:rPr>
                <w:rFonts w:ascii="Arial" w:cs="Arial" w:eastAsia="Arial" w:hAnsi="Arial"/>
                <w:b w:val="false"/>
                <w:bCs w:val="false"/>
                <w:color w:val="141413"/>
                <w:sz w:val="16"/>
                <w:szCs w:val="16"/>
              </w:rPr>
              <w:t xml:space="preserve">An 85.8 percent margin level had been scored as if it were a margin change. A high margin is a strength.</w:t>
            </w:r>
          </w:p>
        </w:tc>
        <w:tc>
          <w:tcPr>
            <w:tcW w:type="dxa" w:w="187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20"/>
            </w:pPr>
            <w:r>
              <w:rPr>
                <w:rFonts w:ascii="Arial" w:cs="Arial" w:eastAsia="Arial" w:hAnsi="Arial"/>
                <w:b w:val="false"/>
                <w:bCs w:val="false"/>
                <w:color w:val="141413"/>
                <w:sz w:val="16"/>
                <w:szCs w:val="16"/>
              </w:rPr>
              <w:t xml:space="preserve">A person tracing the score row by row because it looked too good.</w:t>
            </w:r>
          </w:p>
        </w:tc>
        <w:tc>
          <w:tcPr>
            <w:tcW w:type="dxa" w:w="259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20"/>
            </w:pPr>
            <w:r>
              <w:rPr>
                <w:rFonts w:ascii="Arial" w:cs="Arial" w:eastAsia="Arial" w:hAnsi="Arial"/>
                <w:b w:val="false"/>
                <w:bCs w:val="false"/>
                <w:color w:val="141413"/>
                <w:sz w:val="16"/>
                <w:szCs w:val="16"/>
              </w:rPr>
              <w:t xml:space="preserve">A favourable margin level scores zero. Lilly fell from first to eighth. The league was demoted to triage and never shown.</w:t>
            </w:r>
          </w:p>
        </w:tc>
      </w:tr>
      <w:tr>
        <w:trPr>
          <w:cantSplit/>
        </w:trPr>
        <w:tc>
          <w:tcPr>
            <w:tcW w:type="dxa" w:w="259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20"/>
            </w:pPr>
            <w:r>
              <w:rPr>
                <w:rFonts w:ascii="Arial" w:cs="Arial" w:eastAsia="Arial" w:hAnsi="Arial"/>
                <w:b w:val="false"/>
                <w:bCs w:val="false"/>
                <w:color w:val="141413"/>
                <w:sz w:val="16"/>
                <w:szCs w:val="16"/>
              </w:rPr>
              <w:t xml:space="preserve">Our first citation gate marked four z-scores and four product counts on the top findings as 'verified'.</w:t>
            </w:r>
          </w:p>
        </w:tc>
        <w:tc>
          <w:tcPr>
            <w:tcW w:type="dxa" w:w="259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20"/>
            </w:pPr>
            <w:r>
              <w:rPr>
                <w:rFonts w:ascii="Arial" w:cs="Arial" w:eastAsia="Arial" w:hAnsi="Arial"/>
                <w:b w:val="false"/>
                <w:bCs w:val="false"/>
                <w:color w:val="141413"/>
                <w:sz w:val="16"/>
                <w:szCs w:val="16"/>
              </w:rPr>
              <w:t xml:space="preserve">The gate accepted any numeral on the cited page: an EPS of 1.18, an I/B/E/S value of -0.13, a page footer reading '- 3 -'.</w:t>
            </w:r>
          </w:p>
        </w:tc>
        <w:tc>
          <w:tcPr>
            <w:tcW w:type="dxa" w:w="187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20"/>
            </w:pPr>
            <w:r>
              <w:rPr>
                <w:rFonts w:ascii="Arial" w:cs="Arial" w:eastAsia="Arial" w:hAnsi="Arial"/>
                <w:b w:val="false"/>
                <w:bCs w:val="false"/>
                <w:color w:val="141413"/>
                <w:sz w:val="16"/>
                <w:szCs w:val="16"/>
              </w:rPr>
              <w:t xml:space="preserve">An independent re-check of the gate's own output.</w:t>
            </w:r>
          </w:p>
        </w:tc>
        <w:tc>
          <w:tcPr>
            <w:tcW w:type="dxa" w:w="259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20"/>
            </w:pPr>
            <w:r>
              <w:rPr>
                <w:rFonts w:ascii="Arial" w:cs="Arial" w:eastAsia="Arial" w:hAnsi="Arial"/>
                <w:b w:val="false"/>
                <w:bCs w:val="false"/>
                <w:color w:val="141413"/>
                <w:sz w:val="16"/>
                <w:szCs w:val="16"/>
              </w:rPr>
              <w:t xml:space="preserve">Verified now means inside the quoted span or equal to the citation's own value. The check was re-run from scratch.</w:t>
            </w:r>
          </w:p>
        </w:tc>
      </w:tr>
      <w:tr>
        <w:trPr>
          <w:cantSplit/>
        </w:trPr>
        <w:tc>
          <w:tcPr>
            <w:tcW w:type="dxa" w:w="259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20"/>
            </w:pPr>
            <w:r>
              <w:rPr>
                <w:rFonts w:ascii="Arial" w:cs="Arial" w:eastAsia="Arial" w:hAnsi="Arial"/>
                <w:b w:val="false"/>
                <w:bCs w:val="false"/>
                <w:color w:val="141413"/>
                <w:sz w:val="16"/>
                <w:szCs w:val="16"/>
              </w:rPr>
              <w:t xml:space="preserve">The ratio code's Amgen needle, receivables growing faster than revenue, read as a collections flag.</w:t>
            </w:r>
          </w:p>
        </w:tc>
        <w:tc>
          <w:tcPr>
            <w:tcW w:type="dxa" w:w="259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20"/>
            </w:pPr>
            <w:r>
              <w:rPr>
                <w:rFonts w:ascii="Arial" w:cs="Arial" w:eastAsia="Arial" w:hAnsi="Arial"/>
                <w:b w:val="false"/>
                <w:bCs w:val="false"/>
                <w:color w:val="141413"/>
                <w:sz w:val="16"/>
                <w:szCs w:val="16"/>
              </w:rPr>
              <w:t xml:space="preserve">Receivables track gross invoices to three wholesalers with a separate rebate liability. The real signal was deductions rising from 51 to 54 percent of gross sales.</w:t>
            </w:r>
          </w:p>
        </w:tc>
        <w:tc>
          <w:tcPr>
            <w:tcW w:type="dxa" w:w="187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20"/>
            </w:pPr>
            <w:r>
              <w:rPr>
                <w:rFonts w:ascii="Arial" w:cs="Arial" w:eastAsia="Arial" w:hAnsi="Arial"/>
                <w:b w:val="false"/>
                <w:bCs w:val="false"/>
                <w:color w:val="141413"/>
                <w:sz w:val="16"/>
                <w:szCs w:val="16"/>
              </w:rPr>
              <w:t xml:space="preserve">Parker reading the receivables footnote.</w:t>
            </w:r>
          </w:p>
        </w:tc>
        <w:tc>
          <w:tcPr>
            <w:tcW w:type="dxa" w:w="259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20"/>
            </w:pPr>
            <w:r>
              <w:rPr>
                <w:rFonts w:ascii="Arial" w:cs="Arial" w:eastAsia="Arial" w:hAnsi="Arial"/>
                <w:b w:val="false"/>
                <w:bCs w:val="false"/>
                <w:color w:val="141413"/>
                <w:sz w:val="16"/>
                <w:szCs w:val="16"/>
              </w:rPr>
              <w:t xml:space="preserve">A ratio is a flag for a human read, never a finding by itself. The AstraZeneca version of the same flag was factored receivables; impact zero.</w:t>
            </w:r>
          </w:p>
        </w:tc>
      </w:tr>
      <w:tr>
        <w:trPr>
          <w:cantSplit/>
        </w:trPr>
        <w:tc>
          <w:tcPr>
            <w:tcW w:type="dxa" w:w="259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20"/>
            </w:pPr>
            <w:r>
              <w:rPr>
                <w:rFonts w:ascii="Arial" w:cs="Arial" w:eastAsia="Arial" w:hAnsi="Arial"/>
                <w:b w:val="false"/>
                <w:bCs w:val="false"/>
                <w:color w:val="141413"/>
                <w:sz w:val="16"/>
                <w:szCs w:val="16"/>
              </w:rPr>
              <w:t xml:space="preserve">Label-table exclusivity dates: Trulicity 2026, Zepbound 2039, Ibrance 2037, Vyndamax 2035, Tremfya 2029.</w:t>
            </w:r>
          </w:p>
        </w:tc>
        <w:tc>
          <w:tcPr>
            <w:tcW w:type="dxa" w:w="259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20"/>
            </w:pPr>
            <w:r>
              <w:rPr>
                <w:rFonts w:ascii="Arial" w:cs="Arial" w:eastAsia="Arial" w:hAnsi="Arial"/>
                <w:b w:val="false"/>
                <w:bCs w:val="false"/>
                <w:color w:val="141413"/>
                <w:sz w:val="16"/>
                <w:szCs w:val="16"/>
              </w:rPr>
              <w:t xml:space="preserve">Later-listed use or formulation patents, or Purple Book reference exclusivity, not the compound date.</w:t>
            </w:r>
          </w:p>
        </w:tc>
        <w:tc>
          <w:tcPr>
            <w:tcW w:type="dxa" w:w="187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20"/>
            </w:pPr>
            <w:r>
              <w:rPr>
                <w:rFonts w:ascii="Arial" w:cs="Arial" w:eastAsia="Arial" w:hAnsi="Arial"/>
                <w:b w:val="false"/>
                <w:bCs w:val="false"/>
                <w:color w:val="141413"/>
                <w:sz w:val="16"/>
                <w:szCs w:val="16"/>
              </w:rPr>
              <w:t xml:space="preserve">A human read against each 10-K's patent table.</w:t>
            </w:r>
          </w:p>
        </w:tc>
        <w:tc>
          <w:tcPr>
            <w:tcW w:type="dxa" w:w="259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20"/>
            </w:pPr>
            <w:r>
              <w:rPr>
                <w:rFonts w:ascii="Arial" w:cs="Arial" w:eastAsia="Arial" w:hAnsi="Arial"/>
                <w:b w:val="false"/>
                <w:bCs w:val="false"/>
                <w:color w:val="141413"/>
                <w:sz w:val="16"/>
                <w:szCs w:val="16"/>
              </w:rPr>
              <w:t xml:space="preserve">Exclusivity rows read the company-stated date on the cited 10-K page and derive the gap from two dated operands.</w:t>
            </w:r>
          </w:p>
        </w:tc>
      </w:tr>
      <w:tr>
        <w:trPr>
          <w:cantSplit/>
        </w:trPr>
        <w:tc>
          <w:tcPr>
            <w:tcW w:type="dxa" w:w="259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20"/>
            </w:pPr>
            <w:r>
              <w:rPr>
                <w:rFonts w:ascii="Arial" w:cs="Arial" w:eastAsia="Arial" w:hAnsi="Arial"/>
                <w:b w:val="false"/>
                <w:bCs w:val="false"/>
                <w:color w:val="141413"/>
                <w:sz w:val="16"/>
                <w:szCs w:val="16"/>
              </w:rPr>
              <w:t xml:space="preserve">The speaker check passed a named Truist analyst as the asker of a question.</w:t>
            </w:r>
          </w:p>
        </w:tc>
        <w:tc>
          <w:tcPr>
            <w:tcW w:type="dxa" w:w="259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20"/>
            </w:pPr>
            <w:r>
              <w:rPr>
                <w:rFonts w:ascii="Arial" w:cs="Arial" w:eastAsia="Arial" w:hAnsi="Arial"/>
                <w:b w:val="false"/>
                <w:bCs w:val="false"/>
                <w:color w:val="141413"/>
                <w:sz w:val="16"/>
                <w:szCs w:val="16"/>
              </w:rPr>
              <w:t xml:space="preserve">The surname sat in the operator's introduction. A colleague 'on for' him asked the question.</w:t>
            </w:r>
          </w:p>
        </w:tc>
        <w:tc>
          <w:tcPr>
            <w:tcW w:type="dxa" w:w="187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20"/>
            </w:pPr>
            <w:r>
              <w:rPr>
                <w:rFonts w:ascii="Arial" w:cs="Arial" w:eastAsia="Arial" w:hAnsi="Arial"/>
                <w:b w:val="false"/>
                <w:bCs w:val="false"/>
                <w:color w:val="141413"/>
                <w:sz w:val="16"/>
                <w:szCs w:val="16"/>
              </w:rPr>
              <w:t xml:space="preserve">A person reading the verifier's output.</w:t>
            </w:r>
          </w:p>
        </w:tc>
        <w:tc>
          <w:tcPr>
            <w:tcW w:type="dxa" w:w="259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20"/>
            </w:pPr>
            <w:r>
              <w:rPr>
                <w:rFonts w:ascii="Arial" w:cs="Arial" w:eastAsia="Arial" w:hAnsi="Arial"/>
                <w:b w:val="false"/>
                <w:bCs w:val="false"/>
                <w:color w:val="141413"/>
                <w:sz w:val="16"/>
                <w:szCs w:val="16"/>
              </w:rPr>
              <w:t xml:space="preserve">The name must be on the speaker label, not within a text window.</w:t>
            </w:r>
          </w:p>
        </w:tc>
      </w:tr>
      <w:tr>
        <w:trPr>
          <w:cantSplit/>
        </w:trPr>
        <w:tc>
          <w:tcPr>
            <w:tcW w:type="dxa" w:w="259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20"/>
            </w:pPr>
            <w:r>
              <w:rPr>
                <w:rFonts w:ascii="Arial" w:cs="Arial" w:eastAsia="Arial" w:hAnsi="Arial"/>
                <w:b w:val="false"/>
                <w:bCs w:val="false"/>
                <w:color w:val="141413"/>
                <w:sz w:val="16"/>
                <w:szCs w:val="16"/>
              </w:rPr>
              <w:t xml:space="preserve">Quotes from fool.com transcripts.</w:t>
            </w:r>
          </w:p>
        </w:tc>
        <w:tc>
          <w:tcPr>
            <w:tcW w:type="dxa" w:w="259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20"/>
            </w:pPr>
            <w:r>
              <w:rPr>
                <w:rFonts w:ascii="Arial" w:cs="Arial" w:eastAsia="Arial" w:hAnsi="Arial"/>
                <w:b w:val="false"/>
                <w:bCs w:val="false"/>
                <w:color w:val="141413"/>
                <w:sz w:val="16"/>
                <w:szCs w:val="16"/>
              </w:rPr>
              <w:t xml:space="preserve">Those files open with model-written 'takeaways' that read like call text.</w:t>
            </w:r>
          </w:p>
        </w:tc>
        <w:tc>
          <w:tcPr>
            <w:tcW w:type="dxa" w:w="187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20"/>
            </w:pPr>
            <w:r>
              <w:rPr>
                <w:rFonts w:ascii="Arial" w:cs="Arial" w:eastAsia="Arial" w:hAnsi="Arial"/>
                <w:b w:val="false"/>
                <w:bCs w:val="false"/>
                <w:color w:val="141413"/>
                <w:sz w:val="16"/>
                <w:szCs w:val="16"/>
              </w:rPr>
              <w:t xml:space="preserve">The verifier, then a human read.</w:t>
            </w:r>
          </w:p>
        </w:tc>
        <w:tc>
          <w:tcPr>
            <w:tcW w:type="dxa" w:w="259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20"/>
            </w:pPr>
            <w:r>
              <w:rPr>
                <w:rFonts w:ascii="Arial" w:cs="Arial" w:eastAsia="Arial" w:hAnsi="Arial"/>
                <w:b w:val="false"/>
                <w:bCs w:val="false"/>
                <w:color w:val="141413"/>
                <w:sz w:val="16"/>
                <w:szCs w:val="16"/>
              </w:rPr>
              <w:t xml:space="preserve">The summaries are flagged in the corpus and the verifier rejects quotes from them.</w:t>
            </w:r>
          </w:p>
        </w:tc>
      </w:tr>
      <w:tr>
        <w:trPr>
          <w:cantSplit/>
        </w:trPr>
        <w:tc>
          <w:tcPr>
            <w:tcW w:type="dxa" w:w="259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20"/>
            </w:pPr>
            <w:r>
              <w:rPr>
                <w:rFonts w:ascii="Arial" w:cs="Arial" w:eastAsia="Arial" w:hAnsi="Arial"/>
                <w:b w:val="false"/>
                <w:bCs w:val="false"/>
                <w:color w:val="141413"/>
                <w:sz w:val="16"/>
                <w:szCs w:val="16"/>
              </w:rPr>
              <w:t xml:space="preserve">Finding ids were stable across runs.</w:t>
            </w:r>
          </w:p>
        </w:tc>
        <w:tc>
          <w:tcPr>
            <w:tcW w:type="dxa" w:w="259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20"/>
            </w:pPr>
            <w:r>
              <w:rPr>
                <w:rFonts w:ascii="Arial" w:cs="Arial" w:eastAsia="Arial" w:hAnsi="Arial"/>
                <w:b w:val="false"/>
                <w:bCs w:val="false"/>
                <w:color w:val="141413"/>
                <w:sz w:val="16"/>
                <w:szCs w:val="16"/>
              </w:rPr>
              <w:t xml:space="preserve">Ids used Python's hash(), which is salted per process. Joins across the league, the app and DECIDE broke silently.</w:t>
            </w:r>
          </w:p>
        </w:tc>
        <w:tc>
          <w:tcPr>
            <w:tcW w:type="dxa" w:w="187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20"/>
            </w:pPr>
            <w:r>
              <w:rPr>
                <w:rFonts w:ascii="Arial" w:cs="Arial" w:eastAsia="Arial" w:hAnsi="Arial"/>
                <w:b w:val="false"/>
                <w:bCs w:val="false"/>
                <w:color w:val="141413"/>
                <w:sz w:val="16"/>
                <w:szCs w:val="16"/>
              </w:rPr>
              <w:t xml:space="preserve">A test that ran two processes.</w:t>
            </w:r>
          </w:p>
        </w:tc>
        <w:tc>
          <w:tcPr>
            <w:tcW w:type="dxa" w:w="259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20"/>
            </w:pPr>
            <w:r>
              <w:rPr>
                <w:rFonts w:ascii="Arial" w:cs="Arial" w:eastAsia="Arial" w:hAnsi="Arial"/>
                <w:b w:val="false"/>
                <w:bCs w:val="false"/>
                <w:color w:val="141413"/>
                <w:sz w:val="16"/>
                <w:szCs w:val="16"/>
              </w:rPr>
              <w:t xml:space="preserve">sha256 ids.</w:t>
            </w:r>
          </w:p>
        </w:tc>
      </w:tr>
      <w:tr>
        <w:trPr>
          <w:cantSplit/>
        </w:trPr>
        <w:tc>
          <w:tcPr>
            <w:tcW w:type="dxa" w:w="259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20"/>
            </w:pPr>
            <w:r>
              <w:rPr>
                <w:rFonts w:ascii="Arial" w:cs="Arial" w:eastAsia="Arial" w:hAnsi="Arial"/>
                <w:b w:val="false"/>
                <w:bCs w:val="false"/>
                <w:color w:val="141413"/>
                <w:sz w:val="16"/>
                <w:szCs w:val="16"/>
              </w:rPr>
              <w:t xml:space="preserve">616 rows of restated product revenue across filings.</w:t>
            </w:r>
          </w:p>
        </w:tc>
        <w:tc>
          <w:tcPr>
            <w:tcW w:type="dxa" w:w="259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20"/>
            </w:pPr>
            <w:r>
              <w:rPr>
                <w:rFonts w:ascii="Arial" w:cs="Arial" w:eastAsia="Arial" w:hAnsi="Arial"/>
                <w:b w:val="false"/>
                <w:bCs w:val="false"/>
                <w:color w:val="141413"/>
                <w:sz w:val="16"/>
                <w:szCs w:val="16"/>
              </w:rPr>
              <w:t xml:space="preserve">Zero true restatements. 447 were recasts where a company moved products between lines, mostly footnoted.</w:t>
            </w:r>
          </w:p>
        </w:tc>
        <w:tc>
          <w:tcPr>
            <w:tcW w:type="dxa" w:w="187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20"/>
            </w:pPr>
            <w:r>
              <w:rPr>
                <w:rFonts w:ascii="Arial" w:cs="Arial" w:eastAsia="Arial" w:hAnsi="Arial"/>
                <w:b w:val="false"/>
                <w:bCs w:val="false"/>
                <w:color w:val="141413"/>
                <w:sz w:val="16"/>
                <w:szCs w:val="16"/>
              </w:rPr>
              <w:t xml:space="preserve">Member-set reconciliation of old and new filings plus reading the footnotes.</w:t>
            </w:r>
          </w:p>
        </w:tc>
        <w:tc>
          <w:tcPr>
            <w:tcW w:type="dxa" w:w="259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20"/>
            </w:pPr>
            <w:r>
              <w:rPr>
                <w:rFonts w:ascii="Arial" w:cs="Arial" w:eastAsia="Arial" w:hAnsi="Arial"/>
                <w:b w:val="false"/>
                <w:bCs w:val="false"/>
                <w:color w:val="141413"/>
                <w:sz w:val="16"/>
                <w:szCs w:val="16"/>
              </w:rPr>
              <w:t xml:space="preserve">Recasts are a separate category and never a finding.</w:t>
            </w:r>
          </w:p>
        </w:tc>
      </w:tr>
      <w:tr>
        <w:trPr>
          <w:cantSplit/>
        </w:trPr>
        <w:tc>
          <w:tcPr>
            <w:tcW w:type="dxa" w:w="259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20"/>
            </w:pPr>
            <w:r>
              <w:rPr>
                <w:rFonts w:ascii="Arial" w:cs="Arial" w:eastAsia="Arial" w:hAnsi="Arial"/>
                <w:b w:val="false"/>
                <w:bCs w:val="false"/>
                <w:color w:val="141413"/>
                <w:sz w:val="16"/>
                <w:szCs w:val="16"/>
              </w:rPr>
              <w:t xml:space="preserve">The Amgen Sharpest Needle rationale read 'the only surviving ruling both skeptics held through both rounds'.</w:t>
            </w:r>
          </w:p>
        </w:tc>
        <w:tc>
          <w:tcPr>
            <w:tcW w:type="dxa" w:w="259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20"/>
            </w:pPr>
            <w:r>
              <w:rPr>
                <w:rFonts w:ascii="Arial" w:cs="Arial" w:eastAsia="Arial" w:hAnsi="Arial"/>
                <w:b w:val="false"/>
                <w:bCs w:val="false"/>
                <w:color w:val="141413"/>
                <w:sz w:val="16"/>
                <w:szCs w:val="16"/>
              </w:rPr>
              <w:t xml:space="preserve">A second candidate had the same profile. The sentence overclaimed and the block had no marker map to trace its numbers.</w:t>
            </w:r>
          </w:p>
        </w:tc>
        <w:tc>
          <w:tcPr>
            <w:tcW w:type="dxa" w:w="187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20"/>
            </w:pPr>
            <w:r>
              <w:rPr>
                <w:rFonts w:ascii="Arial" w:cs="Arial" w:eastAsia="Arial" w:hAnsi="Arial"/>
                <w:b w:val="false"/>
                <w:bCs w:val="false"/>
                <w:color w:val="141413"/>
                <w:sz w:val="16"/>
                <w:szCs w:val="16"/>
              </w:rPr>
              <w:t xml:space="preserve">The independent verifier, as its single worst defect.</w:t>
            </w:r>
          </w:p>
        </w:tc>
        <w:tc>
          <w:tcPr>
            <w:tcW w:type="dxa" w:w="259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20"/>
            </w:pPr>
            <w:r>
              <w:rPr>
                <w:rFonts w:ascii="Arial" w:cs="Arial" w:eastAsia="Arial" w:hAnsi="Arial"/>
                <w:b w:val="false"/>
                <w:bCs w:val="false"/>
                <w:color w:val="141413"/>
                <w:sz w:val="16"/>
                <w:szCs w:val="16"/>
              </w:rPr>
              <w:t xml:space="preserve">The rationale was rewritten truthfully and given a marker map; the gate now checks for marker maps.</w:t>
            </w:r>
          </w:p>
        </w:tc>
      </w:tr>
      <w:tr>
        <w:trPr>
          <w:cantSplit/>
        </w:trPr>
        <w:tc>
          <w:tcPr>
            <w:tcW w:type="dxa" w:w="259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20"/>
            </w:pPr>
            <w:r>
              <w:rPr>
                <w:rFonts w:ascii="Arial" w:cs="Arial" w:eastAsia="Arial" w:hAnsi="Arial"/>
                <w:b w:val="false"/>
                <w:bCs w:val="false"/>
                <w:color w:val="141413"/>
                <w:sz w:val="16"/>
                <w:szCs w:val="16"/>
              </w:rPr>
              <w:t xml:space="preserve">The Amgen blind reader: TAVNEOS sales appear in no filing table.</w:t>
            </w:r>
          </w:p>
        </w:tc>
        <w:tc>
          <w:tcPr>
            <w:tcW w:type="dxa" w:w="259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20"/>
            </w:pPr>
            <w:r>
              <w:rPr>
                <w:rFonts w:ascii="Arial" w:cs="Arial" w:eastAsia="Arial" w:hAnsi="Arial"/>
                <w:b w:val="false"/>
                <w:bCs w:val="false"/>
                <w:color w:val="141413"/>
                <w:sz w:val="16"/>
                <w:szCs w:val="16"/>
              </w:rPr>
              <w:t xml:space="preserve">The 10-K itemises them on page 75.</w:t>
            </w:r>
          </w:p>
        </w:tc>
        <w:tc>
          <w:tcPr>
            <w:tcW w:type="dxa" w:w="187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20"/>
            </w:pPr>
            <w:r>
              <w:rPr>
                <w:rFonts w:ascii="Arial" w:cs="Arial" w:eastAsia="Arial" w:hAnsi="Arial"/>
                <w:b w:val="false"/>
                <w:bCs w:val="false"/>
                <w:color w:val="141413"/>
                <w:sz w:val="16"/>
                <w:szCs w:val="16"/>
              </w:rPr>
              <w:t xml:space="preserve">The synthesizer settling the fact from the page.</w:t>
            </w:r>
          </w:p>
        </w:tc>
        <w:tc>
          <w:tcPr>
            <w:tcW w:type="dxa" w:w="259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20"/>
            </w:pPr>
            <w:r>
              <w:rPr>
                <w:rFonts w:ascii="Arial" w:cs="Arial" w:eastAsia="Arial" w:hAnsi="Arial"/>
                <w:b w:val="false"/>
                <w:bCs w:val="false"/>
                <w:color w:val="141413"/>
                <w:sz w:val="16"/>
                <w:szCs w:val="16"/>
              </w:rPr>
              <w:t xml:space="preserve">Readers' data-gap notes are treated as claims to verify, not facts.</w:t>
            </w:r>
          </w:p>
        </w:tc>
      </w:tr>
      <w:tr>
        <w:trPr>
          <w:cantSplit/>
        </w:trPr>
        <w:tc>
          <w:tcPr>
            <w:tcW w:type="dxa" w:w="259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20"/>
            </w:pPr>
            <w:r>
              <w:rPr>
                <w:rFonts w:ascii="Arial" w:cs="Arial" w:eastAsia="Arial" w:hAnsi="Arial"/>
                <w:b w:val="false"/>
                <w:bCs w:val="false"/>
                <w:color w:val="141413"/>
                <w:sz w:val="16"/>
                <w:szCs w:val="16"/>
              </w:rPr>
              <w:t xml:space="preserve">A Part 2 move named a real executive as its owner, and a trial cost of $150,000 per patient stood as a bare assumption.</w:t>
            </w:r>
          </w:p>
        </w:tc>
        <w:tc>
          <w:tcPr>
            <w:tcW w:type="dxa" w:w="259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20"/>
            </w:pPr>
            <w:r>
              <w:rPr>
                <w:rFonts w:ascii="Arial" w:cs="Arial" w:eastAsia="Arial" w:hAnsi="Arial"/>
                <w:b w:val="false"/>
                <w:bCs w:val="false"/>
                <w:color w:val="141413"/>
                <w:sz w:val="16"/>
                <w:szCs w:val="16"/>
              </w:rPr>
              <w:t xml:space="preserve">The name was on no cited page. A published benchmark (Sertkaya 2024) was in the index.</w:t>
            </w:r>
          </w:p>
        </w:tc>
        <w:tc>
          <w:tcPr>
            <w:tcW w:type="dxa" w:w="187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20"/>
            </w:pPr>
            <w:r>
              <w:rPr>
                <w:rFonts w:ascii="Arial" w:cs="Arial" w:eastAsia="Arial" w:hAnsi="Arial"/>
                <w:b w:val="false"/>
                <w:bCs w:val="false"/>
                <w:color w:val="141413"/>
                <w:sz w:val="16"/>
                <w:szCs w:val="16"/>
              </w:rPr>
              <w:t xml:space="preserve">The orchestrator's post-synthesis read and the scraper's fills.</w:t>
            </w:r>
          </w:p>
        </w:tc>
        <w:tc>
          <w:tcPr>
            <w:tcW w:type="dxa" w:w="259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20"/>
            </w:pPr>
            <w:r>
              <w:rPr>
                <w:rFonts w:ascii="Arial" w:cs="Arial" w:eastAsia="Arial" w:hAnsi="Arial"/>
                <w:b w:val="false"/>
                <w:bCs w:val="false"/>
                <w:color w:val="141413"/>
                <w:sz w:val="16"/>
                <w:szCs w:val="16"/>
              </w:rPr>
              <w:t xml:space="preserve">Name the role unless the name is on a cited page. A cited benchmark replaces an assumption even when it moves a number.</w:t>
            </w:r>
          </w:p>
        </w:tc>
      </w:tr>
      <w:tr>
        <w:trPr>
          <w:cantSplit/>
        </w:trPr>
        <w:tc>
          <w:tcPr>
            <w:tcW w:type="dxa" w:w="259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20"/>
            </w:pPr>
            <w:r>
              <w:rPr>
                <w:rFonts w:ascii="Arial" w:cs="Arial" w:eastAsia="Arial" w:hAnsi="Arial"/>
                <w:b w:val="false"/>
                <w:bCs w:val="false"/>
                <w:color w:val="141413"/>
                <w:sz w:val="16"/>
                <w:szCs w:val="16"/>
              </w:rPr>
              <w:t xml:space="preserve">A copy-editing agent rewrote Repatha's label row, 'CV outcomes incl. revascularization', as 'Heart events + stents' to make it plainer.</w:t>
            </w:r>
          </w:p>
        </w:tc>
        <w:tc>
          <w:tcPr>
            <w:tcW w:type="dxa" w:w="259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20"/>
            </w:pPr>
            <w:r>
              <w:rPr>
                <w:rFonts w:ascii="Arial" w:cs="Arial" w:eastAsia="Arial" w:hAnsi="Arial"/>
                <w:b w:val="false"/>
                <w:bCs w:val="false"/>
                <w:color w:val="141413"/>
                <w:sz w:val="16"/>
                <w:szCs w:val="16"/>
              </w:rPr>
              <w:t xml:space="preserve">The label's coronary revascularization covers bypass surgery as well as stents, so the plainer line understated the label edge.</w:t>
            </w:r>
          </w:p>
        </w:tc>
        <w:tc>
          <w:tcPr>
            <w:tcW w:type="dxa" w:w="187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20"/>
            </w:pPr>
            <w:r>
              <w:rPr>
                <w:rFonts w:ascii="Arial" w:cs="Arial" w:eastAsia="Arial" w:hAnsi="Arial"/>
                <w:b w:val="false"/>
                <w:bCs w:val="false"/>
                <w:color w:val="141413"/>
                <w:sz w:val="16"/>
                <w:szCs w:val="16"/>
              </w:rPr>
              <w:t xml:space="preserve">The orchestrator checking each wording change against the cited label before applying it.</w:t>
            </w:r>
          </w:p>
        </w:tc>
        <w:tc>
          <w:tcPr>
            <w:tcW w:type="dxa" w:w="259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20"/>
            </w:pPr>
            <w:r>
              <w:rPr>
                <w:rFonts w:ascii="Arial" w:cs="Arial" w:eastAsia="Arial" w:hAnsi="Arial"/>
                <w:b w:val="false"/>
                <w:bCs w:val="false"/>
                <w:color w:val="141413"/>
                <w:sz w:val="16"/>
                <w:szCs w:val="16"/>
              </w:rPr>
              <w:t xml:space="preserve">A rewrite that touches a factual claim is checked against its source first. The row now reads 'Heart events + procedures'.</w:t>
            </w:r>
          </w:p>
        </w:tc>
      </w:tr>
      <w:tr>
        <w:trPr>
          <w:cantSplit/>
        </w:trPr>
        <w:tc>
          <w:tcPr>
            <w:tcW w:type="dxa" w:w="259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20"/>
            </w:pPr>
            <w:r>
              <w:rPr>
                <w:rFonts w:ascii="Arial" w:cs="Arial" w:eastAsia="Arial" w:hAnsi="Arial"/>
                <w:b w:val="false"/>
                <w:bCs w:val="false"/>
                <w:color w:val="141413"/>
                <w:sz w:val="16"/>
                <w:szCs w:val="16"/>
              </w:rPr>
              <w:t xml:space="preserve">A $100 billion market forecast recorded as an upfront deal payment, and a takeover target's market cap 50 times too high from pricing ordinary shares at the ADS rate.</w:t>
            </w:r>
          </w:p>
        </w:tc>
        <w:tc>
          <w:tcPr>
            <w:tcW w:type="dxa" w:w="259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20"/>
            </w:pPr>
            <w:r>
              <w:rPr>
                <w:rFonts w:ascii="Arial" w:cs="Arial" w:eastAsia="Arial" w:hAnsi="Arial"/>
                <w:b w:val="false"/>
                <w:bCs w:val="false"/>
                <w:color w:val="141413"/>
                <w:sz w:val="16"/>
                <w:szCs w:val="16"/>
              </w:rPr>
              <w:t xml:space="preserve">Collector misreads of a press release and a share count.</w:t>
            </w:r>
          </w:p>
        </w:tc>
        <w:tc>
          <w:tcPr>
            <w:tcW w:type="dxa" w:w="187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20"/>
            </w:pPr>
            <w:r>
              <w:rPr>
                <w:rFonts w:ascii="Arial" w:cs="Arial" w:eastAsia="Arial" w:hAnsi="Arial"/>
                <w:b w:val="false"/>
                <w:bCs w:val="false"/>
                <w:color w:val="141413"/>
                <w:sz w:val="16"/>
                <w:szCs w:val="16"/>
              </w:rPr>
              <w:t xml:space="preserve">Hand checks on 554 deal rows and every target's balance sheet date.</w:t>
            </w:r>
          </w:p>
        </w:tc>
        <w:tc>
          <w:tcPr>
            <w:tcW w:type="dxa" w:w="259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20"/>
            </w:pPr>
            <w:r>
              <w:rPr>
                <w:rFonts w:ascii="Arial" w:cs="Arial" w:eastAsia="Arial" w:hAnsi="Arial"/>
                <w:b w:val="false"/>
                <w:bCs w:val="false"/>
                <w:color w:val="141413"/>
                <w:sz w:val="16"/>
                <w:szCs w:val="16"/>
              </w:rPr>
              <w:t xml:space="preserve">Deal benchmarks rebuilt from verified rows only; every target priced from one balance-sheet date.</w:t>
            </w:r>
          </w:p>
        </w:tc>
      </w:tr>
    </w:tbl>
    <w:p>
      <w:pPr>
        <w:spacing w:after="160"/>
      </w:pPr>
    </w:p>
    <w:p>
      <w:pPr>
        <w:pBdr>
          <w:left w:val="single" w:color="D97757" w:sz="18" w:space="12"/>
        </w:pBdr>
        <w:spacing w:after="60" w:before="60" w:line="320"/>
        <w:ind w:left="360" w:right="720"/>
      </w:pPr>
      <w:r>
        <w:rPr>
          <w:rFonts w:ascii="Georgia" w:cs="Georgia" w:eastAsia="Georgia" w:hAnsi="Georgia"/>
          <w:i/>
          <w:iCs/>
          <w:color w:val="141413"/>
          <w:sz w:val="25"/>
          <w:szCs w:val="25"/>
        </w:rPr>
        <w:t xml:space="preserve">The gate proves a number is on the cited page. It cannot tell whether the page means what the sentence says. Every one of the seven defects the verifier found in our final Part 1 tables was attribution or scope, not arithmetic.</w:t>
      </w:r>
    </w:p>
    <w:p>
      <w:pPr>
        <w:pBdr>
          <w:left w:val="single" w:color="D97757" w:sz="18" w:space="12"/>
        </w:pBdr>
        <w:spacing w:after="200"/>
        <w:ind w:left="360" w:right="720"/>
      </w:pPr>
      <w:r>
        <w:rPr>
          <w:rFonts w:ascii="Arial" w:cs="Arial" w:eastAsia="Arial" w:hAnsi="Arial"/>
          <w:color w:val="5E5D59"/>
          <w:sz w:val="17"/>
          <w:szCs w:val="17"/>
        </w:rPr>
        <w:t xml:space="preserve">What the log taught us</w:t>
      </w:r>
    </w:p>
    <w:p>
      <w:pPr>
        <w:spacing w:after="160" w:line="300"/>
      </w:pPr>
      <w:r>
        <w:rPr>
          <w:rFonts w:ascii="Arial" w:cs="Arial" w:eastAsia="Arial" w:hAnsi="Arial"/>
          <w:color w:val="141413"/>
          <w:sz w:val="21"/>
          <w:szCs w:val="21"/>
        </w:rPr>
        <w:t xml:space="preserve">Two patterns run through the list. The AI was most confidently wrong where a number was plausible and the story around it was real. Lilly's margins are high and its obesity franchise is strong, so a $68B impact did not look absurd. The checks that caught the worst cases were the plain ones. A person reading a footnote, a colleague reading the other skeptic's file and a fresh agent told to assume everything is wrong found what the gate, the tests and the ratios missed.</w:t>
      </w:r>
    </w:p>
    <w:p>
      <w:pPr>
        <w:pStyle w:val="Heading1"/>
        <w:spacing w:after="200" w:before="520"/>
      </w:pPr>
      <w:r>
        <w:rPr>
          <w:rFonts w:ascii="Georgia" w:cs="Georgia" w:eastAsia="Georgia" w:hAnsi="Georgia"/>
          <w:color w:val="141413"/>
          <w:sz w:val="38"/>
          <w:szCs w:val="38"/>
        </w:rPr>
        <w:t xml:space="preserve">6. What we would do differently</w:t>
      </w:r>
    </w:p>
    <w:p>
      <w:pPr>
        <w:pStyle w:val="ListParagraph"/>
        <w:numPr>
          <w:ilvl w:val="0"/>
          <w:numId w:val="3"/>
        </w:numPr>
        <w:spacing w:after="90" w:line="290"/>
      </w:pPr>
      <w:r>
        <w:rPr>
          <w:rFonts w:ascii="Arial" w:cs="Arial" w:eastAsia="Arial" w:hAnsi="Arial"/>
          <w:b/>
          <w:bCs/>
          <w:color w:val="141413"/>
          <w:sz w:val="21"/>
          <w:szCs w:val="21"/>
        </w:rPr>
        <w:t xml:space="preserve">Build the gate before the scorer. </w:t>
      </w:r>
      <w:r>
        <w:rPr>
          <w:rFonts w:ascii="Arial" w:cs="Arial" w:eastAsia="Arial" w:hAnsi="Arial"/>
          <w:color w:val="141413"/>
          <w:sz w:val="21"/>
          <w:szCs w:val="21"/>
        </w:rPr>
        <w:t xml:space="preserve">The scoring model ran for a day on numbers nothing had verified, and the first gate was wrong too. Every other part of the system depends on the verification being right.</w:t>
      </w:r>
    </w:p>
    <w:p>
      <w:pPr>
        <w:pStyle w:val="ListParagraph"/>
        <w:numPr>
          <w:ilvl w:val="0"/>
          <w:numId w:val="3"/>
        </w:numPr>
        <w:spacing w:after="90" w:line="290"/>
      </w:pPr>
      <w:r>
        <w:rPr>
          <w:rFonts w:ascii="Arial" w:cs="Arial" w:eastAsia="Arial" w:hAnsi="Arial"/>
          <w:b/>
          <w:bCs/>
          <w:color w:val="141413"/>
          <w:sz w:val="21"/>
          <w:szCs w:val="21"/>
        </w:rPr>
        <w:t xml:space="preserve">Pick the company on human-read findings first, </w:t>
      </w:r>
      <w:r>
        <w:rPr>
          <w:rFonts w:ascii="Arial" w:cs="Arial" w:eastAsia="Arial" w:hAnsi="Arial"/>
          <w:color w:val="141413"/>
          <w:sz w:val="21"/>
          <w:szCs w:val="21"/>
        </w:rPr>
        <w:t xml:space="preserve">and use code ratios only to corroborate them. The blind pass we ran Saturday night is the process we should have started with Saturday morning.</w:t>
      </w:r>
    </w:p>
    <w:p>
      <w:pPr>
        <w:pStyle w:val="ListParagraph"/>
        <w:numPr>
          <w:ilvl w:val="0"/>
          <w:numId w:val="3"/>
        </w:numPr>
        <w:spacing w:after="90" w:line="290"/>
      </w:pPr>
      <w:r>
        <w:rPr>
          <w:rFonts w:ascii="Arial" w:cs="Arial" w:eastAsia="Arial" w:hAnsi="Arial"/>
          <w:b/>
          <w:bCs/>
          <w:color w:val="141413"/>
          <w:sz w:val="21"/>
          <w:szCs w:val="21"/>
        </w:rPr>
        <w:t xml:space="preserve">Start from the case's deliverables. </w:t>
      </w:r>
      <w:r>
        <w:rPr>
          <w:rFonts w:ascii="Arial" w:cs="Arial" w:eastAsia="Arial" w:hAnsi="Arial"/>
          <w:color w:val="141413"/>
          <w:sz w:val="21"/>
          <w:szCs w:val="21"/>
        </w:rPr>
        <w:t xml:space="preserve">We built a larger model than the case needed and spent part of the weekend defending it. The findings table, the needle, the product comparison, one move and this report are everything the case asks for.</w:t>
      </w:r>
    </w:p>
    <w:p>
      <w:pPr>
        <w:pStyle w:val="ListParagraph"/>
        <w:numPr>
          <w:ilvl w:val="0"/>
          <w:numId w:val="3"/>
        </w:numPr>
        <w:spacing w:after="90" w:line="290"/>
      </w:pPr>
      <w:r>
        <w:rPr>
          <w:rFonts w:ascii="Arial" w:cs="Arial" w:eastAsia="Arial" w:hAnsi="Arial"/>
          <w:b/>
          <w:bCs/>
          <w:color w:val="141413"/>
          <w:sz w:val="21"/>
          <w:szCs w:val="21"/>
        </w:rPr>
        <w:t xml:space="preserve">Write the handoff before each phase. </w:t>
      </w:r>
      <w:r>
        <w:rPr>
          <w:rFonts w:ascii="Arial" w:cs="Arial" w:eastAsia="Arial" w:hAnsi="Arial"/>
          <w:color w:val="141413"/>
          <w:sz w:val="21"/>
          <w:szCs w:val="21"/>
        </w:rPr>
        <w:t xml:space="preserve">Two long sessions became unusable overnight when their requests began failing. The work continued only because the briefs, the launch prompts and the state were on disk in the repository.</w:t>
      </w:r>
    </w:p>
    <w:p>
      <w:pPr>
        <w:pStyle w:val="ListParagraph"/>
        <w:numPr>
          <w:ilvl w:val="0"/>
          <w:numId w:val="3"/>
        </w:numPr>
        <w:spacing w:after="90" w:line="290"/>
      </w:pPr>
      <w:r>
        <w:rPr>
          <w:rFonts w:ascii="Arial" w:cs="Arial" w:eastAsia="Arial" w:hAnsi="Arial"/>
          <w:b/>
          <w:bCs/>
          <w:color w:val="141413"/>
          <w:sz w:val="21"/>
          <w:szCs w:val="21"/>
        </w:rPr>
        <w:t xml:space="preserve">Put the rubric checks in the first prompt. </w:t>
      </w:r>
      <w:r>
        <w:rPr>
          <w:rFonts w:ascii="Arial" w:cs="Arial" w:eastAsia="Arial" w:hAnsi="Arial"/>
          <w:color w:val="141413"/>
          <w:sz w:val="21"/>
          <w:szCs w:val="21"/>
        </w:rPr>
        <w:t xml:space="preserve">'One committed number with an owner and a decision month' and 'tie the move to the sealed needle' were added mid-wave to the Part 2 synthesizers. They belong in the brief.</w:t>
      </w:r>
    </w:p>
    <w:p>
      <w:pPr>
        <w:pStyle w:val="ListParagraph"/>
        <w:numPr>
          <w:ilvl w:val="0"/>
          <w:numId w:val="3"/>
        </w:numPr>
        <w:spacing w:after="90" w:line="290"/>
      </w:pPr>
      <w:r>
        <w:rPr>
          <w:rFonts w:ascii="Arial" w:cs="Arial" w:eastAsia="Arial" w:hAnsi="Arial"/>
          <w:b/>
          <w:bCs/>
          <w:color w:val="141413"/>
          <w:sz w:val="21"/>
          <w:szCs w:val="21"/>
        </w:rPr>
        <w:t xml:space="preserve">Give every skeptic the operands to test. </w:t>
      </w:r>
      <w:r>
        <w:rPr>
          <w:rFonts w:ascii="Arial" w:cs="Arial" w:eastAsia="Arial" w:hAnsi="Arial"/>
          <w:color w:val="141413"/>
          <w:sz w:val="21"/>
          <w:szCs w:val="21"/>
        </w:rPr>
        <w:t xml:space="preserve">Generic instructions produced generic verdicts. Lifting the specific figures, comparables and deciders from the candidates file into each prompt made round two sharp.</w:t>
      </w:r>
    </w:p>
    <w:p>
      <w:pPr>
        <w:pStyle w:val="ListParagraph"/>
        <w:numPr>
          <w:ilvl w:val="0"/>
          <w:numId w:val="3"/>
        </w:numPr>
        <w:spacing w:after="90" w:line="290"/>
      </w:pPr>
      <w:r>
        <w:rPr>
          <w:rFonts w:ascii="Arial" w:cs="Arial" w:eastAsia="Arial" w:hAnsi="Arial"/>
          <w:b/>
          <w:bCs/>
          <w:color w:val="141413"/>
          <w:sz w:val="21"/>
          <w:szCs w:val="21"/>
        </w:rPr>
        <w:t xml:space="preserve">Fix identifiers on day one. </w:t>
      </w:r>
      <w:r>
        <w:rPr>
          <w:rFonts w:ascii="Arial" w:cs="Arial" w:eastAsia="Arial" w:hAnsi="Arial"/>
          <w:color w:val="141413"/>
          <w:sz w:val="21"/>
          <w:szCs w:val="21"/>
        </w:rPr>
        <w:t xml:space="preserve">Unstable ids broke joins quietly for hours.</w:t>
      </w:r>
    </w:p>
    <w:p>
      <w:pPr>
        <w:pStyle w:val="ListParagraph"/>
        <w:numPr>
          <w:ilvl w:val="0"/>
          <w:numId w:val="3"/>
        </w:numPr>
        <w:spacing w:after="90" w:line="290"/>
      </w:pPr>
      <w:r>
        <w:rPr>
          <w:rFonts w:ascii="Arial" w:cs="Arial" w:eastAsia="Arial" w:hAnsi="Arial"/>
          <w:b/>
          <w:bCs/>
          <w:color w:val="141413"/>
          <w:sz w:val="21"/>
          <w:szCs w:val="21"/>
        </w:rPr>
        <w:t xml:space="preserve">Arm the API key earlier. </w:t>
      </w:r>
      <w:r>
        <w:rPr>
          <w:rFonts w:ascii="Arial" w:cs="Arial" w:eastAsia="Arial" w:hAnsi="Arial"/>
          <w:color w:val="141413"/>
          <w:sz w:val="21"/>
          <w:szCs w:val="21"/>
        </w:rPr>
        <w:t xml:space="preserve">The planned one-pass model track, with citations on every block and the courtroom trial, stayed a plan. Every sentence in the demo is deterministic. That is honest, but a checked model track would have been better.</w:t>
      </w:r>
    </w:p>
    <w:p>
      <w:pPr>
        <w:pStyle w:val="ListParagraph"/>
        <w:numPr>
          <w:ilvl w:val="0"/>
          <w:numId w:val="3"/>
        </w:numPr>
        <w:spacing w:after="90" w:line="290"/>
      </w:pPr>
      <w:r>
        <w:rPr>
          <w:rFonts w:ascii="Arial" w:cs="Arial" w:eastAsia="Arial" w:hAnsi="Arial"/>
          <w:b/>
          <w:bCs/>
          <w:color w:val="141413"/>
          <w:sz w:val="21"/>
          <w:szCs w:val="21"/>
        </w:rPr>
        <w:t xml:space="preserve">Get product-level analyst estimates. </w:t>
      </w:r>
      <w:r>
        <w:rPr>
          <w:rFonts w:ascii="Arial" w:cs="Arial" w:eastAsia="Arial" w:hAnsi="Arial"/>
          <w:color w:val="141413"/>
          <w:sz w:val="21"/>
          <w:szCs w:val="21"/>
        </w:rPr>
        <w:t xml:space="preserve">Our consensus data is company-level, so every priced-in call is an inference from how often analysts asked and how the stock moved, and none rates above medium confidence. Product-level estimates would let us test the call directly.</w:t>
      </w:r>
    </w:p>
    <w:p>
      <w:pPr>
        <w:pStyle w:val="ListParagraph"/>
        <w:numPr>
          <w:ilvl w:val="0"/>
          <w:numId w:val="3"/>
        </w:numPr>
        <w:spacing w:after="90" w:line="290"/>
      </w:pPr>
      <w:r>
        <w:rPr>
          <w:rFonts w:ascii="Arial" w:cs="Arial" w:eastAsia="Arial" w:hAnsi="Arial"/>
          <w:b/>
          <w:bCs/>
          <w:color w:val="141413"/>
          <w:sz w:val="21"/>
          <w:szCs w:val="21"/>
        </w:rPr>
        <w:t xml:space="preserve">Publish where judges can open it from the start. </w:t>
      </w:r>
      <w:r>
        <w:rPr>
          <w:rFonts w:ascii="Arial" w:cs="Arial" w:eastAsia="Arial" w:hAnsi="Arial"/>
          <w:color w:val="141413"/>
          <w:sz w:val="21"/>
          <w:szCs w:val="21"/>
        </w:rPr>
        <w:t xml:space="preserve">The demo lived behind a claude.ai login until the last morning, when we copied it to a public page. A public URL on day one would have saved a scramble.</w:t>
      </w:r>
    </w:p>
    <w:p>
      <w:pPr>
        <w:pStyle w:val="ListParagraph"/>
        <w:numPr>
          <w:ilvl w:val="0"/>
          <w:numId w:val="3"/>
        </w:numPr>
        <w:spacing w:after="90" w:line="290"/>
      </w:pPr>
      <w:r>
        <w:rPr>
          <w:rFonts w:ascii="Arial" w:cs="Arial" w:eastAsia="Arial" w:hAnsi="Arial"/>
          <w:b/>
          <w:bCs/>
          <w:color w:val="141413"/>
          <w:sz w:val="21"/>
          <w:szCs w:val="21"/>
        </w:rPr>
        <w:t xml:space="preserve">Write partial output early and keep per-worker scratch space. </w:t>
      </w:r>
      <w:r>
        <w:rPr>
          <w:rFonts w:ascii="Arial" w:cs="Arial" w:eastAsia="Arial" w:hAnsi="Arial"/>
          <w:color w:val="141413"/>
          <w:sz w:val="21"/>
          <w:szCs w:val="21"/>
        </w:rPr>
        <w:t xml:space="preserve">The host machine slept mid-run once, and parallel workers collided on a shared folder once. Both are avoidable.</w:t>
      </w:r>
    </w:p>
    <w:p>
      <w:pPr>
        <w:pStyle w:val="Heading1"/>
        <w:spacing w:after="200" w:before="520"/>
      </w:pPr>
      <w:r>
        <w:rPr>
          <w:rFonts w:ascii="Georgia" w:cs="Georgia" w:eastAsia="Georgia" w:hAnsi="Georgia"/>
          <w:color w:val="141413"/>
          <w:sz w:val="38"/>
          <w:szCs w:val="38"/>
        </w:rPr>
        <w:t xml:space="preserve">7. Limits we state, and how to reproduce the run</w:t>
      </w:r>
    </w:p>
    <w:p>
      <w:pPr>
        <w:spacing w:after="160" w:line="300"/>
      </w:pPr>
      <w:r>
        <w:rPr>
          <w:rFonts w:ascii="Arial" w:cs="Arial" w:eastAsia="Arial" w:hAnsi="Arial"/>
          <w:color w:val="141413"/>
          <w:sz w:val="21"/>
          <w:szCs w:val="21"/>
        </w:rPr>
        <w:t xml:space="preserve">Some things the system cannot see. Where that is so, we say so and do not estimate. No product-level net price is public, so we never claim one. Our policy and patent math covers the U.S. only, because filings give ex-U.S. revenue but not units or price. Formulary and rebate contracts are private. Analyst consensus is licensed, so it feeds the math and is never displayed. CMS Part D claims are annual to data year 2024. Most Q3 2026 results land after judging, so the numbers run through Q2 2026. Every footnote opens the source document, but the page-highlight viewer runs only on our machines. Public footnotes give the file page, the printed page and the document link.</w:t>
      </w:r>
    </w:p>
    <w:p>
      <w:pPr>
        <w:spacing w:after="160" w:line="300"/>
      </w:pPr>
      <w:r>
        <w:rPr>
          <w:rFonts w:ascii="Arial" w:cs="Arial" w:eastAsia="Arial" w:hAnsi="Arial"/>
          <w:color w:val="141413"/>
          <w:sz w:val="21"/>
          <w:szCs w:val="21"/>
        </w:rPr>
        <w:t xml:space="preserve">Everything is in one repository. The data branch holds the collectors, the index builder and the verified tables. The model branch holds the gate, the two pipelines and their outputs. The UI branch holds the exporters and the chat. The two skills, fine-print-part1 and fine-print-part2, carry each brief byte for byte and the launch and resume messages per role. A new company enters with one command that builds its filings, labels, calls and tables into the same index with stable ids. We proved this on three companies that were not in the case.</w:t>
      </w:r>
    </w:p>
    <w:p>
      <w:pPr>
        <w:pBdr>
          <w:bottom w:val="single" w:color="D9D6CE" w:sz="6" w:space="1"/>
        </w:pBdr>
        <w:spacing w:after="120" w:before="200"/>
      </w:pPr>
    </w:p>
    <w:p>
      <w:pPr>
        <w:spacing w:after="0"/>
      </w:pPr>
      <w:r>
        <w:rPr>
          <w:rFonts w:ascii="Arial" w:cs="Arial" w:eastAsia="Arial" w:hAnsi="Arial"/>
          <w:color w:val="5E5D59"/>
          <w:sz w:val="16"/>
          <w:szCs w:val="16"/>
        </w:rPr>
        <w:t xml:space="preserve">Repository: aidanmcjones/neeley-ai-forward. Final commits: data-moat ce3c0f2, ui 9f064c4, quant-model at the commit that carries this report. Public demo: aidanmcjones.github.io/needle-demo. Sealed selection sha256 903fc656fa7a1d1b2bdf303d8d8f9321d5f1f7b741f6b751c4cdf4f9c40c8fa7.</w:t>
      </w:r>
    </w:p>
    <w:sectPr>
      <w:footerReference w:type="default" r:id="rId6"/>
      <w:pgSz w:w="12240" w:h="15840" w:orient="portrait"/>
      <w:pgMar w:top="1296" w:right="1296" w:bottom="1296" w:left="1296" w:header="708" w:footer="7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48"/>
      </w:tabs>
    </w:pPr>
    <w:r>
      <w:rPr>
        <w:rFonts w:ascii="Arial" w:cs="Arial" w:eastAsia="Arial" w:hAnsi="Arial"/>
        <w:color w:val="5E5D59"/>
        <w:sz w:val="15"/>
        <w:szCs w:val="15"/>
      </w:rPr>
      <w:t xml:space="preserve">Needle in the Haystack  ·  How we did it  ·  Neeley AI Forward 2026</w:t>
    </w:r>
    <w:r>
      <w:rPr>
        <w:rFonts w:ascii="Arial" w:cs="Arial" w:eastAsia="Arial" w:hAnsi="Arial"/>
        <w:sz w:val="15"/>
        <w:szCs w:val="15"/>
      </w:rPr>
      <w:t xml:space="preserve">	</w:t>
    </w:r>
    <w:r>
      <w:rPr>
        <w:rFonts w:ascii="Arial" w:cs="Arial" w:eastAsia="Arial" w:hAnsi="Arial"/>
        <w:color w:val="5E5D59"/>
        <w:sz w:val="15"/>
        <w:szCs w:val="15"/>
      </w:rPr>
      <w:fldChar w:fldCharType="begin"/>
    </w:r>
    <w:r>
      <w:rPr>
        <w:rFonts w:ascii="Arial" w:cs="Arial" w:eastAsia="Arial" w:hAnsi="Arial"/>
        <w:color w:val="5E5D59"/>
        <w:sz w:val="15"/>
        <w:szCs w:val="15"/>
      </w:rPr>
      <w:instrText xml:space="preserve">PAGE</w:instrText>
    </w:r>
    <w:r>
      <w:rPr>
        <w:rFonts w:ascii="Arial" w:cs="Arial" w:eastAsia="Arial" w:hAnsi="Arial"/>
        <w:color w:val="5E5D59"/>
        <w:sz w:val="15"/>
        <w:szCs w:val="15"/>
      </w:rPr>
      <w:fldChar w:fldCharType="separate"/>
    </w:r>
    <w:r>
      <w:rPr>
        <w:rFonts w:ascii="Arial" w:cs="Arial" w:eastAsia="Arial" w:hAnsi="Arial"/>
        <w:color w:val="5E5D59"/>
        <w:sz w:val="15"/>
        <w:szCs w:val="15"/>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40" w:hanging="260"/>
      </w:pPr>
      <w:rPr>
        <w:color w:val="D97757"/>
      </w:rPr>
    </w:lvl>
  </w:abstractNum>
  <w:abstractNum w:abstractNumId="3" w15:restartNumberingAfterBreak="0">
    <w:multiLevelType w:val="hybridMultilevel"/>
    <w:lvl w:ilvl="0" w:tentative="1">
      <w:start w:val="1"/>
      <w:numFmt w:val="decimal"/>
      <w:lvlText w:val="%1."/>
      <w:lvlJc w:val="left"/>
      <w:pPr>
        <w:ind w:left="440" w:hanging="300"/>
      </w:pPr>
      <w:rPr>
        <w:b/>
        <w:bCs/>
        <w:color w:val="D97757"/>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41413"/>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520"/>
      <w:outlineLvl w:val="0"/>
    </w:pPr>
    <w:rPr>
      <w:rFonts w:ascii="Georgia" w:cs="Georgia" w:eastAsia="Georgia" w:hAnsi="Georgia"/>
      <w:color w:val="141413"/>
      <w:sz w:val="38"/>
      <w:szCs w:val="38"/>
    </w:rPr>
  </w:style>
  <w:style w:type="paragraph" w:styleId="Heading2">
    <w:name w:val="Heading 2"/>
    <w:basedOn w:val="Normal"/>
    <w:next w:val="Normal"/>
    <w:qFormat/>
    <w:pPr>
      <w:spacing w:after="120" w:before="320"/>
      <w:outlineLvl w:val="1"/>
    </w:pPr>
    <w:rPr>
      <w:rFonts w:ascii="Georgia" w:cs="Georgia" w:eastAsia="Georgia" w:hAnsi="Georgia"/>
      <w:color w:val="141413"/>
      <w:sz w:val="27"/>
      <w:szCs w:val="27"/>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f9d4e35711fc8ac4c3b689f47bcc62a37bfc5580.png"/><Relationship Id="rId9" Type="http://schemas.openxmlformats.org/officeDocument/2006/relationships/image" Target="media/272258109ef5aeb9b0ae30c4606ed95423b44190.png"/><Relationship Id="rId10" Type="http://schemas.openxmlformats.org/officeDocument/2006/relationships/image" Target="media/b90ae315c27ff008ea638de4659d783a62f8175d.png"/><Relationship Id="rId11" Type="http://schemas.openxmlformats.org/officeDocument/2006/relationships/image" Target="media/aec74fccb1ebb470e19c03402b94a8c5eceaf113.png"/><Relationship Id="rId12" Type="http://schemas.openxmlformats.org/officeDocument/2006/relationships/image" Target="media/047e00ebf1fff13858f0b02c6b32af4b275c7255.png"/><Relationship Id="rId13" Type="http://schemas.openxmlformats.org/officeDocument/2006/relationships/image" Target="media/a61366cb0f4346c4877a12256947e6e2d9e57af7.png"/><Relationship Id="rId14" Type="http://schemas.openxmlformats.org/officeDocument/2006/relationships/image" Target="media/4873647e05667c94afc5e18db1a0c88c5e7c2e5f.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we did it</dc:title>
  <dc:creator>Team Needle in the Haystack</dc:creator>
  <dc:description>Neeley AI Forward 2026, The Fine Print: tools, workflow, prompts, where the AI was wrong, what we would change.</dc:description>
  <cp:lastModifiedBy>Un-named</cp:lastModifiedBy>
  <cp:revision>1</cp:revision>
  <dcterms:created xsi:type="dcterms:W3CDTF">2026-10-18T17:09:47.313Z</dcterms:created>
  <dcterms:modified xsi:type="dcterms:W3CDTF">2026-10-18T17:09:47.313Z</dcterms:modified>
</cp:coreProperties>
</file>

<file path=docProps/custom.xml><?xml version="1.0" encoding="utf-8"?>
<Properties xmlns="http://schemas.openxmlformats.org/officeDocument/2006/custom-properties" xmlns:vt="http://schemas.openxmlformats.org/officeDocument/2006/docPropsVTypes"/>
</file>