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F3864"/>
          <w:sz w:val="40"/>
          <w:szCs w:val="40"/>
        </w:rPr>
        <w:t xml:space="preserve">손해사정 Agent Harness PoC</w:t>
      </w:r>
    </w:p>
    <w:p>
      <w:pPr>
        <w:spacing w:after="400"/>
        <w:jc w:val="center"/>
      </w:pPr>
      <w:r>
        <w:rPr>
          <w:color w:val="3B6FD4"/>
          <w:sz w:val="26"/>
          <w:szCs w:val="26"/>
        </w:rPr>
        <w:t xml:space="preserve">파이프라인 설명 가이드 — 교수님 보고용</w:t>
      </w:r>
    </w:p>
    <w:p>
      <w:pPr>
        <w:pStyle w:val="Heading1"/>
      </w:pPr>
      <w:r>
        <w:t xml:space="preserve">0. 이 문서의 목적</w:t>
      </w:r>
    </w:p>
    <w:p>
      <w:pPr>
        <w:spacing w:after="160"/>
      </w:pPr>
      <w:r>
        <w:t xml:space="preserve">전체 파이프라인을 교수님께 설명할 때 쓰는 발표/보고 구성 가이드다. 프로젝트 위키(wiki/pipeline.md, wiki/overview.md, wiki/answers/)에 정리된 내용을 발표 순서에 맞게 재구성했다.</w:t>
      </w:r>
    </w:p>
    <w:p>
      <w:pPr>
        <w:pStyle w:val="Heading1"/>
      </w:pPr>
      <w:r>
        <w:t xml:space="preserve">1. PoC 한 줄 정의와 핵심 질문</w:t>
      </w:r>
    </w:p>
    <w:p>
      <w:pPr>
        <w:spacing w:after="160"/>
      </w:pPr>
      <w:r>
        <w:t xml:space="preserve">가명처리된 독립손해사정사 종결 케이스 원자료를 넣으면, Agent Harness가 스크리닝 리포트와 손해사정서 초안 v1을 생성하고, 이를 실제 최종 손사서와 비교 평가하는 3주 실험이다. 신규 모델을 학습하지 않고 기존 OCR·LLM·검색 모델을 조합해 검증한다.</w:t>
      </w:r>
    </w:p>
    <w:p>
      <w:pPr>
        <w:pStyle w:val="Heading3"/>
      </w:pPr>
      <w:r>
        <w:t xml:space="preserve">이번 PoC가 답하려는 5가지 질문</w:t>
      </w:r>
    </w:p>
    <w:p>
      <w:pPr>
        <w:pStyle w:val="ListParagraph"/>
        <w:numPr>
          <w:ilvl w:val="0"/>
          <w:numId w:val="2"/>
        </w:numPr>
        <w:spacing w:after="100"/>
      </w:pPr>
      <w:r>
        <w:t xml:space="preserve">기존 모델만으로 보험 청구 관련 문서를 구조화할 수 있는가?</w:t>
      </w:r>
    </w:p>
    <w:p>
      <w:pPr>
        <w:pStyle w:val="ListParagraph"/>
        <w:numPr>
          <w:ilvl w:val="0"/>
          <w:numId w:val="2"/>
        </w:numPr>
        <w:spacing w:after="100"/>
      </w:pPr>
      <w:r>
        <w:t xml:space="preserve">청구담보와 감액사유를 실무적으로 쓸 만한 수준으로 추출할 수 있는가?</w:t>
      </w:r>
    </w:p>
    <w:p>
      <w:pPr>
        <w:pStyle w:val="ListParagraph"/>
        <w:numPr>
          <w:ilvl w:val="0"/>
          <w:numId w:val="2"/>
        </w:numPr>
        <w:spacing w:after="100"/>
      </w:pPr>
      <w:r>
        <w:t xml:space="preserve">문서 간 불일치와 핵심 쟁점을 잡아낼 수 있는가?</w:t>
      </w:r>
    </w:p>
    <w:p>
      <w:pPr>
        <w:pStyle w:val="ListParagraph"/>
        <w:numPr>
          <w:ilvl w:val="0"/>
          <w:numId w:val="2"/>
        </w:numPr>
        <w:spacing w:after="100"/>
      </w:pPr>
      <w:r>
        <w:t xml:space="preserve">약관 조항 후보를 찾아 손사 검토의 출발점으로 쓸 수 있는가?</w:t>
      </w:r>
    </w:p>
    <w:p>
      <w:pPr>
        <w:pStyle w:val="ListParagraph"/>
        <w:numPr>
          <w:ilvl w:val="0"/>
          <w:numId w:val="2"/>
        </w:numPr>
        <w:spacing w:after="100"/>
      </w:pPr>
      <w:r>
        <w:t xml:space="preserve">감액사유별 반박 포인트와 손사서 초안이 실제 업무 시간을 줄여주는가?</w:t>
      </w:r>
    </w:p>
    <w:p>
      <w:pPr>
        <w:pStyle w:val="Heading1"/>
      </w:pPr>
      <w:r>
        <w:t xml:space="preserve">2. 왜 이런 구조인가 — Phase 1 / Phase 2로 나눈 이유</w:t>
      </w:r>
    </w:p>
    <w:p>
      <w:pPr>
        <w:spacing w:after="160"/>
      </w:pPr>
      <w:r>
        <w:t xml:space="preserve">파이프라인은 실제 손해사정 업무 흐름(청구 접수 → 보험사 응답 → 대응)을 그대로 따라 두 Phase로 나뉜다. Phase 1은 케이스 원자료가 들어왔을 때의 최초 검토, Phase 2는 보험사의 반려·감액 통지가 도착한 뒤의 대응이다. 이렇게 나누면 Phase 2가 Phase 1의 산출물(정규화된 약관, 추출된 청구 필드, 초안 v1)을 그대로 재사용할 수 있어 같은 기능을 중복 개발하지 않는다.</w:t>
      </w:r>
    </w:p>
    <w:p>
      <w:pPr>
        <w:pStyle w:val="Heading1"/>
      </w:pPr>
      <w:r>
        <w:t xml:space="preserve">3. 파이프라인을 읽는 3가지 관점</w:t>
      </w:r>
    </w:p>
    <w:p>
      <w:pPr>
        <w:spacing w:after="160"/>
      </w:pPr>
      <w:r>
        <w:t xml:space="preserve">같은 파이프라인을 세 겹의 해상도로 설명하면 교수님이 “왜 이렇게 나눴는가”를 각 층위에서 이해하기 쉽다.</w:t>
      </w:r>
    </w:p>
    <w:p>
      <w:pPr>
        <w:pStyle w:val="Heading3"/>
      </w:pPr>
      <w:r>
        <w:t xml:space="preserve">① 업무 흐름 관점 — 2개 Phase</w:t>
      </w:r>
    </w:p>
    <w:p>
      <w:pPr>
        <w:spacing w:after="160"/>
      </w:pPr>
      <w:r>
        <w:t xml:space="preserve">Phase 1(최초 청구/검토 → 스크리닝 리포트 + 초안 v1), Phase 2(반려·감액 대응 → 반박 포인트 + 초안 v2). 실제 손사 업무 순서를 따른다.</w:t>
      </w:r>
    </w:p>
    <w:p>
      <w:pPr>
        <w:pStyle w:val="Heading3"/>
      </w:pPr>
      <w:r>
        <w:t xml:space="preserve">② 구현 관점 — 7개 묶음 Agent</w:t>
      </w:r>
    </w:p>
    <w:p>
      <w:pPr>
        <w:spacing w:after="160"/>
      </w:pPr>
      <w:r>
        <w:t xml:space="preserve">설계는 31개 컴포넌트(Phase 1: 18개 + Phase 2: 13개)로 세분화하되, 코드는 7개 묶음 Agent로 시작한다. 컴포넌트는 설계·계약 단위이고, 묶음 Agent는 코드 단위라는 점이 핵심이다.</w:t>
      </w:r>
    </w:p>
    <w:p>
      <w:pPr>
        <w:pStyle w:val="Heading3"/>
      </w:pPr>
      <w:r>
        <w:t xml:space="preserve">③ 데이터 관점 — backbone I/O 5개</w:t>
      </w:r>
    </w:p>
    <w:p>
      <w:pPr>
        <w:spacing w:after="160"/>
      </w:pPr>
      <w:r>
        <w:t xml:space="preserve">컴포넌트끼리는 JSON 파일로만 통신한다. 스크리닝까지의 최소 경로인 backbone 5개 파일이 스키마 확정의 최우선 순위다:</w:t>
      </w:r>
    </w:p>
    <w:p>
      <w:pPr>
        <w:spacing w:after="160"/>
      </w:pPr>
      <w:r>
        <w:rPr>
          <w:i/>
          <w:iCs/>
          <w:sz w:val="20"/>
          <w:szCs w:val="20"/>
        </w:rPr>
        <w:t xml:space="preserve">document_manifest.json → classification_result.json → extracted_claim_fields.json → denial_reason_result.json → screening_report.json</w:t>
      </w:r>
    </w:p>
    <w:p>
      <w:pPr>
        <w:pBdr>
          <w:left w:val="single" w:color="C99A1E" w:sz="12" w:space="8"/>
        </w:pBdr>
        <w:spacing w:after="160" w:before="80"/>
      </w:pPr>
      <w:r>
        <w:rPr>
          <w:i/>
          <w:iCs/>
          <w:color w:val="676C7E"/>
          <w:sz w:val="20"/>
          <w:szCs w:val="20"/>
        </w:rPr>
        <w:t xml:space="preserve">발표 팁: 이 3단 구조 자체를 먼저 보여주면, 이후 세부 단계 설명이 “ already-organized categories 안의 디테일”로 읽혀 훨씬 따라오기 쉽다.</w:t>
      </w:r>
    </w:p>
    <w:p>
      <w:r>
        <w:br w:type="page"/>
      </w:r>
    </w:p>
    <w:p>
      <w:pPr>
        <w:pStyle w:val="Heading1"/>
      </w:pPr>
      <w:r>
        <w:t xml:space="preserve">4. Phase 1 — 최초 청구/검토 (18단계)</w:t>
      </w:r>
    </w:p>
    <w:p>
      <w:pPr>
        <w:spacing w:after="160"/>
      </w:pPr>
      <w:r>
        <w:t xml:space="preserve">케이스 원자료 입력 → 문서 구조화 → 약관 매핑 → 스크리닝 리포트 + 손사서 초안 v1 생성까지의 흐름이다. 빨간 표시(P0)는 정량 평가 기준이 걸려 있는 핵심 단계다.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300"/>
        <w:gridCol w:w="25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컴포넌트</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핵심 산출물</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비고</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Case Intake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document_manifest.json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파이프라인 진입점</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OCR / Text Extraction (P0)</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ocr_result.json, page_*.md</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불명확 영역 uncertain_regions 기록</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Redaction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redacted_text.md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개인정보 제거</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Document Classification (P0)</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classification_result.json</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문서 유형 분류</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Document Preprocessing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page_chunks.json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검색·추출용 정리</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(선택) Vector Indexing</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index_metadata.json</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케이스 수 적은 PoC에서는 보류</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7~9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Policy 처리 → 조항추출 → 정규화</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normalized_policy_clause.json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약관 관련 작업 묶음</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10</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Claim Field Extraction (P0)</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extracted_claim_fields.json</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진단명·KCD·사고일 등</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Coverage Identification (P0)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coverage_result.json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청구담보 식별</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12</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Case Type Classification (P0)</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case_type_result.json (template_id)</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손사서 템플릿 선택 기준</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Requirement Matching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requirement_matching_result.json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담보별 지급요건 매칭</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14</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Evidence Validation</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evidence_validation_result.json</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문서 간 불일치 탐지 포함</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Screening Report Generation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screening_report.json / .md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§7 preliminary_assessment 포함</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16</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Draft Report Generation v1</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draft_report_v1.md</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사건 유형별 템플릿 적용</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Critic Agent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critic_result.json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환각·금지표현 탐지</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18</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Human Review → Evaluation</w:t>
            </w:r>
          </w:p>
        </w:tc>
        <w:tc>
          <w:tcPr>
            <w:tcW w:type="dxa" w:w="3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evaluation_result.json</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정답지와 비교, 사람 검수</w:t>
            </w:r>
          </w:p>
        </w:tc>
      </w:tr>
    </w:tbl>
    <w:p>
      <w:r>
        <w:br w:type="page"/>
      </w:r>
    </w:p>
    <w:p>
      <w:pPr>
        <w:pStyle w:val="Heading1"/>
      </w:pPr>
      <w:r>
        <w:t xml:space="preserve">5. Phase 2 — 보험사 반려/감액 대응 (13단계)</w:t>
      </w:r>
    </w:p>
    <w:p>
      <w:pPr>
        <w:spacing w:after="160"/>
      </w:pPr>
      <w:r>
        <w:t xml:space="preserve">보험사의 반려·감액·부지급 문서가 들어오면, 사유를 구조화하고 기존 약관·근거 자료와 비교해 반박 포인트를 생성한 뒤 손사서 초안을 v2로 업데이트한다. 6 / 7~8 / 10단계는 Phase 1 산출물(normalized_policy_clause.json, claim fields / page_chunks, draft_report_v1.md)을 그대로 재사용한다.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300"/>
        <w:gridCol w:w="25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컴포넌트</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핵심 산출물</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비고</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Insurer Response Intake → OCR → Redaction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insurer_response_result.json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Phase 1과 동일 스키마 재사용</w:t>
            </w:r>
          </w:p>
        </w:tc>
      </w:tr>
      <w:tr>
        <w:tc>
          <w:tcPr>
            <w:tcW w:type="dxa" w:w="7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4~5</w:t>
            </w:r>
          </w:p>
        </w:tc>
        <w:tc>
          <w:tcPr>
            <w:tcW w:type="dxa" w:w="28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Denial Reason Extraction → Taxonomy (P0)</w:t>
            </w:r>
          </w:p>
        </w:tc>
        <w:tc>
          <w:tcPr>
            <w:tcW w:type="dxa" w:w="33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denial_reason_result.json</w:t>
            </w:r>
          </w:p>
        </w:tc>
        <w:tc>
          <w:tcPr>
            <w:tcW w:type="dxa" w:w="256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R코드 분류, ※ Week 2 조기실행 (7장 참고)</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Policy-to-Denial Matching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policy_to_denial_matching_result.json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Phase 1 약관 정규화 결과 재사용</w:t>
            </w:r>
          </w:p>
        </w:tc>
      </w:tr>
      <w:tr>
        <w:tc>
          <w:tcPr>
            <w:tcW w:type="dxa" w:w="7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7~8</w:t>
            </w:r>
          </w:p>
        </w:tc>
        <w:tc>
          <w:tcPr>
            <w:tcW w:type="dxa" w:w="28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Evidence Retrieval → Validation</w:t>
            </w:r>
          </w:p>
        </w:tc>
        <w:tc>
          <w:tcPr>
            <w:tcW w:type="dxa" w:w="33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denial_validation_result.json</w:t>
            </w:r>
          </w:p>
        </w:tc>
        <w:tc>
          <w:tcPr>
            <w:tcW w:type="dxa" w:w="256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Phase 1 claim fields / page_chunks 재사용</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Rebuttal Point Generation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rebuttal_points.json / .md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감액사유별 반박 논거 후보</w:t>
            </w:r>
          </w:p>
        </w:tc>
      </w:tr>
      <w:tr>
        <w:tc>
          <w:tcPr>
            <w:tcW w:type="dxa" w:w="7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10</w:t>
            </w:r>
          </w:p>
        </w:tc>
        <w:tc>
          <w:tcPr>
            <w:tcW w:type="dxa" w:w="28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Draft Report Update</w:t>
            </w:r>
          </w:p>
        </w:tc>
        <w:tc>
          <w:tcPr>
            <w:tcW w:type="dxa" w:w="330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draft_report_v2.md</w:t>
            </w:r>
          </w:p>
        </w:tc>
        <w:tc>
          <w:tcPr>
            <w:tcW w:type="dxa" w:w="2560"/>
            <w:tcBorders>
              <w:top w:val="single" w:color="CCCCCC" w:sz="1"/>
              <w:left w:val="single" w:color="CCCCCC" w:sz="1"/>
              <w:bottom w:val="single" w:color="CCCCCC" w:sz="1"/>
              <w:right w:val="single" w:color="CCCCCC" w:sz="1"/>
            </w:tcBorders>
            <w:shd w:fill="FFF7EA" w:val="clear"/>
            <w:tcMar>
              <w:top w:type="dxa" w:w="80"/>
              <w:left w:type="dxa" w:w="120"/>
              <w:bottom w:type="dxa" w:w="80"/>
              <w:right w:type="dxa" w:w="120"/>
            </w:tcMar>
            <w:vAlign w:val="center"/>
          </w:tcPr>
          <w:p>
            <w:pPr>
              <w:jc w:val="left"/>
            </w:pPr>
            <w:r>
              <w:rPr>
                <w:b w:val="false"/>
                <w:bCs w:val="false"/>
                <w:sz w:val="20"/>
                <w:szCs w:val="20"/>
              </w:rPr>
              <w:t xml:space="preserve">Phase 1 draft_report_v1.md 재사용</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11~13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Critic → Human Review → Evaluation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evaluation_result.json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v2 기준 재평가</w:t>
            </w:r>
          </w:p>
        </w:tc>
      </w:tr>
    </w:tbl>
    <w:p>
      <w:r>
        <w:br w:type="page"/>
      </w:r>
    </w:p>
    <w:p>
      <w:pPr>
        <w:pStyle w:val="Heading1"/>
      </w:pPr>
      <w:r>
        <w:t xml:space="preserve">6. 구현 관점 — 7개 묶음 Agent</w:t>
      </w:r>
    </w:p>
    <w:p>
      <w:pPr>
        <w:spacing w:after="160"/>
      </w:pPr>
      <w:r>
        <w:t xml:space="preserve">3주 PoC에서 31개 컴포넌트를 그대로 각각 구현하면 관리가 어려워지므로, 강하게 연결된 기능끼리 7개 Agent로 묶어 시작한다.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묶음 Agent</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내부 컴포넌트</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담당 범위</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DocumentPipelineAgent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OCR, 가명처리, 문서분류, 전처리</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Phase 1 1~5단계</w:t>
            </w:r>
          </w:p>
        </w:tc>
      </w:tr>
      <w:tr>
        <w:tc>
          <w:tcPr>
            <w:tcW w:type="dxa" w:w="280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PolicyPipelineAgent</w:t>
            </w:r>
          </w:p>
        </w:tc>
        <w:tc>
          <w:tcPr>
            <w:tcW w:type="dxa" w:w="330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약관 처리, 조항 추출, 정규화</w:t>
            </w:r>
          </w:p>
        </w:tc>
        <w:tc>
          <w:tcPr>
            <w:tcW w:type="dxa" w:w="32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Phase 1 7~9단계</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ClaimAnalysisAgent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핵심항목 추출, 담보 식별, 사건유형, 요건매칭</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Phase 1 10~13단계</w:t>
            </w:r>
          </w:p>
        </w:tc>
      </w:tr>
      <w:tr>
        <w:tc>
          <w:tcPr>
            <w:tcW w:type="dxa" w:w="280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EvidenceValidationAgent</w:t>
            </w:r>
          </w:p>
        </w:tc>
        <w:tc>
          <w:tcPr>
            <w:tcW w:type="dxa" w:w="330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근거 검증, 불일치 탐지, hallucination check</w:t>
            </w:r>
          </w:p>
        </w:tc>
        <w:tc>
          <w:tcPr>
            <w:tcW w:type="dxa" w:w="32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Phase 1 14단계 + Phase 2 7~8단계</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DenialResponseAgent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반려사유 추출, taxonomy 분류, 약관 매칭, 반박 포인트</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Phase 2 1~9단계</w:t>
            </w:r>
          </w:p>
        </w:tc>
      </w:tr>
      <w:tr>
        <w:tc>
          <w:tcPr>
            <w:tcW w:type="dxa" w:w="280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ReportGenerationAgent</w:t>
            </w:r>
          </w:p>
        </w:tc>
        <w:tc>
          <w:tcPr>
            <w:tcW w:type="dxa" w:w="330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스크리닝 리포트, 손사서 초안 생성·업데이트</w:t>
            </w:r>
          </w:p>
        </w:tc>
        <w:tc>
          <w:tcPr>
            <w:tcW w:type="dxa" w:w="32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vAlign w:val="center"/>
          </w:tcPr>
          <w:p>
            <w:pPr>
              <w:jc w:val="left"/>
            </w:pPr>
            <w:r>
              <w:rPr>
                <w:b w:val="false"/>
                <w:bCs w:val="false"/>
                <w:sz w:val="20"/>
                <w:szCs w:val="20"/>
              </w:rPr>
              <w:t xml:space="preserve">Phase 1 15~16단계 + Phase 2 10단계</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CriticEvaluationAgent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금지 표현 탐지, 평가, 실패 유형 기록</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Phase 1 17~18단계 + Phase 2 11~13단계</w:t>
            </w:r>
          </w:p>
        </w:tc>
      </w:tr>
    </w:tbl>
    <w:p>
      <w:r>
        <w:br w:type="page"/>
      </w:r>
    </w:p>
    <w:p>
      <w:pPr>
        <w:pStyle w:val="Heading1"/>
      </w:pPr>
      <w:r>
        <w:t xml:space="preserve">7. 설계상 의도된 예외 — Denial Reason “Week 2 조기실행”</w:t>
      </w:r>
    </w:p>
    <w:p>
      <w:pPr>
        <w:spacing w:after="160"/>
      </w:pPr>
      <w:r>
        <w:t xml:space="preserve">파이프라인 다이어그램을 보면 Phase 2 소속인 Denial Reason 추출이 Phase 1의 15단계(Screening Report)로 화살표를 보내는 부분이 있다. 이 부분은 설계가 바뀐 게 아니라 PoC의 데이터 조건 때문에 생긴 실행상의 예외이므로, 질문이 나올 것을 대비해 먼저 짚어주는 것이 좋다.</w:t>
      </w:r>
    </w:p>
    <w:p>
      <w:pPr>
        <w:pStyle w:val="Heading3"/>
      </w:pPr>
      <w:r>
        <w:t xml:space="preserve">설계(아키텍처) 기준</w:t>
      </w:r>
    </w:p>
    <w:p>
      <w:pPr>
        <w:spacing w:after="160"/>
      </w:pPr>
      <w:r>
        <w:t xml:space="preserve">Denial Reason 추출은 Phase 2 소속이다. 실제 운영에서는 보험사가 반려·감액 통지서를 나중에 보내오므로, Phase 1이 끝난 뒤 별도 트리거로 Phase 2가 실행된다.</w:t>
      </w:r>
    </w:p>
    <w:p>
      <w:pPr>
        <w:pStyle w:val="Heading3"/>
      </w:pPr>
      <w:r>
        <w:t xml:space="preserve">PoC 실행 기준</w:t>
      </w:r>
    </w:p>
    <w:p>
      <w:pPr>
        <w:spacing w:after="160"/>
      </w:pPr>
      <w:r>
        <w:t xml:space="preserve">이번 3주 PoC는 이미 결론이 난 종결 케이스를 입력으로 쓴다. 즉 보험사 안내문이 처음부터 케이스 팩 안에 들어 있다. 스크리닝 리포트 템플릿 §2(“보험사 판단”)가 감액사유를 요구하기 때문에, 문서가 이미 존재하는 이 PoC 환경에서는 Denial Reason 추출을 Week 2(스크리닝 단계)에 미리 실행해 리포트를 채운다.</w:t>
      </w:r>
    </w:p>
    <w:p>
      <w:pPr>
        <w:pBdr>
          <w:left w:val="single" w:color="C99A1E" w:sz="12" w:space="8"/>
        </w:pBdr>
        <w:spacing w:after="160" w:before="80"/>
      </w:pPr>
      <w:r>
        <w:rPr>
          <w:i/>
          <w:iCs/>
          <w:color w:val="676C7E"/>
          <w:sz w:val="20"/>
          <w:szCs w:val="20"/>
        </w:rPr>
        <w:t xml:space="preserve">정리: “Week 2 당김”은 아키텍처 변경이 아니라, PoC가 종결 케이스(모든 문서가 처음부터 갖춰짐)를 다루기 때문에 생긴 실행 순서상의 예외다. 실제 운영 환경으로 넘어가면 이 단계는 다시 Phase 2 시점으로 돌아간다.</w:t>
      </w:r>
    </w:p>
    <w:p>
      <w:pPr>
        <w:pStyle w:val="Heading1"/>
      </w:pPr>
      <w:r>
        <w:t xml:space="preserve">8. 3주 일정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주차</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범위</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필수 산출물</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Week 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Case Intake → OCR → Redaction → 분류 → 핵심항목 추출</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manifest, ocr_result, classification_result, extracted_claim_fields</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Week 2</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약관 처리 → 담보 식별 → 사건유형 분류 → 요건매칭 → 근거검증 → 감액사유 추출(조기실행) → 스크리닝 리포트</w:t>
            </w:r>
          </w:p>
        </w:tc>
        <w:tc>
          <w:tcPr>
            <w:tcW w:type="dxa" w:w="3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normalized_policy_clause, coverage_result, requirement_matching_result, evidence_validation_result, denial_reason_result, screening_report.md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Week 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반박 포인트 → 초안 v1/v2 → Critic → Human Review → 평가</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rebuttal_points, draft_report_v1/v2.md, critic_result, evaluation_result</w:t>
            </w:r>
          </w:p>
        </w:tc>
      </w:tr>
    </w:tbl>
    <w:p>
      <w:pPr>
        <w:pStyle w:val="Heading1"/>
      </w:pPr>
      <w:r>
        <w:t xml:space="preserve">9. 우선순위</w:t>
      </w:r>
    </w:p>
    <w:p>
      <w:pPr>
        <w:pStyle w:val="ListParagraph"/>
        <w:numPr>
          <w:ilvl w:val="0"/>
          <w:numId w:val="3"/>
        </w:numPr>
        <w:spacing w:after="80"/>
      </w:pPr>
      <w:r>
        <w:t xml:space="preserve">P0 (필수): OCR/텍스트 추출, 문서 유형 분류, 핵심항목 추출, 청구담보 추출, 부지급·감액사유 추출, 사건 유형 분류</w:t>
      </w:r>
    </w:p>
    <w:p>
      <w:pPr>
        <w:pStyle w:val="ListParagraph"/>
        <w:numPr>
          <w:ilvl w:val="0"/>
          <w:numId w:val="3"/>
        </w:numPr>
        <w:spacing w:after="80"/>
      </w:pPr>
      <w:r>
        <w:t xml:space="preserve">P1: 문서 간 불일치 탐지, 약관 조항 후보 매핑, 반박 포인트 생성, 손사서 초안 구조·v1/v2 작성</w:t>
      </w:r>
    </w:p>
    <w:p>
      <w:pPr>
        <w:pStyle w:val="ListParagraph"/>
        <w:numPr>
          <w:ilvl w:val="0"/>
          <w:numId w:val="3"/>
        </w:numPr>
        <w:spacing w:after="80"/>
      </w:pPr>
      <w:r>
        <w:t xml:space="preserve">Optional/보류: 벡터 인덱싱 — 케이스 수가 적은 지금은 직접 프롬프팅/BM25로 시작</w:t>
      </w:r>
    </w:p>
    <w:p>
      <w:r>
        <w:br w:type="page"/>
      </w:r>
    </w:p>
    <w:p>
      <w:pPr>
        <w:pStyle w:val="Heading1"/>
      </w:pPr>
      <w:r>
        <w:t xml:space="preserve">10. 평가 기준</w:t>
      </w:r>
    </w:p>
    <w:p>
      <w:pPr>
        <w:pStyle w:val="Heading3"/>
      </w:pPr>
      <w:r>
        <w:t xml:space="preserve">정량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항목</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3주 PoC 목표</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핵심항목 추출 정확도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80% 이상</w:t>
            </w:r>
          </w:p>
        </w:tc>
      </w:tr>
      <w:tr>
        <w:tc>
          <w:tcPr>
            <w:tcW w:type="dxa" w:w="5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청구담보 추출 정확도</w:t>
            </w:r>
          </w:p>
        </w:tc>
        <w:tc>
          <w:tcPr>
            <w:tcW w:type="dxa" w:w="3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75% 이상</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감액사유 Top-3 일치율</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75% 이상</w:t>
            </w:r>
          </w:p>
        </w:tc>
      </w:tr>
      <w:tr>
        <w:tc>
          <w:tcPr>
            <w:tcW w:type="dxa" w:w="5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사건 유형 분류 정확도</w:t>
            </w:r>
          </w:p>
        </w:tc>
        <w:tc>
          <w:tcPr>
            <w:tcW w:type="dxa" w:w="3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80% 이상</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약관 조항 Top-3 포함률</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60~70% 이상</w:t>
            </w:r>
          </w:p>
        </w:tc>
      </w:tr>
      <w:tr>
        <w:tc>
          <w:tcPr>
            <w:tcW w:type="dxa" w:w="5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손사서 초안 생성 성공률</w:t>
            </w:r>
          </w:p>
        </w:tc>
        <w:tc>
          <w:tcPr>
            <w:tcW w:type="dxa" w:w="3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sz w:val="20"/>
                <w:szCs w:val="20"/>
              </w:rPr>
              <w:t xml:space="preserve">70% 이상</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케이스당 처리 시간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10분 이내</w:t>
            </w:r>
          </w:p>
        </w:tc>
      </w:tr>
    </w:tbl>
    <w:p>
      <w:pPr>
        <w:pStyle w:val="Heading3"/>
      </w:pPr>
      <w:r>
        <w:t xml:space="preserve">정성 기준</w:t>
      </w:r>
    </w:p>
    <w:p>
      <w:pPr>
        <w:pStyle w:val="ListParagraph"/>
        <w:numPr>
          <w:ilvl w:val="0"/>
          <w:numId w:val="3"/>
        </w:numPr>
        <w:spacing w:after="80"/>
      </w:pPr>
      <w:r>
        <w:t xml:space="preserve">손해사정사: 쟁점이 실무적으로 맞는가 / 약관 매핑이 검토 출발점으로 쓸 만한가 / 반박 논리가 실제 손사서에 반영 가능한가</w:t>
      </w:r>
    </w:p>
    <w:p>
      <w:pPr>
        <w:pStyle w:val="ListParagraph"/>
        <w:numPr>
          <w:ilvl w:val="0"/>
          <w:numId w:val="3"/>
        </w:numPr>
        <w:spacing w:after="80"/>
      </w:pPr>
      <w:r>
        <w:t xml:space="preserve">의사(교수) 검수: 의료적 표현이 과장되지 않았는가 / 의무기록 기반 검수 포인트가 잘 잡혔는가</w:t>
      </w:r>
    </w:p>
    <w:p>
      <w:pPr>
        <w:pStyle w:val="Heading3"/>
      </w:pPr>
      <w:r>
        <w:t xml:space="preserve">Go / No-Go</w:t>
      </w:r>
    </w:p>
    <w:p>
      <w:pPr>
        <w:spacing w:after="160"/>
      </w:pPr>
      <w:r>
        <w:t xml:space="preserve">Go: 스크리닝 리포트가 전문가 검토의 출발점으로 쓸 만하고, 청구담보·감액사유 추출이 대체로 맞으며, 손사서 초안이 백지 작성보다 시간을 줄이고, 실패 유형이 명확하고 개선 가능할 때.</w:t>
      </w:r>
    </w:p>
    <w:p>
      <w:pPr>
        <w:spacing w:after="160"/>
      </w:pPr>
      <w:r>
        <w:t xml:space="preserve">No-Go: OCR 품질 문제로 문서 이해가 거의 불가능하거나, 청구담보·감액사유가 반복적으로 틀리거나, 초안의 환각이 많아 검수 비용이 오히려 늘거나, 전문가가 “실무 보조도구로 쓰기 어렵다”고 평가할 때.</w:t>
      </w:r>
    </w:p>
    <w:p>
      <w:pPr>
        <w:pStyle w:val="Heading1"/>
      </w:pPr>
      <w:r>
        <w:t xml:space="preserve">11. 현재 진행 상황과 남은 갭</w:t>
      </w:r>
    </w:p>
    <w:p>
      <w:pPr>
        <w:spacing w:after="160"/>
      </w:pPr>
      <w:r>
        <w:t xml:space="preserve">설계 문서를 다듬는 과정에서 발견된 모순 2건은 이미 해소됐고, 갭 1건도 반영 완료됐다. 남은 것은 케이스 단위 평가를 전체로 집계하는 부분이다 — 이 점을 먼저 밝히면 프로젝트의 자기 점검 수준을 보여줄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내용</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상태</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모순 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초안에 사건 유형 분류가 누락됨</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해소 — Phase 1 12번으로 추가</w:t>
            </w:r>
          </w:p>
        </w:tc>
      </w:tr>
      <w:tr>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b w:val="false"/>
                <w:bCs w:val="false"/>
                <w:sz w:val="20"/>
                <w:szCs w:val="20"/>
              </w:rPr>
              <w:t xml:space="preserve">모순 2</w:t>
            </w:r>
          </w:p>
        </w:tc>
        <w:tc>
          <w:tcPr>
            <w:tcW w:type="dxa" w:w="5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b w:val="false"/>
                <w:bCs w:val="false"/>
                <w:sz w:val="20"/>
                <w:szCs w:val="20"/>
              </w:rPr>
              <w:t xml:space="preserve">감액사유 추출이 Week 3으로 밀려 스크리닝에 못 씀</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b w:val="false"/>
                <w:bCs w:val="false"/>
                <w:sz w:val="20"/>
                <w:szCs w:val="20"/>
              </w:rPr>
              <w:t xml:space="preserve">해소 — Week 2로 조기실행</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갭 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screening_report에 “1차 판단” 필드 없음</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해소 — preliminary_assessment 필수 필드로 반영</w:t>
            </w:r>
          </w:p>
        </w:tc>
      </w:tr>
      <w:tr>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b w:val="false"/>
                <w:bCs w:val="false"/>
                <w:sz w:val="20"/>
                <w:szCs w:val="20"/>
              </w:rPr>
              <w:t xml:space="preserve">갭 2</w:t>
            </w:r>
          </w:p>
        </w:tc>
        <w:tc>
          <w:tcPr>
            <w:tcW w:type="dxa" w:w="5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b w:val="false"/>
                <w:bCs w:val="false"/>
                <w:sz w:val="20"/>
                <w:szCs w:val="20"/>
              </w:rPr>
              <w:t xml:space="preserve">평가가 케이스 단위뿐, 전체 집계가 없음</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b w:val="false"/>
                <w:bCs w:val="false"/>
                <w:sz w:val="20"/>
                <w:szCs w:val="20"/>
              </w:rPr>
              <w:t xml:space="preserve">미해결 — Week 3에 evaluation_summary.json 집계 단계 추가 예정</w:t>
            </w:r>
          </w:p>
        </w:tc>
      </w:tr>
    </w:tbl>
    <w:p>
      <w:r>
        <w:br w:type="page"/>
      </w:r>
    </w:p>
    <w:p>
      <w:pPr>
        <w:pStyle w:val="Heading1"/>
      </w:pPr>
      <w:r>
        <w:t xml:space="preserve">12. 교수님께 설명할 때 권장 순서</w:t>
      </w:r>
    </w:p>
    <w:p>
      <w:pPr>
        <w:pStyle w:val="ListParagraph"/>
        <w:numPr>
          <w:ilvl w:val="0"/>
          <w:numId w:val="2"/>
        </w:numPr>
        <w:spacing w:after="100"/>
      </w:pPr>
      <w:r>
        <w:t xml:space="preserve">왜 필요한가 — 독립손해사정사가 스크리닝·약관 매핑·반박 포인트·손사서 초안까지 반복적으로 시간을 쓰는 실무를, 기존 모델 조합으로 보조할 수 있는지 검증하는 3주 PoC임을 먼저 밝힌다.</w:t>
      </w:r>
    </w:p>
    <w:p>
      <w:pPr>
        <w:pStyle w:val="ListParagraph"/>
        <w:numPr>
          <w:ilvl w:val="0"/>
          <w:numId w:val="2"/>
        </w:numPr>
        <w:spacing w:after="100"/>
      </w:pPr>
      <w:r>
        <w:t xml:space="preserve">파이프라인을 읽는 3가지 관점(업무 흐름 / 구현 / 데이터)을 먼저 제시해 전체 그림의 “목차”를 보여준다.</w:t>
      </w:r>
    </w:p>
    <w:p>
      <w:pPr>
        <w:pStyle w:val="ListParagraph"/>
        <w:numPr>
          <w:ilvl w:val="0"/>
          <w:numId w:val="2"/>
        </w:numPr>
        <w:spacing w:after="100"/>
      </w:pPr>
      <w:r>
        <w:t xml:space="preserve">Phase 1 → Phase 2 순서로 데이터 흐름을 설명하며, P0로 표시된 단계가 왜 우선순위가 높은지(정량 평가 기준이 걸려 있음) 짚는다.</w:t>
      </w:r>
    </w:p>
    <w:p>
      <w:pPr>
        <w:pStyle w:val="ListParagraph"/>
        <w:numPr>
          <w:ilvl w:val="0"/>
          <w:numId w:val="2"/>
        </w:numPr>
        <w:spacing w:after="100"/>
      </w:pPr>
      <w:r>
        <w:t xml:space="preserve">18(+13)개 컴포넌트를 왜 7개 Agent로 묶었는지 설명한다 — 3주 PoC에서 지나친 세분화는 관리 부담이 크다는 실무적 이유.</w:t>
      </w:r>
    </w:p>
    <w:p>
      <w:pPr>
        <w:pStyle w:val="ListParagraph"/>
        <w:numPr>
          <w:ilvl w:val="0"/>
          <w:numId w:val="2"/>
        </w:numPr>
        <w:spacing w:after="100"/>
      </w:pPr>
      <w:r>
        <w:t xml:space="preserve">Denial Reason “Week 2 조기실행” 같은 설계상 예외를 먼저 짚어, 다이어그램의 역방향 화살표에 대한 질문을 선제적으로 방어한다.</w:t>
      </w:r>
    </w:p>
    <w:p>
      <w:pPr>
        <w:pStyle w:val="ListParagraph"/>
        <w:numPr>
          <w:ilvl w:val="0"/>
          <w:numId w:val="2"/>
        </w:numPr>
        <w:spacing w:after="100"/>
      </w:pPr>
      <w:r>
        <w:t xml:space="preserve">정량·정성 평가 기준과 Go/No-Go 조건을 제시해 “무엇을 성공으로 볼 것인가”를 명확히 한다.</w:t>
      </w:r>
    </w:p>
    <w:p>
      <w:pPr>
        <w:pStyle w:val="ListParagraph"/>
        <w:numPr>
          <w:ilvl w:val="0"/>
          <w:numId w:val="2"/>
        </w:numPr>
        <w:spacing w:after="100"/>
      </w:pPr>
      <w:r>
        <w:t xml:space="preserve">현재 해소된 모순·갭과 남은 갭(집계 평가)을 밝혀 프로젝트의 진행 상태와 자기 점검 수준을 보여주며 마무리한다.</w:t>
      </w:r>
    </w:p>
    <w:p>
      <w:pPr>
        <w:pStyle w:val="Heading1"/>
      </w:pPr>
      <w:r>
        <w:t xml:space="preserve">13. 참고 자료</w:t>
      </w:r>
    </w:p>
    <w:p>
      <w:pPr>
        <w:spacing w:after="160"/>
      </w:pPr>
      <w:r>
        <w:t xml:space="preserve">실제 노드·엣지가 표시된 Mermaid 다이어그램(Phase 1 / Phase 2 / 7개 Agent 구현 묶음)은 별도 파일 insurance_claim_pipeline.md에 있다 — mermaid.live에 붙여넣으면 바로 렌더링된다.</w:t>
      </w:r>
    </w:p>
    <w:p>
      <w:pPr>
        <w:pStyle w:val="ListParagraph"/>
        <w:numPr>
          <w:ilvl w:val="0"/>
          <w:numId w:val="3"/>
        </w:numPr>
        <w:spacing w:after="80"/>
      </w:pPr>
      <w:r>
        <w:t xml:space="preserve">wiki/pipeline.md — 파이프라인 구조 원본</w:t>
      </w:r>
    </w:p>
    <w:p>
      <w:pPr>
        <w:pStyle w:val="ListParagraph"/>
        <w:numPr>
          <w:ilvl w:val="0"/>
          <w:numId w:val="3"/>
        </w:numPr>
        <w:spacing w:after="80"/>
      </w:pPr>
      <w:r>
        <w:t xml:space="preserve">wiki/overview.md — PoC 정의·핵심 질문</w:t>
      </w:r>
    </w:p>
    <w:p>
      <w:pPr>
        <w:pStyle w:val="ListParagraph"/>
        <w:numPr>
          <w:ilvl w:val="0"/>
          <w:numId w:val="3"/>
        </w:numPr>
        <w:spacing w:after="80"/>
      </w:pPr>
      <w:r>
        <w:t xml:space="preserve">wiki/answers/pipeline-understanding-and-gap-plan.md — 3가지 관점 프레임과 갭 해결 계획</w:t>
      </w:r>
    </w:p>
    <w:p>
      <w:pPr>
        <w:pStyle w:val="ListParagraph"/>
        <w:numPr>
          <w:ilvl w:val="0"/>
          <w:numId w:val="3"/>
        </w:numPr>
        <w:spacing w:after="80"/>
      </w:pPr>
      <w:r>
        <w:t xml:space="preserve">wiki/evaluation/metrics.md, wiki/evaluation/go-no-go.md — 평가 기준</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손해사정 Agent Harness PoC — 파이프라인 설명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1F3864"/>
      <w:sz w:val="26"/>
      <w:szCs w:val="26"/>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3B6F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2026-07-08T02:26:23.338Z</dcterms:created>
  <dcterms:modified xsi:type="dcterms:W3CDTF">2026-07-08T02:26:23.338Z</dcterms:modified>
</cp:coreProperties>
</file>

<file path=docProps/custom.xml><?xml version="1.0" encoding="utf-8"?>
<Properties xmlns="http://schemas.openxmlformats.org/officeDocument/2006/custom-properties" xmlns:vt="http://schemas.openxmlformats.org/officeDocument/2006/docPropsVTypes"/>
</file>