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Abstract</w:t>
      </w:r>
    </w:p>
    <w:p>
      <w:pPr>
        <w:pStyle w:val="Subtitle"/>
      </w:pPr>
      <w:r>
        <w:t xml:space="preserve">Aïda Traore, Natalie Olson, Jean-Pierre Moles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Write your background/introduction here!</w:t>
      </w:r>
    </w:p>
    <w:p>
      <w:pPr>
        <w:pStyle w:val="BodyText"/>
      </w:pPr>
      <w:r>
        <w:t xml:space="preserve">You can cite papers from Zotero using</w:t>
      </w:r>
      <w:r>
        <w:t xml:space="preserve"> </w:t>
      </w:r>
      <w:r>
        <w:t xml:space="preserve">(Olmstead et al. 2015)</w:t>
      </w:r>
      <w:r>
        <w:t xml:space="preserve"> </w:t>
      </w:r>
      <w:r>
        <w:t xml:space="preserve">for example.</w:t>
      </w:r>
      <w:r>
        <w:t xml:space="preserve"> </w:t>
      </w:r>
      <w:r>
        <w:t xml:space="preserve">(</w:t>
      </w:r>
      <w:r>
        <w:rPr>
          <w:i/>
          <w:iCs/>
        </w:rPr>
        <w:t xml:space="preserve">4 SÉROTYPES DU VIRUS DE LA DENGUE ET LEURS DIFFÉRENCES</w:t>
      </w:r>
      <w:r>
        <w:rPr>
          <w:i/>
          <w:iCs/>
        </w:rPr>
        <w:t xml:space="preserve"> </w:t>
      </w:r>
      <w:r>
        <w:rPr>
          <w:i/>
          <w:iCs/>
        </w:rPr>
        <w:t xml:space="preserve">Isotekindo</w:t>
      </w:r>
      <w:r>
        <w:t xml:space="preserve">, n.d.)</w:t>
      </w:r>
    </w:p>
    <w:bookmarkEnd w:id="9"/>
    <w:bookmarkStart w:id="13" w:name="methods"/>
    <w:p>
      <w:pPr>
        <w:pStyle w:val="Heading2"/>
      </w:pPr>
      <w:r>
        <w:t xml:space="preserve">Methods</w:t>
      </w:r>
    </w:p>
    <w:bookmarkStart w:id="10" w:name="cadre-de-létude"/>
    <w:p>
      <w:pPr>
        <w:pStyle w:val="Heading4"/>
      </w:pPr>
      <w:r>
        <w:t xml:space="preserve">Cadre de l’étude</w:t>
      </w:r>
    </w:p>
    <w:p>
      <w:pPr>
        <w:pStyle w:val="FirstParagraph"/>
      </w:pPr>
      <w:r>
        <w:t xml:space="preserve">La région de Djôrô (ex Sud-Ouest) est l’une des 17 régions administratives du Burkina Faso. Située dans la partie Sud-Ouest du pays, elle couvre environ 16 317 Km² et partage des frontières avec le Ghana et la Côte d’Ivoire. Elle comprend 4 provinces: la Bougouriba, le Ioba, le Noumbiel et le Poni et 28 départements. Elle compte 4 communes urbaines, 24 communes rurales et 1084 villages. La population totale estimée en 2024 est de 986 700 habitants avec une densité de 61 hab./km2 (wikipedia) CARTE DU BF.</w:t>
      </w:r>
    </w:p>
    <w:bookmarkEnd w:id="10"/>
    <w:bookmarkStart w:id="11" w:name="type-et-période-de-létude"/>
    <w:p>
      <w:pPr>
        <w:pStyle w:val="Heading4"/>
      </w:pPr>
      <w:r>
        <w:t xml:space="preserve">Type et période de l’étude</w:t>
      </w:r>
    </w:p>
    <w:p>
      <w:pPr>
        <w:pStyle w:val="FirstParagraph"/>
      </w:pPr>
      <w:r>
        <w:t xml:space="preserve">Il s’agissait d’une étude rétrospective utilisant les données issues du projet ANRS REVERSO 1 mené en 2020 dans les ménages de la région de Djôrô (ex Sud-Ouest) Burkina Faso.</w:t>
      </w:r>
    </w:p>
    <w:bookmarkEnd w:id="11"/>
    <w:bookmarkStart w:id="12" w:name="population-détude-et-diagnostic-du-vhc"/>
    <w:p>
      <w:pPr>
        <w:pStyle w:val="Heading4"/>
      </w:pPr>
      <w:r>
        <w:t xml:space="preserve">Population d’étude et Diagnostic du VHC</w:t>
      </w:r>
    </w:p>
    <w:p>
      <w:pPr>
        <w:pStyle w:val="FirstParagraph"/>
      </w:pPr>
      <w:r>
        <w:t xml:space="preserve">L’etude a été menée auprès des ménages (foyer) dans la région de Djôrô. Le dépistage de l’hépatite C a été réalisé à l’aide des tests de diagnostic rapides (TDR) de détection des anticorps anti-VHC. Ce test a été réalisé sur place par les agents préleveurs de l’équipe d’enquête qui se déplaçaient dans les ménages pour l’étude. Le test a été réalisé suivant les procédures de l’étude en conformité avec les instructions du fabricant (cf. SOP Dépistage VHC par TDR). Les sujets dépistés anti-VHC+ par TDR, un prélèvement de type Whatman 903 (Dried Blood Spots (DBS)) a été utilisé. Le prélèvement DBS s’est fait au bout du doigt pour les adultes et enfants de plus de 2 ans et au talon pour les enfants de moins de 2 ans. Chez chaque sujet, au moins trois gouttes de sang (idéalement 5 gouttes) ont été recueillies sur une carte de papier buvard en raison d’une goutte dans chaque cercle de la carte. Après le prélèvement, les gouttes de sang ont été séchées à température ambiante pendant au moins trois heures en plaçant horizontalement la carte DBS sur une surface plane.Tous les DBS anti-VHC+ reçus au Laboratoire de Virologie du Centre MURAZ ont été immédiatement stockés à -20°C dès leur réception en attendant la réalisation du test de confirmation VHC. Aussi, après analyses, les DBS sont immédiatement remis en conservation à -20°C. L’ensemble de ces procédures sont décrites dans les SOP de laboratoire de l’étude.</w:t>
      </w:r>
    </w:p>
    <w:bookmarkEnd w:id="12"/>
    <w:bookmarkEnd w:id="13"/>
    <w:bookmarkStart w:id="14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Write your results/discussion here!</w:t>
      </w:r>
    </w:p>
    <w:p>
      <w:pPr>
        <w:pStyle w:val="BodyText"/>
      </w:pPr>
      <w:r>
        <w:t xml:space="preserve">You can include figures using</w:t>
      </w:r>
      <w:r>
        <w:t xml:space="preserve"> </w:t>
      </w:r>
      <w:r>
        <w:t xml:space="preserve">HCV Structure</w:t>
      </w:r>
    </w:p>
    <w:bookmarkEnd w:id="14"/>
    <w:bookmarkStart w:id="15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Write your abstract here!</w:t>
      </w:r>
    </w:p>
    <w:bookmarkEnd w:id="15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7" w:name="ref-4séroty"/>
    <w:p>
      <w:pPr>
        <w:pStyle w:val="Bibliography"/>
      </w:pPr>
      <w:r>
        <w:rPr>
          <w:i/>
          <w:iCs/>
        </w:rPr>
        <w:t xml:space="preserve">4 SÉROTYPES DU VIRUS DE LA DENGUE ET LEURS DIFFÉRENCES</w:t>
      </w:r>
      <w:r>
        <w:rPr>
          <w:i/>
          <w:iCs/>
        </w:rPr>
        <w:t xml:space="preserve"> </w:t>
      </w:r>
      <w:r>
        <w:rPr>
          <w:i/>
          <w:iCs/>
        </w:rPr>
        <w:t xml:space="preserve">Isotekindo</w:t>
      </w:r>
      <w:r>
        <w:t xml:space="preserve">. n.d.</w:t>
      </w:r>
      <w:r>
        <w:t xml:space="preserve"> </w:t>
      </w:r>
      <w:hyperlink r:id="rId16">
        <w:r>
          <w:rPr>
            <w:rStyle w:val="Hyperlink"/>
          </w:rPr>
          <w:t xml:space="preserve">https://www.isotekindo.co.id/article/details/371</w:t>
        </w:r>
      </w:hyperlink>
      <w:r>
        <w:t xml:space="preserve">.</w:t>
      </w:r>
    </w:p>
    <w:bookmarkEnd w:id="17"/>
    <w:bookmarkStart w:id="19" w:name="ref-olmstead2015"/>
    <w:p>
      <w:pPr>
        <w:pStyle w:val="Bibliography"/>
      </w:pPr>
      <w:r>
        <w:t xml:space="preserve">Olmstead, Andrea D., Jeffrey B. Joy, Vincent Montoya, et al. 2015.</w:t>
      </w:r>
      <w:r>
        <w:t xml:space="preserve"> </w:t>
      </w:r>
      <w:r>
        <w:t xml:space="preserve">“A Molecular Phylogenetics-Based Approach for Identifying Recent Hepatitis c Virus Transmission Events.”</w:t>
      </w:r>
      <w:r>
        <w:t xml:space="preserve"> </w:t>
      </w:r>
      <w:r>
        <w:rPr>
          <w:i/>
          <w:iCs/>
        </w:rPr>
        <w:t xml:space="preserve">Infection, Genetics and Evolution</w:t>
      </w:r>
      <w:r>
        <w:t xml:space="preserve"> </w:t>
      </w:r>
      <w:r>
        <w:t xml:space="preserve">33 (July): 101–9.</w:t>
      </w:r>
      <w:r>
        <w:t xml:space="preserve"> </w:t>
      </w:r>
      <w:hyperlink r:id="rId18">
        <w:r>
          <w:rPr>
            <w:rStyle w:val="Hyperlink"/>
          </w:rPr>
          <w:t xml:space="preserve">https://doi.org/10.1016/j.meegid.2015.04.017</w:t>
        </w:r>
      </w:hyperlink>
      <w:r>
        <w:t xml:space="preserve">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doi.org/10.1016/j.meegid.2015.04.017" TargetMode="External" /><Relationship Type="http://schemas.openxmlformats.org/officeDocument/2006/relationships/hyperlink" Id="rId16" Target="https://www.isotekindo.co.id/article/details/37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oi.org/10.1016/j.meegid.2015.04.017" TargetMode="External" /><Relationship Type="http://schemas.openxmlformats.org/officeDocument/2006/relationships/hyperlink" Id="rId16" Target="https://www.isotekindo.co.id/article/details/37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</dc:title>
  <dc:creator/>
  <cp:keywords/>
  <dcterms:created xsi:type="dcterms:W3CDTF">2026-05-29T13:26:59Z</dcterms:created>
  <dcterms:modified xsi:type="dcterms:W3CDTF">2026-05-29T13:26:59Z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rmd/references.bib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output">
    <vt:lpwstr/>
  </property>
  <property fmtid="{D5CDD505-2E9C-101B-9397-08002B2CF9AE}" pid="10" name="subtitle">
    <vt:lpwstr>Aïda Traore, Natalie Olson, Jean-Pierre Moles</vt:lpwstr>
  </property>
  <property fmtid="{D5CDD505-2E9C-101B-9397-08002B2CF9AE}" pid="11" name="toc-title">
    <vt:lpwstr>Table of contents</vt:lpwstr>
  </property>
</Properties>
</file>