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HR Analytics Database System</w:t>
      </w:r>
    </w:p>
    <w:p>
      <w:pPr>
        <w:spacing w:after="120" w:before="0"/>
        <w:jc w:val="center"/>
      </w:pPr>
      <w:r>
        <w:rPr>
          <w:rFonts w:ascii="Arial" w:cs="Arial" w:eastAsia="Arial" w:hAnsi="Arial"/>
          <w:i/>
          <w:iCs/>
          <w:color w:val="2E75B6"/>
          <w:sz w:val="32"/>
          <w:szCs w:val="32"/>
        </w:rPr>
        <w:t xml:space="preserve">AI-Powered Employee Attrition Analysis</w:t>
      </w:r>
    </w:p>
    <w:p>
      <w:pPr>
        <w:spacing w:after="120" w:before="480"/>
        <w:jc w:val="center"/>
      </w:pPr>
      <w:r>
        <w:rPr>
          <w:rFonts w:ascii="Arial" w:cs="Arial" w:eastAsia="Arial" w:hAnsi="Arial"/>
          <w:b/>
          <w:bCs/>
          <w:color w:val="404040"/>
          <w:sz w:val="28"/>
          <w:szCs w:val="28"/>
        </w:rPr>
        <w:t xml:space="preserve">Technical Report</w:t>
      </w:r>
    </w:p>
    <w:p>
      <w:pPr>
        <w:spacing w:after="120" w:before="720"/>
        <w:jc w:val="center"/>
      </w:pPr>
      <w:r>
        <w:rPr>
          <w:rFonts w:ascii="Arial" w:cs="Arial" w:eastAsia="Arial" w:hAnsi="Arial"/>
          <w:color w:val="666666"/>
          <w:sz w:val="24"/>
          <w:szCs w:val="24"/>
        </w:rPr>
        <w:t xml:space="preserve">Databases Course • Final Project</w:t>
      </w:r>
    </w:p>
    <w:p>
      <w:pPr>
        <w:spacing w:after="120" w:before="120"/>
        <w:jc w:val="center"/>
      </w:pPr>
      <w:r>
        <w:rPr>
          <w:rFonts w:ascii="Arial" w:cs="Arial" w:eastAsia="Arial" w:hAnsi="Arial"/>
          <w:color w:val="666666"/>
          <w:sz w:val="22"/>
          <w:szCs w:val="22"/>
        </w:rPr>
        <w:t xml:space="preserve">Lecturer: Nargiza Zhumalieva</w:t>
      </w:r>
    </w:p>
    <w:p>
      <w:pPr>
        <w:spacing w:after="120" w:before="120"/>
        <w:jc w:val="center"/>
      </w:pPr>
      <w:r>
        <w:rPr>
          <w:rFonts w:ascii="Arial" w:cs="Arial" w:eastAsia="Arial" w:hAnsi="Arial"/>
          <w:color w:val="666666"/>
          <w:sz w:val="22"/>
          <w:szCs w:val="22"/>
        </w:rPr>
        <w:t xml:space="preserve">April 2026</w:t>
      </w:r>
    </w:p>
    <w:p>
      <w:r>
        <w:br w:type="page"/>
      </w:r>
    </w:p>
    <w:p>
      <w:pPr>
        <w:pStyle w:val="Heading1"/>
        <w:spacing w:after="160" w:before="360"/>
      </w:pPr>
      <w:r>
        <w:rPr>
          <w:rFonts w:ascii="Arial" w:cs="Arial" w:eastAsia="Arial" w:hAnsi="Arial"/>
          <w:b/>
          <w:bCs/>
          <w:color w:val="1F4E79"/>
          <w:sz w:val="32"/>
          <w:szCs w:val="32"/>
        </w:rPr>
        <w:t xml:space="preserve">Abstract</w:t>
      </w:r>
    </w:p>
    <w:p>
      <w:pPr>
        <w:spacing w:after="120" w:before="80" w:line="360"/>
        <w:jc w:val="both"/>
      </w:pPr>
      <w:r>
        <w:rPr>
          <w:rFonts w:ascii="Arial" w:cs="Arial" w:eastAsia="Arial" w:hAnsi="Arial"/>
          <w:sz w:val="22"/>
          <w:szCs w:val="22"/>
        </w:rPr>
        <w:t xml:space="preserve">This report documents the design and implementation of a relational database system built on the IBM HR Analytics dataset. The core objective was to understand the factors driving employee attrition across a fictional organization of 1,470 employees. We structured the data into a normalized five-table schema, performed data cleaning, built SQL views and stored procedures, and developed a Telegram-based AI agent that delivers HR insights on demand. The results reveal meaningful patterns in attrition tied to department, overtime, promotion history, and commute distance — all of which carry direct implications for workforce planning decisions.</w:t>
      </w:r>
    </w:p>
    <w:p>
      <w:pPr>
        <w:pStyle w:val="Heading1"/>
        <w:spacing w:after="160" w:before="360"/>
      </w:pPr>
      <w:r>
        <w:rPr>
          <w:rFonts w:ascii="Arial" w:cs="Arial" w:eastAsia="Arial" w:hAnsi="Arial"/>
          <w:b/>
          <w:bCs/>
          <w:color w:val="1F4E79"/>
          <w:sz w:val="32"/>
          <w:szCs w:val="32"/>
        </w:rPr>
        <w:t xml:space="preserve">1. Introduction</w:t>
      </w:r>
    </w:p>
    <w:p>
      <w:pPr>
        <w:spacing w:after="120" w:before="80" w:line="360"/>
        <w:jc w:val="both"/>
      </w:pPr>
      <w:r>
        <w:rPr>
          <w:rFonts w:ascii="Arial" w:cs="Arial" w:eastAsia="Arial" w:hAnsi="Arial"/>
          <w:sz w:val="22"/>
          <w:szCs w:val="22"/>
        </w:rPr>
        <w:t xml:space="preserve">Employee turnover is one of the most persistent and costly challenges in human resource management. When a skilled worker leaves, the organization absorbs not just the direct costs of recruiting and training a replacement, but also the indirect costs of lost knowledge, reduced team cohesion, and lower productivity during transition periods. For mid-to-large companies, these costs can easily reach six to twelve months of the departing employee's salary.</w:t>
      </w:r>
    </w:p>
    <w:p>
      <w:pPr>
        <w:spacing w:after="120" w:before="80" w:line="360"/>
        <w:jc w:val="both"/>
      </w:pPr>
      <w:r>
        <w:rPr>
          <w:rFonts w:ascii="Arial" w:cs="Arial" w:eastAsia="Arial" w:hAnsi="Arial"/>
          <w:sz w:val="22"/>
          <w:szCs w:val="22"/>
        </w:rPr>
        <w:t xml:space="preserve">The goal of this project was to take a real-world HR dataset and build a full-stack database solution around it, from data modeling and normalization all the way through to automated analysis tools. Rather than treating this as a pure academic exercise, we approached it like a small data engineering project, asking practical questions like: Which departments are bleeding talent the most? Is mandatory overtime actually hurting retention? Are we losing our best-paid people?</w:t>
      </w:r>
    </w:p>
    <w:p>
      <w:pPr>
        <w:spacing w:after="120" w:before="80" w:line="360"/>
        <w:jc w:val="both"/>
      </w:pPr>
      <w:r>
        <w:rPr>
          <w:rFonts w:ascii="Arial" w:cs="Arial" w:eastAsia="Arial" w:hAnsi="Arial"/>
          <w:sz w:val="22"/>
          <w:szCs w:val="22"/>
        </w:rPr>
        <w:t xml:space="preserve">To answer these questions, we designed a MySQL database, populated it with 1,470 employee records, wrote SQL queries to surface key insights, and wrapped everything in a Telegram bot that can deliver those insights to any HR manager in seconds.</w:t>
      </w:r>
    </w:p>
    <w:p>
      <w:pPr>
        <w:pStyle w:val="Heading1"/>
        <w:spacing w:after="160" w:before="360"/>
      </w:pPr>
      <w:r>
        <w:rPr>
          <w:rFonts w:ascii="Arial" w:cs="Arial" w:eastAsia="Arial" w:hAnsi="Arial"/>
          <w:b/>
          <w:bCs/>
          <w:color w:val="1F4E79"/>
          <w:sz w:val="32"/>
          <w:szCs w:val="32"/>
        </w:rPr>
        <w:t xml:space="preserve">2. Dataset Description</w:t>
      </w:r>
    </w:p>
    <w:p>
      <w:pPr>
        <w:spacing w:after="120" w:before="80" w:line="360"/>
        <w:jc w:val="both"/>
      </w:pPr>
      <w:r>
        <w:rPr>
          <w:rFonts w:ascii="Arial" w:cs="Arial" w:eastAsia="Arial" w:hAnsi="Arial"/>
          <w:sz w:val="22"/>
          <w:szCs w:val="22"/>
        </w:rPr>
        <w:t xml:space="preserve">The dataset we used is the IBM HR Analytics Employee Attrition dataset, which is publicly available on Kaggle. It was originally created by IBM data scientists as a synthetic dataset to allow researchers and practitioners to explore the factors that influence whether an employee decides to leave a company (labeled as Attrition = Yes) or stay (Attrition = No).</w:t>
      </w:r>
    </w:p>
    <w:p>
      <w:pPr>
        <w:spacing w:after="120" w:before="80" w:line="360"/>
        <w:jc w:val="both"/>
      </w:pPr>
      <w:r>
        <w:rPr>
          <w:rFonts w:ascii="Arial" w:cs="Arial" w:eastAsia="Arial" w:hAnsi="Arial"/>
          <w:sz w:val="22"/>
          <w:szCs w:val="22"/>
        </w:rPr>
        <w:t xml:space="preserve">The raw dataset contains 35 columns covering a wide range of employee attributes: personal demographics (age, gender, marital status), job characteristics (department, role, level, overtime status), financial data (monthly income, salary hike, stock options), satisfaction ratings (job satisfaction, work-life balance, environment satisfaction), and career history (years at company, years since last promotion, number of companies worked at).</w:t>
      </w:r>
    </w:p>
    <w:p>
      <w:pPr>
        <w:spacing w:after="120" w:before="80" w:line="360"/>
        <w:jc w:val="both"/>
      </w:pPr>
      <w:r>
        <w:rPr>
          <w:rFonts w:ascii="Arial" w:cs="Arial" w:eastAsia="Arial" w:hAnsi="Arial"/>
          <w:sz w:val="22"/>
          <w:szCs w:val="22"/>
        </w:rPr>
        <w:t xml:space="preserve">In its original form, the data comes as a single flat file. Part of our project was to decompose this flat structure into a properly normalized relational model, which we describe in the next section. The synthetic nature of the dataset means it was designed to have realistic statistical properties while not exposing any real employee information, making it appropriate for academic use.</w:t>
      </w:r>
    </w:p>
    <w:p>
      <w:pPr>
        <w:spacing w:after="120" w:before="2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EmployeeNumber</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Unique identifier for each employee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 (PK)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employee left the company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 (Yes/No)</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MonthlyIncome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Monthly salary in USD</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Employee's department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OverTime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Whether employee works overtime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VARCHAR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YearsSinceLastPromotion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Years without a promotion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DistanceFromHome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Commute distance in miles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JobSatisfaction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Self-rated job satisfaction (1-4)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WorkLifeBalance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Self-rated work-life balance (1-4)</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w:t>
            </w:r>
          </w:p>
        </w:tc>
      </w:tr>
    </w:tbl>
    <w:p>
      <w:pPr>
        <w:spacing w:after="240" w:before="80"/>
        <w:jc w:val="center"/>
      </w:pPr>
      <w:r>
        <w:rPr>
          <w:rFonts w:ascii="Arial" w:cs="Arial" w:eastAsia="Arial" w:hAnsi="Arial"/>
          <w:i/>
          <w:iCs/>
          <w:color w:val="666666"/>
          <w:sz w:val="18"/>
          <w:szCs w:val="18"/>
        </w:rPr>
        <w:t xml:space="preserve">Table 1. Key dataset attributes used in the analysis</w:t>
      </w:r>
    </w:p>
    <w:p>
      <w:pPr>
        <w:pStyle w:val="Heading1"/>
        <w:spacing w:after="160" w:before="360"/>
      </w:pPr>
      <w:r>
        <w:rPr>
          <w:rFonts w:ascii="Arial" w:cs="Arial" w:eastAsia="Arial" w:hAnsi="Arial"/>
          <w:b/>
          <w:bCs/>
          <w:color w:val="1F4E79"/>
          <w:sz w:val="32"/>
          <w:szCs w:val="32"/>
        </w:rPr>
        <w:t xml:space="preserve">3. Database Design</w:t>
      </w:r>
    </w:p>
    <w:p>
      <w:pPr>
        <w:pStyle w:val="Heading2"/>
        <w:spacing w:after="120" w:before="240"/>
      </w:pPr>
      <w:r>
        <w:rPr>
          <w:rFonts w:ascii="Arial" w:cs="Arial" w:eastAsia="Arial" w:hAnsi="Arial"/>
          <w:b/>
          <w:bCs/>
          <w:color w:val="2E75B6"/>
          <w:sz w:val="26"/>
          <w:szCs w:val="26"/>
        </w:rPr>
        <w:t xml:space="preserve">3.1 Normalization Approach</w:t>
      </w:r>
    </w:p>
    <w:p>
      <w:pPr>
        <w:spacing w:after="120" w:before="80" w:line="360"/>
        <w:jc w:val="both"/>
      </w:pPr>
      <w:r>
        <w:rPr>
          <w:rFonts w:ascii="Arial" w:cs="Arial" w:eastAsia="Arial" w:hAnsi="Arial"/>
          <w:sz w:val="22"/>
          <w:szCs w:val="22"/>
        </w:rPr>
        <w:t xml:space="preserve">When we first looked at the flat dataset, it was clear that storing all 35 columns in a single table would lead to significant redundancy and make queries harder to write and maintain. We applied normalization principles to bring the schema to Third Normal Form (3NF).</w:t>
      </w:r>
    </w:p>
    <w:p>
      <w:pPr>
        <w:spacing w:after="120" w:before="80" w:line="360"/>
        <w:jc w:val="both"/>
      </w:pPr>
      <w:r>
        <w:rPr>
          <w:rFonts w:ascii="Arial" w:cs="Arial" w:eastAsia="Arial" w:hAnsi="Arial"/>
          <w:sz w:val="22"/>
          <w:szCs w:val="22"/>
        </w:rPr>
        <w:t xml:space="preserve">The key insight driving our design was that the original data naturally clusters into distinct conceptual groups: some attributes are fundamentally about who the person is, others are about what their job is, others about how they are compensated, and so on. Each of these groups belongs in its own table.</w:t>
      </w:r>
    </w:p>
    <w:p>
      <w:pPr>
        <w:pStyle w:val="Heading2"/>
        <w:spacing w:after="120" w:before="240"/>
      </w:pPr>
      <w:r>
        <w:rPr>
          <w:rFonts w:ascii="Arial" w:cs="Arial" w:eastAsia="Arial" w:hAnsi="Arial"/>
          <w:b/>
          <w:bCs/>
          <w:color w:val="2E75B6"/>
          <w:sz w:val="26"/>
          <w:szCs w:val="26"/>
        </w:rPr>
        <w:t xml:space="preserve">3.2 Entity-Relationship Model</w:t>
      </w:r>
    </w:p>
    <w:p>
      <w:pPr>
        <w:spacing w:after="120" w:before="80" w:line="360"/>
        <w:jc w:val="both"/>
      </w:pPr>
      <w:r>
        <w:rPr>
          <w:rFonts w:ascii="Arial" w:cs="Arial" w:eastAsia="Arial" w:hAnsi="Arial"/>
          <w:sz w:val="22"/>
          <w:szCs w:val="22"/>
        </w:rPr>
        <w:t xml:space="preserve">The final schema consists of five tables, with emp_personal serving as the central entity that all other tables reference through a foreign key on EmployeeNumber:</w:t>
      </w:r>
    </w:p>
    <w:p>
      <w:pPr>
        <w:pStyle w:val="ListParagraph"/>
        <w:numPr>
          <w:ilvl w:val="0"/>
          <w:numId w:val="2"/>
        </w:numPr>
        <w:spacing w:after="60" w:before="60"/>
      </w:pPr>
      <w:r>
        <w:rPr>
          <w:rFonts w:ascii="Arial" w:cs="Arial" w:eastAsia="Arial" w:hAnsi="Arial"/>
          <w:sz w:val="22"/>
          <w:szCs w:val="22"/>
        </w:rPr>
        <w:t xml:space="preserve">emp_personal: Stores demographic information including age, gender, marital status, education level, and distance from home. This is the parent table with the primary key.</w:t>
      </w:r>
    </w:p>
    <w:p>
      <w:pPr>
        <w:pStyle w:val="ListParagraph"/>
        <w:numPr>
          <w:ilvl w:val="0"/>
          <w:numId w:val="2"/>
        </w:numPr>
        <w:spacing w:after="60" w:before="60"/>
      </w:pPr>
      <w:r>
        <w:rPr>
          <w:rFonts w:ascii="Arial" w:cs="Arial" w:eastAsia="Arial" w:hAnsi="Arial"/>
          <w:sz w:val="22"/>
          <w:szCs w:val="22"/>
        </w:rPr>
        <w:t xml:space="preserve">emp_job_details: Contains job-related attributes such as department, job role, job level, business travel frequency, overtime status, and performance rating.</w:t>
      </w:r>
    </w:p>
    <w:p>
      <w:pPr>
        <w:pStyle w:val="ListParagraph"/>
        <w:numPr>
          <w:ilvl w:val="0"/>
          <w:numId w:val="2"/>
        </w:numPr>
        <w:spacing w:after="60" w:before="60"/>
      </w:pPr>
      <w:r>
        <w:rPr>
          <w:rFonts w:ascii="Arial" w:cs="Arial" w:eastAsia="Arial" w:hAnsi="Arial"/>
          <w:sz w:val="22"/>
          <w:szCs w:val="22"/>
        </w:rPr>
        <w:t xml:space="preserve">emp_financial: Holds all compensation data including monthly income, monthly rate, daily rate, hourly rate, percent salary hike, and stock option level.</w:t>
      </w:r>
    </w:p>
    <w:p>
      <w:pPr>
        <w:pStyle w:val="ListParagraph"/>
        <w:numPr>
          <w:ilvl w:val="0"/>
          <w:numId w:val="2"/>
        </w:numPr>
        <w:spacing w:after="60" w:before="60"/>
      </w:pPr>
      <w:r>
        <w:rPr>
          <w:rFonts w:ascii="Arial" w:cs="Arial" w:eastAsia="Arial" w:hAnsi="Arial"/>
          <w:sz w:val="22"/>
          <w:szCs w:val="22"/>
        </w:rPr>
        <w:t xml:space="preserve">emp_feedback: Captures the employee experience ratings: environment satisfaction, job involvement, job satisfaction, relationship satisfaction, and work-life balance.</w:t>
      </w:r>
    </w:p>
    <w:p>
      <w:pPr>
        <w:pStyle w:val="ListParagraph"/>
        <w:numPr>
          <w:ilvl w:val="0"/>
          <w:numId w:val="2"/>
        </w:numPr>
        <w:spacing w:after="60" w:before="60"/>
      </w:pPr>
      <w:r>
        <w:rPr>
          <w:rFonts w:ascii="Arial" w:cs="Arial" w:eastAsia="Arial" w:hAnsi="Arial"/>
          <w:sz w:val="22"/>
          <w:szCs w:val="22"/>
        </w:rPr>
        <w:t xml:space="preserve">emp_tenure: Records career history data including number of companies worked, total working years, training times, years in company, years in current role, years since last promotion, years with current manager, and the Attrition label.</w:t>
      </w:r>
    </w:p>
    <w:p>
      <w:pPr>
        <w:spacing w:after="120" w:before="80" w:line="360"/>
        <w:jc w:val="both"/>
      </w:pPr>
      <w:r>
        <w:rPr>
          <w:rFonts w:ascii="Arial" w:cs="Arial" w:eastAsia="Arial" w:hAnsi="Arial"/>
          <w:sz w:val="22"/>
          <w:szCs w:val="22"/>
        </w:rPr>
        <w:t xml:space="preserve">All four child tables have a one-to-one relationship with emp_personal, connected via foreign key constraints with CASCADE DELETE to maintain referential integrity.</w:t>
      </w:r>
    </w:p>
    <w:p>
      <w:pPr>
        <w:pStyle w:val="Heading2"/>
        <w:spacing w:after="120" w:before="240"/>
      </w:pPr>
      <w:r>
        <w:rPr>
          <w:rFonts w:ascii="Arial" w:cs="Arial" w:eastAsia="Arial" w:hAnsi="Arial"/>
          <w:b/>
          <w:bCs/>
          <w:color w:val="2E75B6"/>
          <w:sz w:val="26"/>
          <w:szCs w:val="26"/>
        </w:rPr>
        <w:t xml:space="preserve">3.3 Indexing Strategy</w:t>
      </w:r>
    </w:p>
    <w:p>
      <w:pPr>
        <w:spacing w:after="120" w:before="80" w:line="360"/>
        <w:jc w:val="both"/>
      </w:pPr>
      <w:r>
        <w:rPr>
          <w:rFonts w:ascii="Arial" w:cs="Arial" w:eastAsia="Arial" w:hAnsi="Arial"/>
          <w:sz w:val="22"/>
          <w:szCs w:val="22"/>
        </w:rPr>
        <w:t xml:space="preserve">To ensure queries run efficiently on 1,470 rows per table, we added indexes on the columns most frequently used in WHERE clauses and GROUP BY operations. This includes indexes on Department, OverTime, and JobRole in emp_job_details; Attrition and YearsSinceLastPromotion in emp_tenure; and DistanceFromHome, MaritalStatus, and Age in emp_personal. These indexes reduce full table scans to targeted index lookups, which becomes especially important when the agent runs multiple queries in sequence.</w:t>
      </w:r>
    </w:p>
    <w:p>
      <w:pPr>
        <w:pStyle w:val="Heading1"/>
        <w:spacing w:after="160" w:before="360"/>
      </w:pPr>
      <w:r>
        <w:rPr>
          <w:rFonts w:ascii="Arial" w:cs="Arial" w:eastAsia="Arial" w:hAnsi="Arial"/>
          <w:b/>
          <w:bCs/>
          <w:color w:val="1F4E79"/>
          <w:sz w:val="32"/>
          <w:szCs w:val="32"/>
        </w:rPr>
        <w:t xml:space="preserve">4. Implementation</w:t>
      </w:r>
    </w:p>
    <w:p>
      <w:pPr>
        <w:pStyle w:val="Heading2"/>
        <w:spacing w:after="120" w:before="240"/>
      </w:pPr>
      <w:r>
        <w:rPr>
          <w:rFonts w:ascii="Arial" w:cs="Arial" w:eastAsia="Arial" w:hAnsi="Arial"/>
          <w:b/>
          <w:bCs/>
          <w:color w:val="2E75B6"/>
          <w:sz w:val="26"/>
          <w:szCs w:val="26"/>
        </w:rPr>
        <w:t xml:space="preserve">4.1 Data Generation and Cleaning</w:t>
      </w:r>
    </w:p>
    <w:p>
      <w:pPr>
        <w:spacing w:after="120" w:before="80" w:line="360"/>
        <w:jc w:val="both"/>
      </w:pPr>
      <w:r>
        <w:rPr>
          <w:rFonts w:ascii="Arial" w:cs="Arial" w:eastAsia="Arial" w:hAnsi="Arial"/>
          <w:sz w:val="22"/>
          <w:szCs w:val="22"/>
        </w:rPr>
        <w:t xml:space="preserve">Since the original dataset contains only 1,470 rows and the project required at least 1,000 rows per table, we used the original data as a statistical template and generated synthetic records through a MySQL stored procedure. The procedure uses RAND() seeded with realistic distributions to produce values that mirror the original dataset's proportions, for example maintaining approximately 16% attrition rate, around 28% overtime workers, and income ranges correlated with job level.</w:t>
      </w:r>
    </w:p>
    <w:p>
      <w:pPr>
        <w:spacing w:after="120" w:before="80" w:line="360"/>
        <w:jc w:val="both"/>
      </w:pPr>
      <w:r>
        <w:rPr>
          <w:rFonts w:ascii="Arial" w:cs="Arial" w:eastAsia="Arial" w:hAnsi="Arial"/>
          <w:sz w:val="22"/>
          <w:szCs w:val="22"/>
        </w:rPr>
        <w:t xml:space="preserve">After generation, we ran a cleaning pass to fix logical inconsistencies. For instance, YearsInCurrentRole cannot exceed YearsInCompany, and YearsSinceLastPromotion cannot be greater than the total years at the company. Any employee age below 18 was corrected, and any negative tenure values were floored at zero. These constraints reflect real-world business logic that the synthetic generation process might occasionally violate.</w:t>
      </w:r>
    </w:p>
    <w:p>
      <w:pPr>
        <w:pStyle w:val="Heading2"/>
        <w:spacing w:after="120" w:before="240"/>
      </w:pPr>
      <w:r>
        <w:rPr>
          <w:rFonts w:ascii="Arial" w:cs="Arial" w:eastAsia="Arial" w:hAnsi="Arial"/>
          <w:b/>
          <w:bCs/>
          <w:color w:val="2E75B6"/>
          <w:sz w:val="26"/>
          <w:szCs w:val="26"/>
        </w:rPr>
        <w:t xml:space="preserve">4.2 Views and Stored Procedures</w:t>
      </w:r>
    </w:p>
    <w:p>
      <w:pPr>
        <w:spacing w:after="120" w:before="80" w:line="360"/>
        <w:jc w:val="both"/>
      </w:pPr>
      <w:r>
        <w:rPr>
          <w:rFonts w:ascii="Arial" w:cs="Arial" w:eastAsia="Arial" w:hAnsi="Arial"/>
          <w:sz w:val="22"/>
          <w:szCs w:val="22"/>
        </w:rPr>
        <w:t xml:space="preserve">We created four SQL views, one for each problem statement. These views encapsulate complex multi-table joins and aggregations so that the Telegram bot can retrieve pre-computed insights without exposing raw SQL to the application layer.</w:t>
      </w:r>
    </w:p>
    <w:p>
      <w:pPr>
        <w:spacing w:after="120" w:before="24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4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View Name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Tables Joined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view_talent_retention</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Attrition and income by department</w:t>
            </w:r>
          </w:p>
        </w:tc>
        <w:tc>
          <w:tcPr>
            <w:tcW w:type="dxa" w:w="3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emp_job_details, emp_financial, emp_tenure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view_overtime_satisfaction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Satisfaction scores by overtime status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emp_job_details, emp_feedback, emp_tenure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view_promotion_stagnation</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Employees without promotion 5+ years</w:t>
            </w:r>
          </w:p>
        </w:tc>
        <w:tc>
          <w:tcPr>
            <w:tcW w:type="dxa" w:w="3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emp_tenure, emp_job_details, emp_feedback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view_distance_attrition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Attrition by commute and demographics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emp_personal, emp_tenure</w:t>
            </w:r>
          </w:p>
        </w:tc>
      </w:tr>
    </w:tbl>
    <w:p>
      <w:pPr>
        <w:spacing w:after="240" w:before="80"/>
        <w:jc w:val="center"/>
      </w:pPr>
      <w:r>
        <w:rPr>
          <w:rFonts w:ascii="Arial" w:cs="Arial" w:eastAsia="Arial" w:hAnsi="Arial"/>
          <w:i/>
          <w:iCs/>
          <w:color w:val="666666"/>
          <w:sz w:val="18"/>
          <w:szCs w:val="18"/>
        </w:rPr>
        <w:t xml:space="preserve">Table 2. SQL views created for analytical insights</w:t>
      </w:r>
    </w:p>
    <w:p>
      <w:pPr>
        <w:spacing w:after="120" w:before="80" w:line="360"/>
        <w:jc w:val="both"/>
      </w:pPr>
      <w:r>
        <w:rPr>
          <w:rFonts w:ascii="Arial" w:cs="Arial" w:eastAsia="Arial" w:hAnsi="Arial"/>
          <w:sz w:val="22"/>
          <w:szCs w:val="22"/>
        </w:rPr>
        <w:t xml:space="preserve">In addition to views, we implemented four parameterized stored procedures that allow filtering by department, job role, or promotion threshold. For example, sp_stagnant_employees(N) accepts a minimum years-without-promotion parameter and returns all matching employees with their performance and involvement scores.</w:t>
      </w:r>
    </w:p>
    <w:p>
      <w:pPr>
        <w:pStyle w:val="Heading2"/>
        <w:spacing w:after="120" w:before="240"/>
      </w:pPr>
      <w:r>
        <w:rPr>
          <w:rFonts w:ascii="Arial" w:cs="Arial" w:eastAsia="Arial" w:hAnsi="Arial"/>
          <w:b/>
          <w:bCs/>
          <w:color w:val="2E75B6"/>
          <w:sz w:val="26"/>
          <w:szCs w:val="26"/>
        </w:rPr>
        <w:t xml:space="preserve">4.3 Python Integration</w:t>
      </w:r>
    </w:p>
    <w:p>
      <w:pPr>
        <w:spacing w:after="120" w:before="80" w:line="360"/>
        <w:jc w:val="both"/>
      </w:pPr>
      <w:r>
        <w:rPr>
          <w:rFonts w:ascii="Arial" w:cs="Arial" w:eastAsia="Arial" w:hAnsi="Arial"/>
          <w:sz w:val="22"/>
          <w:szCs w:val="22"/>
        </w:rPr>
        <w:t xml:space="preserve">We connected the MySQL database to Python using the mysql-connector-python library and SQLAlchemy as the ORM layer. The Jupyter Notebook environment serves as our development workspace where we run SQL queries through Pandas, generate visualizations with Matplotlib, and host the Telegram bot.</w:t>
      </w:r>
    </w:p>
    <w:p>
      <w:pPr>
        <w:spacing w:after="120" w:before="80" w:line="360"/>
        <w:jc w:val="both"/>
      </w:pPr>
      <w:r>
        <w:rPr>
          <w:rFonts w:ascii="Arial" w:cs="Arial" w:eastAsia="Arial" w:hAnsi="Arial"/>
          <w:sz w:val="22"/>
          <w:szCs w:val="22"/>
        </w:rPr>
        <w:t xml:space="preserve">The connection uses a Unix socket rather than TCP/IP, which is the standard approach on macOS-based MySQL installations using Homebrew. This avoids the common authentication issues that arise with localhost TCP connections on that platform.</w:t>
      </w:r>
    </w:p>
    <w:p>
      <w:pPr>
        <w:pStyle w:val="Heading2"/>
        <w:spacing w:after="120" w:before="240"/>
      </w:pPr>
      <w:r>
        <w:rPr>
          <w:rFonts w:ascii="Arial" w:cs="Arial" w:eastAsia="Arial" w:hAnsi="Arial"/>
          <w:b/>
          <w:bCs/>
          <w:color w:val="2E75B6"/>
          <w:sz w:val="26"/>
          <w:szCs w:val="26"/>
        </w:rPr>
        <w:t xml:space="preserve">4.4 Telegram Bot</w:t>
      </w:r>
    </w:p>
    <w:p>
      <w:pPr>
        <w:spacing w:after="120" w:before="80" w:line="360"/>
        <w:jc w:val="both"/>
      </w:pPr>
      <w:r>
        <w:rPr>
          <w:rFonts w:ascii="Arial" w:cs="Arial" w:eastAsia="Arial" w:hAnsi="Arial"/>
          <w:sz w:val="22"/>
          <w:szCs w:val="22"/>
        </w:rPr>
        <w:t xml:space="preserve">The AI agent is delivered as a Telegram bot using the python-telegram-bot library. Users interact with the bot through simple slash commands rather than typing raw SQL or technical queries. The bot connects directly to the MySQL database, runs the relevant query, formats the result into a readable message, and returns it to the user within seconds.</w:t>
      </w:r>
    </w:p>
    <w:p>
      <w:pPr>
        <w:spacing w:after="120" w:before="80" w:line="360"/>
        <w:jc w:val="both"/>
      </w:pPr>
      <w:r>
        <w:rPr>
          <w:rFonts w:ascii="Arial" w:cs="Arial" w:eastAsia="Arial" w:hAnsi="Arial"/>
          <w:sz w:val="22"/>
          <w:szCs w:val="22"/>
        </w:rPr>
        <w:t xml:space="preserve">The bot supports five commands: /insight1 through /insight4 for individual analyses, and /all which runs all four insights sequentially and sends them as separate messages. Each response includes not just the raw numbers but also a brief recommendation, so the output is immediately actionable for an HR manager who might not be a data expert.</w:t>
      </w:r>
    </w:p>
    <w:p>
      <w:pPr>
        <w:pStyle w:val="Heading1"/>
        <w:spacing w:after="160" w:before="360"/>
      </w:pPr>
      <w:r>
        <w:rPr>
          <w:rFonts w:ascii="Arial" w:cs="Arial" w:eastAsia="Arial" w:hAnsi="Arial"/>
          <w:b/>
          <w:bCs/>
          <w:color w:val="1F4E79"/>
          <w:sz w:val="32"/>
          <w:szCs w:val="32"/>
        </w:rPr>
        <w:t xml:space="preserve">5. Results and Analysis</w:t>
      </w:r>
    </w:p>
    <w:p>
      <w:pPr>
        <w:pStyle w:val="Heading2"/>
        <w:spacing w:after="120" w:before="240"/>
      </w:pPr>
      <w:r>
        <w:rPr>
          <w:rFonts w:ascii="Arial" w:cs="Arial" w:eastAsia="Arial" w:hAnsi="Arial"/>
          <w:b/>
          <w:bCs/>
          <w:color w:val="2E75B6"/>
          <w:sz w:val="26"/>
          <w:szCs w:val="26"/>
        </w:rPr>
        <w:t xml:space="preserve">5.1 High-Value Talent Retention</w:t>
      </w:r>
    </w:p>
    <w:p>
      <w:pPr>
        <w:spacing w:after="120" w:before="80" w:line="360"/>
        <w:jc w:val="both"/>
      </w:pPr>
      <w:r>
        <w:rPr>
          <w:rFonts w:ascii="Arial" w:cs="Arial" w:eastAsia="Arial" w:hAnsi="Arial"/>
          <w:sz w:val="22"/>
          <w:szCs w:val="22"/>
        </w:rPr>
        <w:t xml:space="preserve">The first insight looked at whether high-earning employees are leaving at a disproportionate rate. The results showed that the Sales department has the highest attrition rate at 16.8%, followed by Research &amp; Development at 16.2%, and Human Resources at 14.3%. Interestingly, Sales also had the lowest average monthly income among the three departments at approximately $10,132, while Human Resources had the highest at $10,625 but the lowest attrition.</w:t>
      </w:r>
    </w:p>
    <w:p>
      <w:pPr>
        <w:spacing w:after="120" w:before="80" w:line="360"/>
        <w:jc w:val="both"/>
      </w:pPr>
      <w:r>
        <w:rPr>
          <w:rFonts w:ascii="Arial" w:cs="Arial" w:eastAsia="Arial" w:hAnsi="Arial"/>
          <w:sz w:val="22"/>
          <w:szCs w:val="22"/>
        </w:rPr>
        <w:t xml:space="preserve">This pattern suggests that the relationship between pay and retention is not straightforward. Sales employees may be leaving due to non-financial factors such as performance pressure, commission structures, or management quality rather than salary alone. This finding supports a recommendation to conduct exit interviews specifically in the Sales department to identify the root causes.</w:t>
      </w:r>
    </w:p>
    <w:p>
      <w:pPr>
        <w:pStyle w:val="Heading2"/>
        <w:spacing w:after="120" w:before="240"/>
      </w:pPr>
      <w:r>
        <w:rPr>
          <w:rFonts w:ascii="Arial" w:cs="Arial" w:eastAsia="Arial" w:hAnsi="Arial"/>
          <w:b/>
          <w:bCs/>
          <w:color w:val="2E75B6"/>
          <w:sz w:val="26"/>
          <w:szCs w:val="26"/>
        </w:rPr>
        <w:t xml:space="preserve">5.2 Overtime and Work-Life Balance</w:t>
      </w:r>
    </w:p>
    <w:p>
      <w:pPr>
        <w:spacing w:after="120" w:before="80" w:line="360"/>
        <w:jc w:val="both"/>
      </w:pPr>
      <w:r>
        <w:rPr>
          <w:rFonts w:ascii="Arial" w:cs="Arial" w:eastAsia="Arial" w:hAnsi="Arial"/>
          <w:sz w:val="22"/>
          <w:szCs w:val="22"/>
        </w:rPr>
        <w:t xml:space="preserve">The second analysis compared employees who regularly work overtime against those who do not. Overtime workers showed a slightly lower average work-life balance score (2.49 out of 4) compared to non-overtime workers (2.53 out of 4), and their attrition rate was notably higher at 17.4% versus 15.2% for non-overtime employees.</w:t>
      </w:r>
    </w:p>
    <w:p>
      <w:pPr>
        <w:spacing w:after="120" w:before="80" w:line="360"/>
        <w:jc w:val="both"/>
      </w:pPr>
      <w:r>
        <w:rPr>
          <w:rFonts w:ascii="Arial" w:cs="Arial" w:eastAsia="Arial" w:hAnsi="Arial"/>
          <w:sz w:val="22"/>
          <w:szCs w:val="22"/>
        </w:rPr>
        <w:t xml:space="preserve">While the difference in satisfaction scores appears small in absolute terms, the 2.2 percentage point gap in attrition is practically significant. Across a company of 1,470 employees with 397 overtime workers, that gap represents roughly 9 additional departures per year attributable specifically to overtime. At an estimated replacement cost of 6 months salary per employee, this translates to meaningful financial exposure.</w:t>
      </w:r>
    </w:p>
    <w:p>
      <w:pPr>
        <w:pStyle w:val="Heading2"/>
        <w:spacing w:after="120" w:before="240"/>
      </w:pPr>
      <w:r>
        <w:rPr>
          <w:rFonts w:ascii="Arial" w:cs="Arial" w:eastAsia="Arial" w:hAnsi="Arial"/>
          <w:b/>
          <w:bCs/>
          <w:color w:val="2E75B6"/>
          <w:sz w:val="26"/>
          <w:szCs w:val="26"/>
        </w:rPr>
        <w:t xml:space="preserve">5.3 Promotion Stagnation</w:t>
      </w:r>
    </w:p>
    <w:p>
      <w:pPr>
        <w:spacing w:after="120" w:before="80" w:line="360"/>
        <w:jc w:val="both"/>
      </w:pPr>
      <w:r>
        <w:rPr>
          <w:rFonts w:ascii="Arial" w:cs="Arial" w:eastAsia="Arial" w:hAnsi="Arial"/>
          <w:sz w:val="22"/>
          <w:szCs w:val="22"/>
        </w:rPr>
        <w:t xml:space="preserve">The third insight examined whether employees who have not been promoted in five or more years show signs of disengagement. We found that 571 employees, representing 38.8% of the workforce, fall into this category. Their average performance rating was 3.14 out of 4, slightly lower than the 3.16 seen among recently promoted employees, and their job involvement averaged 2.52 versus 2.47 for the recently promoted group.</w:t>
      </w:r>
    </w:p>
    <w:p>
      <w:pPr>
        <w:spacing w:after="120" w:before="80" w:line="360"/>
        <w:jc w:val="both"/>
      </w:pPr>
      <w:r>
        <w:rPr>
          <w:rFonts w:ascii="Arial" w:cs="Arial" w:eastAsia="Arial" w:hAnsi="Arial"/>
          <w:sz w:val="22"/>
          <w:szCs w:val="22"/>
        </w:rPr>
        <w:t xml:space="preserve">The attrition rates were identical at 15.8% for both groups, which was somewhat surprising. This suggests that promotion stagnation alone does not drive people to leave, but the slightly lower performance and involvement scores hint that disengagement may be building and could manifest as higher attrition in subsequent years if not addressed. The recommendation here is to implement development plans and lateral mobility options for long-tenured employees who are not on a traditional promotion track.</w:t>
      </w:r>
    </w:p>
    <w:p>
      <w:pPr>
        <w:pStyle w:val="Heading2"/>
        <w:spacing w:after="120" w:before="240"/>
      </w:pPr>
      <w:r>
        <w:rPr>
          <w:rFonts w:ascii="Arial" w:cs="Arial" w:eastAsia="Arial" w:hAnsi="Arial"/>
          <w:b/>
          <w:bCs/>
          <w:color w:val="2E75B6"/>
          <w:sz w:val="26"/>
          <w:szCs w:val="26"/>
        </w:rPr>
        <w:t xml:space="preserve">5.4 Distance and Demographics</w:t>
      </w:r>
    </w:p>
    <w:p>
      <w:pPr>
        <w:spacing w:after="120" w:before="80" w:line="360"/>
        <w:jc w:val="both"/>
      </w:pPr>
      <w:r>
        <w:rPr>
          <w:rFonts w:ascii="Arial" w:cs="Arial" w:eastAsia="Arial" w:hAnsi="Arial"/>
          <w:sz w:val="22"/>
          <w:szCs w:val="22"/>
        </w:rPr>
        <w:t xml:space="preserve">The fourth analysis focused on employees living more than 15 miles from the office, segmented by marital status and age group. Single employees in the 26-35 age range showed the highest attrition rate among long-distance commuters, which aligns with the expectation that younger workers without family obligations have greater flexibility to change jobs and less tolerance for long commutes.</w:t>
      </w:r>
    </w:p>
    <w:p>
      <w:pPr>
        <w:spacing w:after="120" w:before="80" w:line="360"/>
        <w:jc w:val="both"/>
      </w:pPr>
      <w:r>
        <w:rPr>
          <w:rFonts w:ascii="Arial" w:cs="Arial" w:eastAsia="Arial" w:hAnsi="Arial"/>
          <w:sz w:val="22"/>
          <w:szCs w:val="22"/>
        </w:rPr>
        <w:t xml:space="preserve">This finding provides concrete data to support a remote work or hybrid policy. Targeting flexible arrangements specifically at single employees in their late twenties and early thirties, particularly those commuting long distances, could meaningfully reduce attrition in that demographic at relatively low organizational cost.</w:t>
      </w:r>
    </w:p>
    <w:p>
      <w:pPr>
        <w:pStyle w:val="Heading1"/>
        <w:spacing w:after="160" w:before="360"/>
      </w:pPr>
      <w:r>
        <w:rPr>
          <w:rFonts w:ascii="Arial" w:cs="Arial" w:eastAsia="Arial" w:hAnsi="Arial"/>
          <w:b/>
          <w:bCs/>
          <w:color w:val="1F4E79"/>
          <w:sz w:val="32"/>
          <w:szCs w:val="32"/>
        </w:rPr>
        <w:t xml:space="preserve">6. Conclusion</w:t>
      </w:r>
    </w:p>
    <w:p>
      <w:pPr>
        <w:spacing w:after="120" w:before="80" w:line="360"/>
        <w:jc w:val="both"/>
      </w:pPr>
      <w:r>
        <w:rPr>
          <w:rFonts w:ascii="Arial" w:cs="Arial" w:eastAsia="Arial" w:hAnsi="Arial"/>
          <w:sz w:val="22"/>
          <w:szCs w:val="22"/>
        </w:rPr>
        <w:t xml:space="preserve">This project successfully demonstrated the end-to-end process of building a production-quality database system from a real-world dataset. Starting from a flat CSV file, we designed a normalized relational schema, populated it with 1,470 records per table, ensured data quality through systematic cleaning, and optimized query performance through strategic indexing.</w:t>
      </w:r>
    </w:p>
    <w:p>
      <w:pPr>
        <w:spacing w:after="120" w:before="80" w:line="360"/>
        <w:jc w:val="both"/>
      </w:pPr>
      <w:r>
        <w:rPr>
          <w:rFonts w:ascii="Arial" w:cs="Arial" w:eastAsia="Arial" w:hAnsi="Arial"/>
          <w:sz w:val="22"/>
          <w:szCs w:val="22"/>
        </w:rPr>
        <w:t xml:space="preserve">The four analytical insights we developed address genuine HR management problems: which departments to prioritize in retention efforts, how overtime policies affect employee wellbeing and departure rates, which employees are at risk of long-term disengagement due to promotion stagnation, and which demographic segments are most vulnerable to commute-driven attrition.</w:t>
      </w:r>
    </w:p>
    <w:p>
      <w:pPr>
        <w:spacing w:after="120" w:before="80" w:line="360"/>
        <w:jc w:val="both"/>
      </w:pPr>
      <w:r>
        <w:rPr>
          <w:rFonts w:ascii="Arial" w:cs="Arial" w:eastAsia="Arial" w:hAnsi="Arial"/>
          <w:sz w:val="22"/>
          <w:szCs w:val="22"/>
        </w:rPr>
        <w:t xml:space="preserve">The Telegram bot interface makes these insights accessible to non-technical stakeholders, which is arguably the most important feature of the system. A database full of useful information only creates value when the right people can access it easily and act on it. By wrapping our SQL logic in a simple messaging interface, we ensured that the analytical work we did translates directly into usable intelligence for decision-makers.</w:t>
      </w:r>
    </w:p>
    <w:p>
      <w:pPr>
        <w:spacing w:after="120" w:before="80" w:line="360"/>
        <w:jc w:val="both"/>
      </w:pPr>
      <w:r>
        <w:rPr>
          <w:rFonts w:ascii="Arial" w:cs="Arial" w:eastAsia="Arial" w:hAnsi="Arial"/>
          <w:sz w:val="22"/>
          <w:szCs w:val="22"/>
        </w:rPr>
        <w:t xml:space="preserve">Future improvements could include adding natural language query capabilities through a large language model integration, which would allow HR managers to ask free-form questions rather than relying on predefined commands. We experimented with this during the project using both the Google Gemini and OpenAI APIs, but encountered regional quota limitations that prevented integration within the project timeline. The architecture is already designed to accommodate this extension, and it remains the natural next step for the system.</w:t>
      </w:r>
    </w:p>
    <w:p>
      <w:pPr>
        <w:pStyle w:val="Heading1"/>
        <w:spacing w:after="160" w:before="360"/>
      </w:pPr>
      <w:r>
        <w:rPr>
          <w:rFonts w:ascii="Arial" w:cs="Arial" w:eastAsia="Arial" w:hAnsi="Arial"/>
          <w:b/>
          <w:bCs/>
          <w:color w:val="1F4E79"/>
          <w:sz w:val="32"/>
          <w:szCs w:val="32"/>
        </w:rPr>
        <w:t xml:space="preserve">References</w:t>
      </w:r>
    </w:p>
    <w:p>
      <w:pPr>
        <w:spacing w:after="120" w:before="80"/>
      </w:pPr>
      <w:r>
        <w:rPr>
          <w:rFonts w:ascii="Arial" w:cs="Arial" w:eastAsia="Arial" w:hAnsi="Arial"/>
          <w:sz w:val="20"/>
          <w:szCs w:val="20"/>
        </w:rPr>
        <w:t xml:space="preserve">IBM HR Analytics Employee Attrition Dataset. Kaggle. https://www.kaggle.com/datasets/pavansubhasht/ibm-hr-analytics-attrition-dataset</w:t>
      </w:r>
    </w:p>
    <w:p>
      <w:pPr>
        <w:spacing w:after="120" w:before="80"/>
      </w:pPr>
      <w:r>
        <w:rPr>
          <w:rFonts w:ascii="Arial" w:cs="Arial" w:eastAsia="Arial" w:hAnsi="Arial"/>
          <w:sz w:val="20"/>
          <w:szCs w:val="20"/>
        </w:rPr>
        <w:t xml:space="preserve">LangChain Documentation. SQL Database Agent. https://python.langchain.com/docs/integrations/toolkits/sql_database</w:t>
      </w:r>
    </w:p>
    <w:p>
      <w:pPr>
        <w:spacing w:after="120" w:before="80"/>
      </w:pPr>
      <w:r>
        <w:rPr>
          <w:rFonts w:ascii="Arial" w:cs="Arial" w:eastAsia="Arial" w:hAnsi="Arial"/>
          <w:sz w:val="20"/>
          <w:szCs w:val="20"/>
        </w:rPr>
        <w:t xml:space="preserve">MySQL 9.6 Reference Manual. CREATE INDEX Statement. https://dev.mysql.com/doc/refman/9.0/en/create-index.html</w:t>
      </w:r>
    </w:p>
    <w:p>
      <w:pPr>
        <w:spacing w:after="120" w:before="80"/>
      </w:pPr>
      <w:r>
        <w:rPr>
          <w:rFonts w:ascii="Arial" w:cs="Arial" w:eastAsia="Arial" w:hAnsi="Arial"/>
          <w:sz w:val="20"/>
          <w:szCs w:val="20"/>
        </w:rPr>
        <w:t xml:space="preserve">python-telegram-bot Library Documentation. https://python-telegram-bot.org/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2026-04-28T19:58:27.217Z</dcterms:created>
  <dcterms:modified xsi:type="dcterms:W3CDTF">2026-04-28T19:58:27.242Z</dcterms:modified>
</cp:coreProperties>
</file>

<file path=docProps/custom.xml><?xml version="1.0" encoding="utf-8"?>
<Properties xmlns="http://schemas.openxmlformats.org/officeDocument/2006/custom-properties" xmlns:vt="http://schemas.openxmlformats.org/officeDocument/2006/docPropsVTypes"/>
</file>