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F34ECE" w14:textId="77777777" w:rsidR="00822457" w:rsidRPr="003A1EDA" w:rsidRDefault="00822457" w:rsidP="00822457">
      <w:pPr>
        <w:pStyle w:val="Title"/>
      </w:pPr>
      <w:r w:rsidRPr="003A1EDA">
        <w:t>Bitcoin and Ethereum have paused their recovery</w:t>
      </w:r>
    </w:p>
    <w:p w14:paraId="7C232B38" w14:textId="77777777" w:rsidR="00822457" w:rsidRDefault="00822457" w:rsidP="00822457">
      <w:pPr>
        <w:pStyle w:val="Heading2"/>
      </w:pPr>
      <w:r w:rsidRPr="1CB56B4A">
        <w:t>Market Overview</w:t>
      </w:r>
    </w:p>
    <w:p w14:paraId="60EBF05E" w14:textId="5E325F3E" w:rsidR="00822457" w:rsidRPr="00822457" w:rsidRDefault="00822457" w:rsidP="00822457">
      <w:pPr>
        <w:pStyle w:val="Heading2"/>
        <w:rPr>
          <w:rFonts w:asciiTheme="minorHAnsi" w:eastAsiaTheme="minorEastAsia" w:hAnsiTheme="minorHAnsi" w:cstheme="minorBidi"/>
          <w:color w:val="auto"/>
          <w:kern w:val="0"/>
          <w:sz w:val="24"/>
          <w:szCs w:val="24"/>
          <w14:ligatures w14:val="none"/>
        </w:rPr>
      </w:pPr>
      <w:r w:rsidRPr="00822457">
        <w:rPr>
          <w:rFonts w:asciiTheme="minorHAnsi" w:eastAsiaTheme="minorEastAsia" w:hAnsiTheme="minorHAnsi" w:cstheme="minorBidi"/>
          <w:color w:val="auto"/>
          <w:kern w:val="0"/>
          <w:sz w:val="24"/>
          <w:szCs w:val="24"/>
          <w14:ligatures w14:val="none"/>
        </w:rPr>
        <w:t>The crypto market capitalisation has changed little over the past 24 hours, continuing to hover around $2.24T. The market remains near its recent high, consolidating despite a strengthening US dollar and cautious sentiment in equity markets. The sentiment index has fallen from 33</w:t>
      </w:r>
      <w:r w:rsidR="004B6A7F">
        <w:rPr>
          <w:rFonts w:asciiTheme="minorHAnsi" w:eastAsiaTheme="minorEastAsia" w:hAnsiTheme="minorHAnsi" w:cstheme="minorBidi"/>
          <w:color w:val="auto"/>
          <w:kern w:val="0"/>
          <w:sz w:val="24"/>
          <w:szCs w:val="24"/>
          <w14:ligatures w14:val="none"/>
        </w:rPr>
        <w:t xml:space="preserve">, </w:t>
      </w:r>
      <w:r w:rsidRPr="00822457">
        <w:rPr>
          <w:rFonts w:asciiTheme="minorHAnsi" w:eastAsiaTheme="minorEastAsia" w:hAnsiTheme="minorHAnsi" w:cstheme="minorBidi"/>
          <w:color w:val="auto"/>
          <w:kern w:val="0"/>
          <w:sz w:val="24"/>
          <w:szCs w:val="24"/>
          <w14:ligatures w14:val="none"/>
        </w:rPr>
        <w:t>its highest level since May</w:t>
      </w:r>
      <w:r w:rsidR="004B6A7F">
        <w:rPr>
          <w:rFonts w:asciiTheme="minorHAnsi" w:eastAsiaTheme="minorEastAsia" w:hAnsiTheme="minorHAnsi" w:cstheme="minorBidi"/>
          <w:color w:val="auto"/>
          <w:kern w:val="0"/>
          <w:sz w:val="24"/>
          <w:szCs w:val="24"/>
          <w14:ligatures w14:val="none"/>
        </w:rPr>
        <w:t>,</w:t>
      </w:r>
      <w:r w:rsidRPr="00822457">
        <w:rPr>
          <w:rFonts w:asciiTheme="minorHAnsi" w:eastAsiaTheme="minorEastAsia" w:hAnsiTheme="minorHAnsi" w:cstheme="minorBidi"/>
          <w:color w:val="auto"/>
          <w:kern w:val="0"/>
          <w:sz w:val="24"/>
          <w:szCs w:val="24"/>
          <w14:ligatures w14:val="none"/>
        </w:rPr>
        <w:t xml:space="preserve"> to 31, remaining in ‘fear’ territory. Among the most popular coins, the top performers over the past day were Hedera (+6%), Uniswap (+4.4%) and Aptos (+3.6%). </w:t>
      </w:r>
      <w:proofErr w:type="spellStart"/>
      <w:r w:rsidRPr="00822457">
        <w:rPr>
          <w:rFonts w:asciiTheme="minorHAnsi" w:eastAsiaTheme="minorEastAsia" w:hAnsiTheme="minorHAnsi" w:cstheme="minorBidi"/>
          <w:color w:val="auto"/>
          <w:kern w:val="0"/>
          <w:sz w:val="24"/>
          <w:szCs w:val="24"/>
          <w14:ligatures w14:val="none"/>
        </w:rPr>
        <w:t>Filecoin</w:t>
      </w:r>
      <w:proofErr w:type="spellEnd"/>
      <w:r w:rsidRPr="00822457">
        <w:rPr>
          <w:rFonts w:asciiTheme="minorHAnsi" w:eastAsiaTheme="minorEastAsia" w:hAnsiTheme="minorHAnsi" w:cstheme="minorBidi"/>
          <w:color w:val="auto"/>
          <w:kern w:val="0"/>
          <w:sz w:val="24"/>
          <w:szCs w:val="24"/>
          <w14:ligatures w14:val="none"/>
        </w:rPr>
        <w:t xml:space="preserve"> (-4.9%), Stellar (-2.6%) and Bitcoin Cash (-2.4%) are falling more than the others. </w:t>
      </w:r>
    </w:p>
    <w:p w14:paraId="56713078" w14:textId="77777777" w:rsidR="00822457" w:rsidRPr="00822457" w:rsidRDefault="00822457" w:rsidP="00822457">
      <w:pPr>
        <w:pStyle w:val="Heading2"/>
        <w:rPr>
          <w:rFonts w:asciiTheme="minorHAnsi" w:eastAsiaTheme="minorEastAsia" w:hAnsiTheme="minorHAnsi" w:cstheme="minorBidi"/>
          <w:color w:val="auto"/>
          <w:kern w:val="0"/>
          <w:sz w:val="24"/>
          <w:szCs w:val="24"/>
          <w14:ligatures w14:val="none"/>
        </w:rPr>
      </w:pPr>
      <w:r w:rsidRPr="00822457">
        <w:rPr>
          <w:rFonts w:asciiTheme="minorHAnsi" w:eastAsiaTheme="minorEastAsia" w:hAnsiTheme="minorHAnsi" w:cstheme="minorBidi"/>
          <w:color w:val="auto"/>
          <w:kern w:val="0"/>
          <w:sz w:val="24"/>
          <w:szCs w:val="24"/>
          <w14:ligatures w14:val="none"/>
        </w:rPr>
        <w:t>Bitcoin retreated to $65.4K, losing ground for the second day in a row after touching the area of its local June highs. This pullback has reinforced the sense that bears remain in control of prices, preventing the technical rebound from developing into a broader recovery and establishing the 61.8% retracement level of the May–June decline as resistance.</w:t>
      </w:r>
    </w:p>
    <w:p w14:paraId="767C7026" w14:textId="2D6DD08D" w:rsidR="00822457" w:rsidRDefault="004B6A7F" w:rsidP="00822457">
      <w:pPr>
        <w:pStyle w:val="Heading2"/>
        <w:rPr>
          <w:rFonts w:asciiTheme="minorHAnsi" w:eastAsiaTheme="minorEastAsia" w:hAnsiTheme="minorHAnsi" w:cstheme="minorBidi"/>
          <w:color w:val="auto"/>
          <w:kern w:val="0"/>
          <w:sz w:val="24"/>
          <w:szCs w:val="24"/>
          <w14:ligatures w14:val="none"/>
        </w:rPr>
      </w:pPr>
      <w:r w:rsidRPr="004B6A7F">
        <w:rPr>
          <w:rFonts w:asciiTheme="minorHAnsi" w:eastAsiaTheme="minorEastAsia" w:hAnsiTheme="minorHAnsi" w:cstheme="minorBidi"/>
          <w:color w:val="auto"/>
          <w:kern w:val="0"/>
          <w:sz w:val="24"/>
          <w:szCs w:val="24"/>
          <w14:ligatures w14:val="none"/>
        </w:rPr>
        <w:t>Ethereum also lost momentum near $1,950, failing to break above the former support zone, which has now turned into resistance, on its first attempt.</w:t>
      </w:r>
      <w:r>
        <w:rPr>
          <w:rFonts w:asciiTheme="minorHAnsi" w:eastAsiaTheme="minorEastAsia" w:hAnsiTheme="minorHAnsi" w:cstheme="minorBidi"/>
          <w:color w:val="auto"/>
          <w:kern w:val="0"/>
          <w:sz w:val="24"/>
          <w:szCs w:val="24"/>
          <w14:ligatures w14:val="none"/>
        </w:rPr>
        <w:t xml:space="preserve"> </w:t>
      </w:r>
      <w:r w:rsidR="00822457" w:rsidRPr="00822457">
        <w:rPr>
          <w:rFonts w:asciiTheme="minorHAnsi" w:eastAsiaTheme="minorEastAsia" w:hAnsiTheme="minorHAnsi" w:cstheme="minorBidi"/>
          <w:color w:val="auto"/>
          <w:kern w:val="0"/>
          <w:sz w:val="24"/>
          <w:szCs w:val="24"/>
          <w14:ligatures w14:val="none"/>
        </w:rPr>
        <w:t xml:space="preserve">The second-largest cryptocurrency may find itself in a vacuum, down to the $1,750–1,800 range, with no significant barriers to further declines. A drop below $1,700 would be a worrying sign of a resumption of the downtrend. </w:t>
      </w:r>
    </w:p>
    <w:p w14:paraId="43A4B649" w14:textId="4C8A7377" w:rsidR="00822457" w:rsidRDefault="00822457" w:rsidP="00822457">
      <w:pPr>
        <w:pStyle w:val="Heading2"/>
      </w:pPr>
      <w:r w:rsidRPr="1CB56B4A">
        <w:t>News Background</w:t>
      </w:r>
    </w:p>
    <w:p w14:paraId="5B7AE5BB" w14:textId="77777777" w:rsidR="00822457" w:rsidRDefault="00822457" w:rsidP="00822457">
      <w:r>
        <w:t>Bitcoin has entered a zone of extreme undervaluation, according to the MVRV indicator, which currently stands below 5%, notes analyst Crypto Tice. Historically, whenever this indicator has reached such levels, it has coincided with the formation of a long-term bottom for BTC.</w:t>
      </w:r>
    </w:p>
    <w:p w14:paraId="14CC242F" w14:textId="66A29513" w:rsidR="00822457" w:rsidRDefault="00822457" w:rsidP="00822457">
      <w:r>
        <w:t xml:space="preserve">Bitcoin has every chance of rising to $116K by the end of the year, predicts analyst </w:t>
      </w:r>
      <w:proofErr w:type="spellStart"/>
      <w:r>
        <w:t>CryptoPatel</w:t>
      </w:r>
      <w:proofErr w:type="spellEnd"/>
      <w:r>
        <w:t>. In his view, the bear market bottom has been reached, and a reversal is beginning, as it did at the end of 2022.</w:t>
      </w:r>
    </w:p>
    <w:p w14:paraId="7694CC1A" w14:textId="77777777" w:rsidR="00822457" w:rsidRDefault="00822457" w:rsidP="00822457">
      <w:r>
        <w:t>Artemis has calculated that the assets of DAT companies have fallen by more than a third since October, from $120 billion to $75 billion. Crypto treasuries have lost tens of billions of dollars as Bitcoin’s price has fallen.</w:t>
      </w:r>
    </w:p>
    <w:p w14:paraId="45670804" w14:textId="15B8661F" w:rsidR="00822457" w:rsidRDefault="00822457" w:rsidP="00822457">
      <w:r>
        <w:t>Satsuma Technology, the UK’s second-largest holder of Bitcoin, is set to sell all 668 BTC in its reserves. The company began building these reserves in August 2025, at an average price of $113</w:t>
      </w:r>
      <w:r w:rsidR="00D170A3">
        <w:t>.2K</w:t>
      </w:r>
      <w:r>
        <w:t xml:space="preserve"> per coin. Satsuma’s shares have fallen by more than 99% from their peak and are set </w:t>
      </w:r>
      <w:proofErr w:type="spellStart"/>
      <w:r w:rsidR="00D170A3">
        <w:rPr>
          <w:lang w:val="ru-RU"/>
        </w:rPr>
        <w:t>for</w:t>
      </w:r>
      <w:proofErr w:type="spellEnd"/>
      <w:r>
        <w:t xml:space="preserve"> delist</w:t>
      </w:r>
      <w:proofErr w:type="spellStart"/>
      <w:r w:rsidR="00D170A3">
        <w:rPr>
          <w:lang w:val="ru-RU"/>
        </w:rPr>
        <w:t>ing</w:t>
      </w:r>
      <w:proofErr w:type="spellEnd"/>
      <w:r>
        <w:t xml:space="preserve"> from the London Stock Exchange.</w:t>
      </w:r>
    </w:p>
    <w:p w14:paraId="1CAB63FC" w14:textId="77777777" w:rsidR="00822457" w:rsidRDefault="00822457" w:rsidP="00822457">
      <w:r>
        <w:t>According to CryptoQuant, miners’ off-exchange Bitcoin reserves have fallen by 72% since the end of 2021, to 139,700 BTC. The figure has been steadily declining over the past four years.</w:t>
      </w:r>
    </w:p>
    <w:p w14:paraId="45C26334" w14:textId="77777777" w:rsidR="00D170A3" w:rsidRDefault="00822457" w:rsidP="00822457">
      <w:r>
        <w:t xml:space="preserve">Solana has begun preparing validators for the large-scale Alpenglow update, which is expected to result in an 80-fold increase in transaction speed. The roll-out is scheduled to take place in phases from August to October this year. </w:t>
      </w:r>
    </w:p>
    <w:p w14:paraId="5F8EAB99" w14:textId="4D7CBF44" w:rsidR="00822457" w:rsidRDefault="00822457" w:rsidP="00822457">
      <w:pPr>
        <w:rPr>
          <w:b/>
          <w:bCs/>
          <w:i/>
          <w:iCs/>
          <w:color w:val="000000" w:themeColor="text1"/>
          <w:lang w:val="ru-RU"/>
        </w:rPr>
      </w:pPr>
      <w:r w:rsidRPr="1CB56B4A">
        <w:rPr>
          <w:b/>
          <w:bCs/>
          <w:i/>
          <w:iCs/>
          <w:color w:val="000000" w:themeColor="text1"/>
        </w:rPr>
        <w:t xml:space="preserve">The </w:t>
      </w:r>
      <w:hyperlink r:id="rId4">
        <w:r w:rsidRPr="1CB56B4A">
          <w:rPr>
            <w:rStyle w:val="Hyperlink"/>
            <w:b/>
            <w:bCs/>
            <w:i/>
            <w:iCs/>
          </w:rPr>
          <w:t>FxPro</w:t>
        </w:r>
      </w:hyperlink>
      <w:r w:rsidRPr="1CB56B4A">
        <w:rPr>
          <w:b/>
          <w:bCs/>
          <w:i/>
          <w:iCs/>
          <w:color w:val="000000" w:themeColor="text1"/>
        </w:rPr>
        <w:t> Analyst Team</w:t>
      </w:r>
    </w:p>
    <w:p w14:paraId="04179298" w14:textId="77777777" w:rsidR="00D170A3" w:rsidRPr="00D170A3" w:rsidRDefault="00D170A3" w:rsidP="00822457">
      <w:pPr>
        <w:rPr>
          <w:b/>
          <w:bCs/>
          <w:i/>
          <w:iCs/>
          <w:color w:val="000000" w:themeColor="text1"/>
          <w:lang w:val="ru-RU"/>
        </w:rPr>
      </w:pPr>
    </w:p>
    <w:p w14:paraId="7F5A025E" w14:textId="77777777" w:rsidR="00822457" w:rsidRPr="003A1EDA" w:rsidRDefault="00822457" w:rsidP="00822457">
      <w:pPr>
        <w:rPr>
          <w:b/>
          <w:bCs/>
          <w:i/>
          <w:iCs/>
        </w:rPr>
      </w:pPr>
      <w:r w:rsidRPr="003A1EDA">
        <w:rPr>
          <w:b/>
          <w:bCs/>
          <w:i/>
          <w:iCs/>
        </w:rPr>
        <w:t>Fig. 1. The crypto market is holding steady near local highs.</w:t>
      </w:r>
    </w:p>
    <w:p w14:paraId="3B19BEAB" w14:textId="77777777" w:rsidR="00822457" w:rsidRPr="003A1EDA" w:rsidRDefault="00822457" w:rsidP="00822457">
      <w:pPr>
        <w:rPr>
          <w:b/>
          <w:bCs/>
          <w:i/>
          <w:iCs/>
        </w:rPr>
      </w:pPr>
      <w:r w:rsidRPr="003A1EDA">
        <w:rPr>
          <w:b/>
          <w:bCs/>
          <w:i/>
          <w:iCs/>
        </w:rPr>
        <w:t>Fig. 2. Bitcoin is pulling back from the boundary of the correction zone.</w:t>
      </w:r>
    </w:p>
    <w:p w14:paraId="65B47CF6" w14:textId="77777777" w:rsidR="00822457" w:rsidRPr="003A1EDA" w:rsidRDefault="00822457" w:rsidP="00822457">
      <w:pPr>
        <w:rPr>
          <w:b/>
          <w:bCs/>
          <w:i/>
          <w:iCs/>
        </w:rPr>
      </w:pPr>
      <w:r w:rsidRPr="003A1EDA">
        <w:rPr>
          <w:b/>
          <w:bCs/>
          <w:i/>
          <w:iCs/>
        </w:rPr>
        <w:t>Fig. 3. Ethereum has paused its recovery at $1,900.</w:t>
      </w:r>
    </w:p>
    <w:p w14:paraId="557A098A" w14:textId="48CB19C6" w:rsidR="007F1293" w:rsidRDefault="00822457" w:rsidP="00D170A3">
      <w:pPr>
        <w:pStyle w:val="Subtitle"/>
      </w:pPr>
      <w:r w:rsidRPr="00D170A3">
        <w:rPr>
          <w:b/>
          <w:bCs/>
        </w:rPr>
        <w:t>Summary</w:t>
      </w:r>
      <w:r w:rsidRPr="003A1EDA">
        <w:t>: Bitcoin and Ethereum are losing momentum at resistance levels, the crypto market is consolidating, and the news highlights pressure on reserves and hopes for a reversal.</w:t>
      </w:r>
    </w:p>
    <w:p w14:paraId="291AA091" w14:textId="4B59BBAA" w:rsidR="005C5DE2" w:rsidRPr="00D170A3" w:rsidRDefault="00D170A3">
      <w:pPr>
        <w:rPr>
          <w:lang w:val="ru-RU"/>
        </w:rPr>
      </w:pPr>
      <w:r w:rsidRPr="00D170A3">
        <w:t>BITCOIN, ETHEREUM, HEDERA, UNISWAP, APTOS, FILECOIN, STELLAR, BITCOINCASH, SOLANA</w:t>
      </w:r>
    </w:p>
    <w:sectPr w:rsidR="005C5DE2" w:rsidRPr="00D170A3" w:rsidSect="008224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457"/>
    <w:rsid w:val="004A0FCE"/>
    <w:rsid w:val="004B6A7F"/>
    <w:rsid w:val="005C5DE2"/>
    <w:rsid w:val="005F591D"/>
    <w:rsid w:val="007F1293"/>
    <w:rsid w:val="00822457"/>
    <w:rsid w:val="00B04B95"/>
    <w:rsid w:val="00D170A3"/>
    <w:rsid w:val="00EB2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69CD9"/>
  <w15:chartTrackingRefBased/>
  <w15:docId w15:val="{C06A4581-BBEB-5C47-BB18-626D64AF0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2457"/>
    <w:rPr>
      <w:rFonts w:eastAsiaTheme="minorEastAsia"/>
      <w:kern w:val="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2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2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4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4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45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82245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457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457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457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457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457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457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457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822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22457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22457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822457"/>
    <w:pPr>
      <w:spacing w:before="160"/>
      <w:jc w:val="center"/>
    </w:pPr>
    <w:rPr>
      <w:rFonts w:eastAsiaTheme="minorHAns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22457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822457"/>
    <w:pPr>
      <w:ind w:left="720"/>
      <w:contextualSpacing/>
    </w:pPr>
    <w:rPr>
      <w:rFonts w:eastAsiaTheme="minorHAns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224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4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457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8224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82245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irect.fxpro.com/en/register/?utm_source=fxpro_news&amp;utm_medium=tex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554</Words>
  <Characters>2847</Characters>
  <Application>Microsoft Office Word</Application>
  <DocSecurity>0</DocSecurity>
  <Lines>50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Купцикевич</dc:creator>
  <cp:keywords/>
  <dc:description/>
  <cp:lastModifiedBy>Александр Купцикевич</cp:lastModifiedBy>
  <cp:revision>3</cp:revision>
  <dcterms:created xsi:type="dcterms:W3CDTF">2026-07-23T08:22:00Z</dcterms:created>
  <dcterms:modified xsi:type="dcterms:W3CDTF">2026-07-23T08:46:00Z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a7c744a1-e943-4aa7-9678-f61bce55f8e0</vt:lpwstr>
  </property>
</Properties>
</file>