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C3C4B1" w14:textId="77777777" w:rsidR="00051BF7" w:rsidRPr="003065A5" w:rsidRDefault="00051BF7" w:rsidP="003065A5">
      <w:pPr>
        <w:pStyle w:val="Title"/>
        <w:rPr>
          <w:lang w:val="en-GB"/>
        </w:rPr>
      </w:pPr>
      <w:r w:rsidRPr="003065A5">
        <w:rPr>
          <w:lang w:val="en-GB"/>
        </w:rPr>
        <w:t>Dollar: oil leaves the Fed with no choice</w:t>
      </w:r>
    </w:p>
    <w:p w14:paraId="325D9710" w14:textId="77777777" w:rsidR="00051BF7" w:rsidRPr="003065A5" w:rsidRDefault="00051BF7" w:rsidP="003065A5">
      <w:pPr>
        <w:rPr>
          <w:lang w:val="en-GB"/>
        </w:rPr>
      </w:pPr>
    </w:p>
    <w:p w14:paraId="4B7915B5" w14:textId="58EC1093" w:rsidR="00051BF7" w:rsidRPr="003065A5" w:rsidRDefault="00051BF7" w:rsidP="003065A5">
      <w:pPr>
        <w:rPr>
          <w:lang w:val="en-GB"/>
        </w:rPr>
      </w:pPr>
      <w:r w:rsidRPr="003065A5">
        <w:rPr>
          <w:lang w:val="en-GB"/>
        </w:rPr>
        <w:t xml:space="preserve">•    The </w:t>
      </w:r>
      <w:r w:rsidR="003065A5" w:rsidRPr="003065A5">
        <w:rPr>
          <w:lang w:val="en-GB"/>
        </w:rPr>
        <w:t xml:space="preserve">Brent crude </w:t>
      </w:r>
      <w:r w:rsidRPr="003065A5">
        <w:rPr>
          <w:lang w:val="en-GB"/>
        </w:rPr>
        <w:t>rally is a bigger ‘bearish’ factor for EURUSD than the ECB.</w:t>
      </w:r>
    </w:p>
    <w:p w14:paraId="7F4292DF" w14:textId="77777777" w:rsidR="00051BF7" w:rsidRPr="003065A5" w:rsidRDefault="00051BF7" w:rsidP="003065A5">
      <w:pPr>
        <w:rPr>
          <w:lang w:val="en-GB"/>
        </w:rPr>
      </w:pPr>
      <w:r w:rsidRPr="003065A5">
        <w:rPr>
          <w:lang w:val="en-GB"/>
        </w:rPr>
        <w:t>•    The Fed may spring a surprise as early as July.</w:t>
      </w:r>
    </w:p>
    <w:p w14:paraId="38097836" w14:textId="77777777" w:rsidR="00051BF7" w:rsidRPr="003065A5" w:rsidRDefault="00051BF7" w:rsidP="003065A5">
      <w:pPr>
        <w:rPr>
          <w:lang w:val="en-GB"/>
        </w:rPr>
      </w:pPr>
    </w:p>
    <w:p w14:paraId="5E558B8D" w14:textId="65404DCB" w:rsidR="00051BF7" w:rsidRPr="003065A5" w:rsidRDefault="00051BF7" w:rsidP="003065A5">
      <w:pPr>
        <w:rPr>
          <w:lang w:val="en-GB"/>
        </w:rPr>
      </w:pPr>
      <w:r w:rsidRPr="003065A5">
        <w:rPr>
          <w:lang w:val="en-GB"/>
        </w:rPr>
        <w:t xml:space="preserve">The US dollar paid no heed to the ECB’s hawkish rhetoric and continued its advance against major global currencies, including the euro. The European Central Bank </w:t>
      </w:r>
      <w:r w:rsidR="003065A5">
        <w:rPr>
          <w:lang w:val="en-GB"/>
        </w:rPr>
        <w:t>lef</w:t>
      </w:r>
      <w:r w:rsidRPr="003065A5">
        <w:rPr>
          <w:lang w:val="en-GB"/>
        </w:rPr>
        <w:t>t its deposit rate at 2.25</w:t>
      </w:r>
      <w:r w:rsidR="003065A5" w:rsidRPr="003065A5">
        <w:rPr>
          <w:lang w:val="en-GB"/>
        </w:rPr>
        <w:t>%</w:t>
      </w:r>
      <w:r w:rsidR="003065A5">
        <w:rPr>
          <w:lang w:val="en-GB"/>
        </w:rPr>
        <w:t xml:space="preserve">, keeping the </w:t>
      </w:r>
      <w:r w:rsidRPr="003065A5">
        <w:rPr>
          <w:lang w:val="en-GB"/>
        </w:rPr>
        <w:t xml:space="preserve">door open </w:t>
      </w:r>
      <w:r w:rsidR="003065A5" w:rsidRPr="003065A5">
        <w:rPr>
          <w:lang w:val="en-GB"/>
        </w:rPr>
        <w:t>to</w:t>
      </w:r>
      <w:r w:rsidR="003065A5">
        <w:rPr>
          <w:lang w:val="en-GB"/>
        </w:rPr>
        <w:t xml:space="preserve"> further hikes</w:t>
      </w:r>
      <w:r w:rsidRPr="003065A5">
        <w:rPr>
          <w:lang w:val="en-GB"/>
        </w:rPr>
        <w:t xml:space="preserve">. Christine Lagarde noted that </w:t>
      </w:r>
      <w:r w:rsidR="003065A5" w:rsidRPr="003065A5">
        <w:rPr>
          <w:lang w:val="en-GB"/>
        </w:rPr>
        <w:t>several</w:t>
      </w:r>
      <w:r w:rsidRPr="003065A5">
        <w:rPr>
          <w:lang w:val="en-GB"/>
        </w:rPr>
        <w:t xml:space="preserve"> Governing Council members had considered </w:t>
      </w:r>
      <w:r w:rsidR="003065A5">
        <w:rPr>
          <w:lang w:val="en-GB"/>
        </w:rPr>
        <w:t xml:space="preserve">acting again now, </w:t>
      </w:r>
      <w:r w:rsidRPr="003065A5">
        <w:rPr>
          <w:lang w:val="en-GB"/>
        </w:rPr>
        <w:t xml:space="preserve">but a unanimous decision was </w:t>
      </w:r>
      <w:r w:rsidR="00433932">
        <w:rPr>
          <w:lang w:val="en-GB"/>
        </w:rPr>
        <w:t>made</w:t>
      </w:r>
      <w:r w:rsidRPr="003065A5">
        <w:rPr>
          <w:lang w:val="en-GB"/>
        </w:rPr>
        <w:t xml:space="preserve"> to wait.</w:t>
      </w:r>
    </w:p>
    <w:p w14:paraId="12D79B8F" w14:textId="77777777" w:rsidR="00051BF7" w:rsidRPr="003065A5" w:rsidRDefault="00051BF7" w:rsidP="003065A5">
      <w:pPr>
        <w:rPr>
          <w:lang w:val="en-GB"/>
        </w:rPr>
      </w:pPr>
    </w:p>
    <w:p w14:paraId="74776FAC" w14:textId="77777777" w:rsidR="00051BF7" w:rsidRPr="003065A5" w:rsidRDefault="00051BF7" w:rsidP="003065A5">
      <w:pPr>
        <w:rPr>
          <w:lang w:val="en-GB"/>
        </w:rPr>
      </w:pPr>
      <w:r w:rsidRPr="003065A5">
        <w:rPr>
          <w:noProof/>
          <w:lang w:val="en-GB"/>
        </w:rPr>
        <w:drawing>
          <wp:inline distT="0" distB="0" distL="0" distR="0" wp14:anchorId="151086F7" wp14:editId="36166DAD">
            <wp:extent cx="5731510" cy="3276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76600"/>
                    </a:xfrm>
                    <a:prstGeom prst="rect">
                      <a:avLst/>
                    </a:prstGeom>
                  </pic:spPr>
                </pic:pic>
              </a:graphicData>
            </a:graphic>
          </wp:inline>
        </w:drawing>
      </w:r>
    </w:p>
    <w:p w14:paraId="25041891" w14:textId="77777777" w:rsidR="00051BF7" w:rsidRPr="003065A5" w:rsidRDefault="00051BF7" w:rsidP="003065A5">
      <w:pPr>
        <w:rPr>
          <w:lang w:val="en-GB"/>
        </w:rPr>
      </w:pPr>
    </w:p>
    <w:p w14:paraId="292F288D" w14:textId="17C6325A" w:rsidR="00051BF7" w:rsidRPr="003065A5" w:rsidRDefault="00051BF7" w:rsidP="003065A5">
      <w:pPr>
        <w:rPr>
          <w:lang w:val="en-GB"/>
        </w:rPr>
      </w:pPr>
      <w:r w:rsidRPr="003065A5">
        <w:rPr>
          <w:lang w:val="en-GB"/>
        </w:rPr>
        <w:t xml:space="preserve">The ECB was the first of the world’s leading central banks to react to the conflict in the Middle East, tightening monetary policy in June. It has room for manoeuvre. The deposit rate is 150 basis points </w:t>
      </w:r>
      <w:r w:rsidR="003065A5" w:rsidRPr="003065A5">
        <w:rPr>
          <w:lang w:val="en-GB"/>
        </w:rPr>
        <w:t>below</w:t>
      </w:r>
      <w:r w:rsidRPr="003065A5">
        <w:rPr>
          <w:lang w:val="en-GB"/>
        </w:rPr>
        <w:t xml:space="preserve"> the Fed</w:t>
      </w:r>
      <w:r w:rsidR="003065A5" w:rsidRPr="003065A5">
        <w:rPr>
          <w:lang w:val="en-GB"/>
        </w:rPr>
        <w:t>'s</w:t>
      </w:r>
      <w:r w:rsidRPr="003065A5">
        <w:rPr>
          <w:lang w:val="en-GB"/>
        </w:rPr>
        <w:t xml:space="preserve">, so there is scope for it to rise. The futures market is pricing in two rounds of monetary tightening in 2026, </w:t>
      </w:r>
      <w:r w:rsidR="00433932">
        <w:rPr>
          <w:lang w:val="en-GB"/>
        </w:rPr>
        <w:t xml:space="preserve">with </w:t>
      </w:r>
      <w:r w:rsidRPr="003065A5">
        <w:rPr>
          <w:lang w:val="en-GB"/>
        </w:rPr>
        <w:t>the first expected in September or October.</w:t>
      </w:r>
    </w:p>
    <w:p w14:paraId="113373B4" w14:textId="77777777" w:rsidR="00051BF7" w:rsidRPr="003065A5" w:rsidRDefault="00051BF7" w:rsidP="003065A5">
      <w:pPr>
        <w:rPr>
          <w:lang w:val="en-GB"/>
        </w:rPr>
      </w:pPr>
    </w:p>
    <w:p w14:paraId="7DEA88FE" w14:textId="043FB9A6" w:rsidR="008373A7" w:rsidRPr="003065A5" w:rsidRDefault="00051BF7" w:rsidP="003065A5">
      <w:pPr>
        <w:rPr>
          <w:lang w:val="en-GB"/>
        </w:rPr>
      </w:pPr>
      <w:r w:rsidRPr="003065A5">
        <w:rPr>
          <w:lang w:val="en-GB"/>
        </w:rPr>
        <w:t xml:space="preserve">However, the fate of the EURUSD is decided not in Frankfurt, but in Washington. In the FOMC’s latest rate forecasts, half of the officials expected a rate hike, whilst the rest expected rates to remain unchanged. At the same time, oil prices </w:t>
      </w:r>
      <w:r w:rsidR="003065A5">
        <w:rPr>
          <w:lang w:val="en-GB"/>
        </w:rPr>
        <w:t xml:space="preserve">are </w:t>
      </w:r>
      <w:r w:rsidRPr="003065A5">
        <w:rPr>
          <w:lang w:val="en-GB"/>
        </w:rPr>
        <w:t>rising above the critical $</w:t>
      </w:r>
      <w:r w:rsidR="003065A5" w:rsidRPr="003065A5">
        <w:rPr>
          <w:lang w:val="en-GB"/>
        </w:rPr>
        <w:t>100</w:t>
      </w:r>
      <w:r w:rsidR="003065A5">
        <w:rPr>
          <w:lang w:val="en-GB"/>
        </w:rPr>
        <w:t xml:space="preserve"> </w:t>
      </w:r>
      <w:r w:rsidR="003065A5" w:rsidRPr="003065A5">
        <w:rPr>
          <w:lang w:val="en-GB"/>
        </w:rPr>
        <w:t>per</w:t>
      </w:r>
      <w:r w:rsidR="003065A5">
        <w:rPr>
          <w:lang w:val="en-GB"/>
        </w:rPr>
        <w:t xml:space="preserve"> </w:t>
      </w:r>
      <w:r w:rsidRPr="003065A5">
        <w:rPr>
          <w:lang w:val="en-GB"/>
        </w:rPr>
        <w:t>barrel</w:t>
      </w:r>
      <w:r w:rsidR="003065A5">
        <w:rPr>
          <w:lang w:val="en-GB"/>
        </w:rPr>
        <w:t xml:space="preserve"> level,</w:t>
      </w:r>
      <w:r w:rsidRPr="003065A5">
        <w:rPr>
          <w:lang w:val="en-GB"/>
        </w:rPr>
        <w:t xml:space="preserve"> </w:t>
      </w:r>
      <w:r w:rsidR="003065A5">
        <w:rPr>
          <w:lang w:val="en-GB"/>
        </w:rPr>
        <w:t>increasing</w:t>
      </w:r>
      <w:r w:rsidRPr="003065A5">
        <w:rPr>
          <w:lang w:val="en-GB"/>
        </w:rPr>
        <w:t xml:space="preserve"> the chances of a move </w:t>
      </w:r>
      <w:r w:rsidR="003065A5">
        <w:rPr>
          <w:lang w:val="en-GB"/>
        </w:rPr>
        <w:t xml:space="preserve">up by </w:t>
      </w:r>
      <w:r w:rsidRPr="003065A5">
        <w:rPr>
          <w:lang w:val="en-GB"/>
        </w:rPr>
        <w:t xml:space="preserve">the Fed as early as its July meeting. CME derivatives currently put the probability of </w:t>
      </w:r>
      <w:r w:rsidR="003065A5">
        <w:rPr>
          <w:lang w:val="en-GB"/>
        </w:rPr>
        <w:t>this at</w:t>
      </w:r>
      <w:r w:rsidRPr="003065A5">
        <w:rPr>
          <w:lang w:val="en-GB"/>
        </w:rPr>
        <w:t xml:space="preserve"> 34</w:t>
      </w:r>
      <w:r w:rsidR="003065A5">
        <w:rPr>
          <w:lang w:val="en-GB"/>
        </w:rPr>
        <w:t>%</w:t>
      </w:r>
      <w:r w:rsidRPr="003065A5">
        <w:rPr>
          <w:lang w:val="en-GB"/>
        </w:rPr>
        <w:t>.</w:t>
      </w:r>
    </w:p>
    <w:p w14:paraId="299678DA" w14:textId="77777777" w:rsidR="00051BF7" w:rsidRPr="003065A5" w:rsidRDefault="00051BF7" w:rsidP="003065A5">
      <w:pPr>
        <w:rPr>
          <w:lang w:val="en-GB"/>
        </w:rPr>
      </w:pPr>
    </w:p>
    <w:p w14:paraId="0CA71159" w14:textId="50D4CEC9" w:rsidR="00051BF7" w:rsidRPr="003065A5" w:rsidRDefault="00051BF7" w:rsidP="003065A5">
      <w:pPr>
        <w:rPr>
          <w:lang w:val="en-GB"/>
        </w:rPr>
      </w:pPr>
      <w:r w:rsidRPr="003065A5">
        <w:rPr>
          <w:lang w:val="en-GB"/>
        </w:rPr>
        <w:t>Meanwhile, the White House has announced the introduction of new tariffs of 10–12.5</w:t>
      </w:r>
      <w:r w:rsidR="003065A5">
        <w:rPr>
          <w:lang w:val="en-GB"/>
        </w:rPr>
        <w:t>%</w:t>
      </w:r>
      <w:r w:rsidRPr="003065A5">
        <w:rPr>
          <w:lang w:val="en-GB"/>
        </w:rPr>
        <w:t xml:space="preserve"> on several dozen countries, covering </w:t>
      </w:r>
      <w:r w:rsidR="003065A5">
        <w:rPr>
          <w:lang w:val="en-GB"/>
        </w:rPr>
        <w:t>more than</w:t>
      </w:r>
      <w:r w:rsidRPr="003065A5">
        <w:rPr>
          <w:lang w:val="en-GB"/>
        </w:rPr>
        <w:t xml:space="preserve"> 99</w:t>
      </w:r>
      <w:r w:rsidR="003065A5">
        <w:rPr>
          <w:lang w:val="en-GB"/>
        </w:rPr>
        <w:t>%</w:t>
      </w:r>
      <w:r w:rsidRPr="003065A5">
        <w:rPr>
          <w:lang w:val="en-GB"/>
        </w:rPr>
        <w:t xml:space="preserve"> of total US </w:t>
      </w:r>
      <w:r w:rsidR="003065A5">
        <w:rPr>
          <w:lang w:val="en-GB"/>
        </w:rPr>
        <w:t>imports</w:t>
      </w:r>
      <w:r w:rsidRPr="003065A5">
        <w:rPr>
          <w:lang w:val="en-GB"/>
        </w:rPr>
        <w:t>. These will replace the temporary 10</w:t>
      </w:r>
      <w:r w:rsidR="003065A5">
        <w:rPr>
          <w:lang w:val="en-GB"/>
        </w:rPr>
        <w:t>%</w:t>
      </w:r>
      <w:r w:rsidRPr="003065A5">
        <w:rPr>
          <w:lang w:val="en-GB"/>
        </w:rPr>
        <w:t xml:space="preserve"> import duties, which are due to expire on 24 July. As the rates differ little from the previous ones, this has had little impact on the markets. Nevertheless, Washington’s intention to continue </w:t>
      </w:r>
      <w:r w:rsidR="003065A5" w:rsidRPr="003065A5">
        <w:rPr>
          <w:lang w:val="en-GB"/>
        </w:rPr>
        <w:t>pursuing</w:t>
      </w:r>
      <w:r w:rsidRPr="003065A5">
        <w:rPr>
          <w:lang w:val="en-GB"/>
        </w:rPr>
        <w:t xml:space="preserve"> trade wars, despite the Supreme Court’s rulings, should be a cause for concern among investors.</w:t>
      </w:r>
    </w:p>
    <w:p w14:paraId="0051481F" w14:textId="77777777" w:rsidR="00051BF7" w:rsidRPr="003065A5" w:rsidRDefault="00051BF7" w:rsidP="003065A5">
      <w:pPr>
        <w:rPr>
          <w:lang w:val="en-GB"/>
        </w:rPr>
      </w:pPr>
    </w:p>
    <w:p w14:paraId="494876FF" w14:textId="77777777" w:rsidR="00051BF7" w:rsidRPr="003065A5" w:rsidRDefault="00051BF7" w:rsidP="003065A5">
      <w:pPr>
        <w:rPr>
          <w:lang w:val="en-GB"/>
        </w:rPr>
      </w:pPr>
      <w:r w:rsidRPr="003065A5">
        <w:rPr>
          <w:noProof/>
          <w:lang w:val="en-GB"/>
        </w:rPr>
        <w:drawing>
          <wp:inline distT="0" distB="0" distL="0" distR="0" wp14:anchorId="157A4551" wp14:editId="0EC1E223">
            <wp:extent cx="5731510" cy="32766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76600"/>
                    </a:xfrm>
                    <a:prstGeom prst="rect">
                      <a:avLst/>
                    </a:prstGeom>
                  </pic:spPr>
                </pic:pic>
              </a:graphicData>
            </a:graphic>
          </wp:inline>
        </w:drawing>
      </w:r>
    </w:p>
    <w:p w14:paraId="7C09F524" w14:textId="77777777" w:rsidR="00051BF7" w:rsidRPr="003065A5" w:rsidRDefault="00051BF7" w:rsidP="003065A5">
      <w:pPr>
        <w:rPr>
          <w:lang w:val="en-GB"/>
        </w:rPr>
      </w:pPr>
    </w:p>
    <w:p w14:paraId="250E72DF" w14:textId="77777777" w:rsidR="00051BF7" w:rsidRPr="003065A5" w:rsidRDefault="00051BF7" w:rsidP="003065A5">
      <w:pPr>
        <w:rPr>
          <w:lang w:val="en-GB"/>
        </w:rPr>
      </w:pPr>
      <w:r w:rsidRPr="003065A5">
        <w:rPr>
          <w:lang w:val="en-GB"/>
        </w:rPr>
        <w:t>The yen is on track for its biggest weekly loss in the last two months, as investors brush aside the government’s verbal interventions and rumours of faster monetary tightening by the Bank of Japan than the markets expect.</w:t>
      </w:r>
    </w:p>
    <w:p w14:paraId="3659942D" w14:textId="77777777" w:rsidR="00051BF7" w:rsidRPr="003065A5" w:rsidRDefault="00051BF7" w:rsidP="003065A5">
      <w:pPr>
        <w:rPr>
          <w:lang w:val="en-GB"/>
        </w:rPr>
      </w:pPr>
    </w:p>
    <w:p w14:paraId="259660E9" w14:textId="1D06144E" w:rsidR="00051BF7" w:rsidRDefault="00051BF7" w:rsidP="003065A5">
      <w:pPr>
        <w:rPr>
          <w:lang w:val="en-GB"/>
        </w:rPr>
      </w:pPr>
      <w:r w:rsidRPr="003065A5">
        <w:rPr>
          <w:lang w:val="en-GB"/>
        </w:rPr>
        <w:t>The BoJ now has another reason to act in June, the key inflation indicator rose for the first time in three months, reaching 1.6</w:t>
      </w:r>
      <w:r w:rsidR="003065A5">
        <w:rPr>
          <w:lang w:val="en-GB"/>
        </w:rPr>
        <w:t>%</w:t>
      </w:r>
      <w:r w:rsidRPr="003065A5">
        <w:rPr>
          <w:lang w:val="en-GB"/>
        </w:rPr>
        <w:t xml:space="preserve">. Nevertheless, investors do not expect an overnight rate hike at the </w:t>
      </w:r>
      <w:r w:rsidR="00B20973">
        <w:rPr>
          <w:lang w:val="en-GB"/>
        </w:rPr>
        <w:t xml:space="preserve">Policy Board’s </w:t>
      </w:r>
      <w:r w:rsidRPr="003065A5">
        <w:rPr>
          <w:lang w:val="en-GB"/>
        </w:rPr>
        <w:t>July meeting. As a result, USDJPY is rising steadily.</w:t>
      </w:r>
    </w:p>
    <w:p w14:paraId="2634CE02" w14:textId="77777777" w:rsidR="00433932" w:rsidRDefault="00433932" w:rsidP="003065A5">
      <w:pPr>
        <w:rPr>
          <w:lang w:val="en-GB"/>
        </w:rPr>
      </w:pPr>
    </w:p>
    <w:p w14:paraId="58AEDAB8" w14:textId="13674624" w:rsidR="00433932" w:rsidRPr="00433932" w:rsidRDefault="00433932" w:rsidP="00433932">
      <w:pPr>
        <w:pStyle w:val="Subtitle"/>
        <w:rPr>
          <w:lang w:eastAsia="en-GB"/>
        </w:rPr>
      </w:pPr>
      <w:r w:rsidRPr="00433932">
        <w:rPr>
          <w:b/>
          <w:bCs/>
          <w:lang w:eastAsia="en-GB"/>
        </w:rPr>
        <w:t>Summary</w:t>
      </w:r>
      <w:r w:rsidRPr="00433932">
        <w:rPr>
          <w:lang w:eastAsia="en-GB"/>
        </w:rPr>
        <w:t>: Rising oil prices are strengthening the dollar and increasing the risk of a surprise move by the Fed as early as July, whilst the ECB and the Bank of Japan are currently less significant for the EURUSD and USDJPY pairs.</w:t>
      </w:r>
    </w:p>
    <w:p w14:paraId="4709B204" w14:textId="77777777" w:rsidR="00433932" w:rsidRPr="00433932" w:rsidRDefault="00433932" w:rsidP="00433932">
      <w:pPr>
        <w:rPr>
          <w:b/>
          <w:bCs/>
          <w:lang w:eastAsia="en-GB"/>
        </w:rPr>
      </w:pPr>
      <w:r w:rsidRPr="00433932">
        <w:rPr>
          <w:b/>
          <w:bCs/>
          <w:lang w:eastAsia="en-GB"/>
        </w:rPr>
        <w:t>Fig. 1. Key interest rates of the Fed and the ECB.</w:t>
      </w:r>
    </w:p>
    <w:p w14:paraId="0ABDF60A" w14:textId="7DEA31AB" w:rsidR="00433932" w:rsidRDefault="00433932" w:rsidP="00433932">
      <w:pPr>
        <w:rPr>
          <w:b/>
          <w:bCs/>
          <w:lang w:eastAsia="en-GB"/>
        </w:rPr>
      </w:pPr>
      <w:r w:rsidRPr="00433932">
        <w:rPr>
          <w:b/>
          <w:bCs/>
          <w:lang w:eastAsia="en-GB"/>
        </w:rPr>
        <w:t>Fig. 2. Bank of Japan policy rate and consumer inflation.</w:t>
      </w:r>
    </w:p>
    <w:p w14:paraId="67EEF202" w14:textId="77777777" w:rsidR="00433932" w:rsidRDefault="00433932" w:rsidP="00433932">
      <w:pPr>
        <w:rPr>
          <w:b/>
          <w:bCs/>
          <w:lang w:eastAsia="en-GB"/>
        </w:rPr>
      </w:pPr>
    </w:p>
    <w:p w14:paraId="793CDE02" w14:textId="44C178FA" w:rsidR="00433932" w:rsidRPr="00433932" w:rsidRDefault="00433932" w:rsidP="00433932">
      <w:pPr>
        <w:rPr>
          <w:b/>
          <w:bCs/>
          <w:lang w:eastAsia="en-GB"/>
        </w:rPr>
      </w:pPr>
      <w:r>
        <w:rPr>
          <w:b/>
          <w:bCs/>
          <w:lang w:eastAsia="en-GB"/>
        </w:rPr>
        <w:t>Eurusd,usdjpy,brent,wti</w:t>
      </w:r>
    </w:p>
    <w:sectPr w:rsidR="00433932" w:rsidRPr="00433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2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391"/>
    <w:rsid w:val="000422C1"/>
    <w:rsid w:val="00051BF7"/>
    <w:rsid w:val="003065A5"/>
    <w:rsid w:val="00433932"/>
    <w:rsid w:val="006D7391"/>
    <w:rsid w:val="008373A7"/>
    <w:rsid w:val="00985280"/>
    <w:rsid w:val="00B20973"/>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FCBF3"/>
  <w15:chartTrackingRefBased/>
  <w15:docId w15:val="{6315FCFA-3F91-FA48-8943-379F92D82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C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65A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5A5"/>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433932"/>
    <w:pPr>
      <w:spacing w:before="100" w:beforeAutospacing="1" w:after="100" w:afterAutospacing="1"/>
    </w:pPr>
    <w:rPr>
      <w:rFonts w:ascii="Times New Roman" w:eastAsia="Times New Roman" w:hAnsi="Times New Roman" w:cs="Times New Roman"/>
      <w:lang w:eastAsia="en-GB"/>
    </w:rPr>
  </w:style>
  <w:style w:type="paragraph" w:styleId="Subtitle">
    <w:name w:val="Subtitle"/>
    <w:basedOn w:val="Normal"/>
    <w:next w:val="Normal"/>
    <w:link w:val="SubtitleChar"/>
    <w:uiPriority w:val="11"/>
    <w:qFormat/>
    <w:rsid w:val="00433932"/>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33932"/>
    <w:rPr>
      <w:rFonts w:eastAsiaTheme="minorEastAsia"/>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469</Words>
  <Characters>2255</Characters>
  <Application>Microsoft Office Word</Application>
  <DocSecurity>0</DocSecurity>
  <Lines>46</Lines>
  <Paragraphs>12</Paragraphs>
  <ScaleCrop>false</ScaleCrop>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Dzmitry Dzemidzenka</dc:creator>
  <cp:keywords/>
  <dc:description/>
  <cp:lastModifiedBy>Александр Купцикевич</cp:lastModifiedBy>
  <cp:revision>5</cp:revision>
  <dcterms:created xsi:type="dcterms:W3CDTF">2026-07-24T06:23:00Z</dcterms:created>
  <dcterms:modified xsi:type="dcterms:W3CDTF">2026-07-24T09:38:00Z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1d0224a8-bfc9-40f5-82ff-17fa6d4172e8</vt:lpwstr>
  </property>
</Properties>
</file>