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全球出口管制与制裁风险_情报报告_2026-07-27</w:t>
      </w:r>
    </w:p>
    <w:p>
      <w:pPr>
        <w:pStyle w:val="Heading2"/>
      </w:pPr>
      <w:r>
        <w:t>执行摘要</w:t>
      </w:r>
    </w:p>
    <w:p>
      <w:r>
        <w:t>2026年6月29日，中国商务部依据《出口管制法》发布第27号和第28号公告，对日本实施新一轮出口管制，将20家日方实体列入管控清单，另将20家列入关注名单。结合同年1月6日已实施的对日军事用途两用物项全面禁运，中国对日出口管制已形成“全面禁运+清单管控+加强审查”的三级递进体系。海关通关与合规审查面临显著升级，需严防通过第三国转运的规避行为。</w:t>
      </w:r>
    </w:p>
    <w:p>
      <w:pPr>
        <w:pStyle w:val="Heading2"/>
      </w:pPr>
      <w:r>
        <w:t>关键发现</w:t>
      </w:r>
    </w:p>
    <w:p>
      <w:pPr>
        <w:pStyle w:val="ListNumber"/>
      </w:pPr>
      <w:r>
        <w:t>**管制手段分级化**：本次措施区分了“管控清单”与“关注名单”。对列入关注名单的实体（如三井E&amp;S），未采取全面禁止，而是实施加强的最终用户和最终用途审查机制，体现了精准管控特征 [参见条目1]。</w:t>
      </w:r>
    </w:p>
    <w:p>
      <w:pPr>
        <w:pStyle w:val="ListNumber"/>
      </w:pPr>
      <w:r>
        <w:t>**政策演进连续性**：此次管制并非孤立事件，而是2026年1月6日第1号公告的延续与升级。1月公告已禁止向日本军事最终用户出口两用物项，覆盖约1030项受控物项，本次新增实体清单进一步收紧了网络 [参见条目1]。</w:t>
      </w:r>
    </w:p>
    <w:p>
      <w:pPr>
        <w:pStyle w:val="ListNumber"/>
      </w:pPr>
      <w:r>
        <w:t>**打击目标聚焦涉军领域**：被列入清单的实体包括日本防卫研究所等，显示核心目标在于阻断有助于提升日本军事能力的供应链与技术流转 [参见条目1]。</w:t>
      </w:r>
    </w:p>
    <w:p>
      <w:pPr>
        <w:pStyle w:val="ListNumber"/>
      </w:pPr>
      <w:r>
        <w:t>**口岸监管压力剧增**：公告要求对关注名单实体提交加强版最终用途证明，海关与商务主管部门的协同审查压力将显著上升，一线通关需强化申报要素比对 [参见条目1]。</w:t>
      </w:r>
    </w:p>
    <w:p>
      <w:pPr>
        <w:pStyle w:val="Heading2"/>
      </w:pPr>
      <w:r>
        <w:t>数据概览</w:t>
      </w:r>
    </w:p>
    <w:p>
      <w:pPr>
        <w:pStyle w:val="ListBullet"/>
      </w:pPr>
      <w:r>
        <w:t>**数据时间范围**：2026-06-29 至 2026-06-29</w:t>
      </w:r>
    </w:p>
    <w:p>
      <w:pPr>
        <w:pStyle w:val="ListBullet"/>
      </w:pPr>
      <w:r>
        <w:t>**条目数量**：本次分析基于1条代表性信息。</w:t>
      </w:r>
    </w:p>
    <w:p>
      <w:pPr>
        <w:pStyle w:val="ListBullet"/>
      </w:pPr>
      <w:r>
        <w:t>**来源分布**：tavily 搜索引擎采集 1 条（占比100%）。</w:t>
      </w:r>
    </w:p>
    <w:p>
      <w:pPr>
        <w:pStyle w:val="ListBullet"/>
      </w:pPr>
      <w:r>
        <w:t>**分类分布**：regulation（法规监管类）1 条（占比100%）。</w:t>
      </w:r>
    </w:p>
    <w:p>
      <w:pPr>
        <w:pStyle w:val="ListBullet"/>
      </w:pPr>
      <w:r>
        <w:t>**时间趋势**：单日数据点显示2026年6月底存在一次重大的对日出口管制政策发布节点。由于样本量限制，中长期时间趋势待核验。</w:t>
      </w:r>
    </w:p>
    <w:p>
      <w:pPr>
        <w:pStyle w:val="Heading2"/>
      </w:pPr>
      <w:r>
        <w:t>详细分析</w:t>
      </w:r>
    </w:p>
    <w:p>
      <w:pPr>
        <w:pStyle w:val="Heading3"/>
      </w:pPr>
      <w:r>
        <w:t>1. 管控政策脉络与法律依据</w:t>
      </w:r>
    </w:p>
    <w:p>
      <w:r>
        <w:t>本次出口管制措施的法律基础为中国的《出口管制法》和《两用物项出口管制条例》。商务部通过第27号和第28号公告执行。从政策脉络看，中方对日两用物项管制采取了阶梯式收紧策略：第一阶段（2026年1月6日）发布第1号公告，全面禁止向日本军事最终用户及有助于提升其军事能力的用途出口两用物项；第二阶段（2026年6月29日）则通过实体清单机制，将日本防卫研究所等20家实体列入管控清单，将三井E&amp;S等20家实体列入关注名单 [参见条目1]。这一演变表明管制政策从“用途导向”向“实体+用途双重导向”深化。</w:t>
      </w:r>
    </w:p>
    <w:p>
      <w:pPr>
        <w:pStyle w:val="Heading3"/>
      </w:pPr>
      <w:r>
        <w:t>2. 海关通关与物流供应链风险研判</w:t>
      </w:r>
    </w:p>
    <w:p>
      <w:r>
        <w:t>基于海关风险研判方法，本次公告对口岸监管提出具体挑战：</w:t>
      </w:r>
    </w:p>
    <w:p>
      <w:pPr>
        <w:pStyle w:val="ListBullet"/>
      </w:pPr>
      <w:r>
        <w:t>**实体匹配与申报核验**：一线关员在受理对日出口申报时，应重点比对收发货人及最终用户是否匹配本次新增的40家管控清单与关注名单。对于三井E&amp;S等关注名单实体，出口企业必须提交加强版最终用户及最终用途证明材料。</w:t>
      </w:r>
    </w:p>
    <w:p>
      <w:pPr>
        <w:pStyle w:val="ListBullet"/>
      </w:pPr>
      <w:r>
        <w:t>**涉军与双用途敏感货物识别**：1月公告涵盖约1030项受控物项。由于两用物项常具有民用掩体属性（如特定数控机床、高端金属材料、电子元器件等），申报品名可能存在模糊化处理。查验环节需结合货物技术参数与最终用途证明进行交叉比对。</w:t>
      </w:r>
    </w:p>
    <w:p>
      <w:pPr>
        <w:pStyle w:val="ListBullet"/>
      </w:pPr>
      <w:r>
        <w:t>**第三国转运绕道风险**：由于对日直接出口受限，存在通过第三国转运、变更最终目的地的规避风险。风险布控不应仅局限于起运港为日本的目的申报，需关注共船箱号、物流轨迹异常的货物。</w:t>
      </w:r>
    </w:p>
    <w:p>
      <w:pPr>
        <w:pStyle w:val="ListBullet"/>
      </w:pPr>
      <w:r>
        <w:t>**待核验要素**：当前采集数据未包含新增40家日方实体的完整名单、具体受控货物HS编码、以及主要涉及的中国出口关联企业信息，上述要素需依托海关后续业务数据系统进行全量核验。</w:t>
      </w:r>
    </w:p>
    <w:p>
      <w:pPr>
        <w:pStyle w:val="Heading2"/>
      </w:pPr>
      <w:r>
        <w:t>趋势研判</w:t>
      </w:r>
    </w:p>
    <w:p>
      <w:pPr>
        <w:pStyle w:val="ListNumber"/>
      </w:pPr>
      <w:r>
        <w:t>**出口管制工具箱日益常态化与精准化**：运用“管控清单”与“关注名单”的双轨制，表明中国在出口管制执法中越来越注重精准打击与梯度施压，未来针对其他国家的类似管制也可能采用此模式。</w:t>
      </w:r>
    </w:p>
    <w:p>
      <w:pPr>
        <w:pStyle w:val="ListNumber"/>
      </w:pPr>
      <w:r>
        <w:t>**中日供应链脱钩风险局部上升**：涉及防卫、高端制造及军民两用技术领域的贸易合规成本将大幅增加。日方相关企业可能寻求替代供应链，中国相关出口企业面临订单流失与合规违约的双重风险。</w:t>
      </w:r>
    </w:p>
    <w:p>
      <w:pPr>
        <w:pStyle w:val="ListNumber"/>
      </w:pPr>
      <w:r>
        <w:t>**海关协同审查前置化**：商务主管部门的清单发布与海关口岸的拦截布控将形成更紧密的联动。加强版最终用户审查机制意味着审查周期可能延长，企业需在出口前预留更充足的合规审查时间。</w:t>
      </w:r>
    </w:p>
    <w:p>
      <w:pPr>
        <w:pStyle w:val="Heading2"/>
      </w:pPr>
      <w:r>
        <w:t>建议行动</w:t>
      </w:r>
    </w:p>
    <w:p>
      <w:r>
        <w:t>基于上述发现，为中国海关及出口企业提出以下可操作建议：</w:t>
      </w:r>
    </w:p>
    <w:p>
      <w:pPr>
        <w:pStyle w:val="ListNumber"/>
      </w:pPr>
      <w:r>
        <w:t>**建立专项风险参数与布控规则**：建议海关风险管理部门根据商务部第27号、28号公告及1月6日公告，提取约1030项受控物项的HS编码与核心技术参数，建立对日出口专项风险参数。对运抵国为日本且收货人/最终用户匹配新增40家实体的报关单实施系统自动拦截或人工审核。</w:t>
      </w:r>
    </w:p>
    <w:p>
      <w:pPr>
        <w:pStyle w:val="ListNumber"/>
      </w:pPr>
      <w:r>
        <w:t>**开展物流轨迹与共船箱号穿透核查**：防范第三国绕道风险。对涉及两用物项敏感货物，不仅审查申报目的国，还应结合AIS数据、集装箱物流轨迹，排查是否存在经韩国、东南亚等第三国港口中转后实际运往日本管控实体的行为。</w:t>
      </w:r>
    </w:p>
    <w:p>
      <w:pPr>
        <w:pStyle w:val="ListNumber"/>
      </w:pPr>
      <w:r>
        <w:t>**加强出口企业合规辅导**：建议海关与商务部门联合向对日出口企业发布合规指引，明确“加强版最终用户及最终用途证明”的填报规范与审查标准，避免因材料不合规导致的口岸滞留。</w:t>
      </w:r>
    </w:p>
    <w:p>
      <w:pPr>
        <w:pStyle w:val="ListNumber"/>
      </w:pPr>
      <w:r>
        <w:t>**建立跨国企业关联排查机制**：针对三井E&amp;S等大型综合企业，需警惕通过更名、关联子公司或壳公司进行采购的规避行为。建议在海关风险系统中构建日方关注名单实体的企业图谱，实施穿透式风险识别。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