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执法信息周报_情报报告_2026-07-25</w:t>
      </w:r>
    </w:p>
    <w:p>
      <w:pPr>
        <w:pStyle w:val="Heading2"/>
      </w:pPr>
      <w:r>
        <w:t>执行摘要</w:t>
      </w:r>
    </w:p>
    <w:p>
      <w:r>
        <w:t>在2026年7月16日至22日，香港海关在机场、内河船、假冒商品、濒危物种及贵金属交易等多领域展开执法。共检获11件毒品案、50起假冒案件、3起濒危动物走私，显示跨境非法贸易与合规风险持续升温。</w:t>
      </w:r>
    </w:p>
    <w:p>
      <w:pPr>
        <w:pStyle w:val="Heading2"/>
      </w:pPr>
      <w:r>
        <w:t>关键发现</w:t>
      </w:r>
    </w:p>
    <w:p>
      <w:pPr>
        <w:pStyle w:val="ListBullet"/>
      </w:pPr>
      <w:r>
        <w:t>机场毒品查获持续高发，7月22日共检获3件案件，合计约11.1万港元毒品价值。 [参见条目1]</w:t>
      </w:r>
    </w:p>
    <w:p>
      <w:pPr>
        <w:pStyle w:val="ListBullet"/>
      </w:pPr>
      <w:r>
        <w:t>内河船走私行动取得显著成果，5起案件共检获1.33万件药剂制品及其他违禁品，价值约875万港元。 [参见条目3]</w:t>
      </w:r>
    </w:p>
    <w:p>
      <w:pPr>
        <w:pStyle w:val="ListBullet"/>
      </w:pPr>
      <w:r>
        <w:t>2026年7月20日“钢门”行动共破获50起假冒商品案件，价值约1.59亿港元。 [参见条目9]</w:t>
      </w:r>
    </w:p>
    <w:p>
      <w:pPr>
        <w:pStyle w:val="ListBullet"/>
      </w:pPr>
      <w:r>
        <w:t>濒危物种走私案件频发，7月16日至21日共检获超过100只活龟与蜥蜴，价值约1.1万港元。 [参见条目5,11,14,15]</w:t>
      </w:r>
    </w:p>
    <w:p>
      <w:pPr>
        <w:pStyle w:val="ListBullet"/>
      </w:pPr>
      <w:r>
        <w:t>美国海关对中国电商物流的打击导致约1000吨货物扣押，影响多家代理。 [参见条目6]</w:t>
      </w:r>
    </w:p>
    <w:p>
      <w:pPr>
        <w:pStyle w:val="Heading2"/>
      </w:pPr>
      <w:r>
        <w:t>数据概览</w:t>
      </w:r>
    </w:p>
    <w:p>
      <w:pPr>
        <w:pStyle w:val="ListBullet"/>
      </w:pPr>
      <w:r>
        <w:t>**来源分布**：ext‑source‑001 15条，ai‑smart‑web‑research 1条，覆盖率94%。</w:t>
      </w:r>
    </w:p>
    <w:p>
      <w:pPr>
        <w:pStyle w:val="ListBullet"/>
      </w:pPr>
      <w:r>
        <w:t>**分类统计**：security 3条（1,4,16），general 3条（2,10,13），trade 9条（3,5,7,8,9,11,12,14,15），technology 1条（6）。</w:t>
      </w:r>
    </w:p>
    <w:p>
      <w:pPr>
        <w:pStyle w:val="ListBullet"/>
      </w:pPr>
      <w:r>
        <w:t>**时间趋势**：7月16日出现首批毒品与濒危物种案件；7月19‑22日集中出现机场毒品与内河船走私；7月20日“钢门”行动高峰；7月21‑22日多起毒品案件。</w:t>
      </w:r>
    </w:p>
    <w:p>
      <w:pPr>
        <w:pStyle w:val="Heading2"/>
      </w:pPr>
      <w:r>
        <w:t>详细分析</w:t>
      </w:r>
    </w:p>
    <w:p>
      <w:pPr>
        <w:pStyle w:val="Heading3"/>
      </w:pPr>
      <w:r>
        <w:t>机场毒品执法</w:t>
      </w:r>
    </w:p>
    <w:p>
      <w:pPr>
        <w:pStyle w:val="ListBullet"/>
      </w:pPr>
      <w:r>
        <w:t>7月22日香港国际机场共侦破3宗入境旅客贩毒案件，检获5.4公斤可卡因、14公斤冰毒，估值约1.1亿港元，拘捕3名男子。 [参见条目1]</w:t>
      </w:r>
    </w:p>
    <w:p>
      <w:pPr>
        <w:pStyle w:val="ListBullet"/>
      </w:pPr>
      <w:r>
        <w:t>7月19日机场亦侦破3宗毒品案件，检获7公斤大麻花、15公斤氯胺酮、1公斤可卡因及587粒第一部毒药，估值约790万港元，拘捕1男2女。 [参见条目10]</w:t>
      </w:r>
    </w:p>
    <w:p>
      <w:pPr>
        <w:pStyle w:val="ListBullet"/>
      </w:pPr>
      <w:r>
        <w:t>7月16日机场侦破2宗行李藏毒案件，检获22公斤大麻花，估值约410万港元，拘捕2女1男。 [参见条目16]</w:t>
      </w:r>
    </w:p>
    <w:p>
      <w:pPr>
        <w:pStyle w:val="ListBullet"/>
      </w:pPr>
      <w:r>
        <w:t>7月21日另一毒品案件检获28.6公斤大麻花、1克可卡因、3克冰毒，估值540k港元，拘捕2名男子。 [参见条目2]</w:t>
      </w:r>
    </w:p>
    <w:p>
      <w:pPr>
        <w:pStyle w:val="ListBullet"/>
      </w:pPr>
      <w:r>
        <w:t>机场执法持续聚焦高风险地区旅客，尤其来自泰国、马来西亚、巴西等国的旅客。</w:t>
      </w:r>
    </w:p>
    <w:p>
      <w:pPr>
        <w:pStyle w:val="Heading3"/>
      </w:pPr>
      <w:r>
        <w:t>内河船走私与“钢门”行动</w:t>
      </w:r>
    </w:p>
    <w:p>
      <w:pPr>
        <w:pStyle w:val="ListBullet"/>
      </w:pPr>
      <w:r>
        <w:t>6月下旬起的内河船走私行动共侦破5宗案件，检获1.33万件药剂制品、3,900支减肥针剂、8,880支美容针剂、59公斤烟草、9,700支烟、1,500件钓鱼用具及723公斤受管制海参，估值约875万港元。 [参见条目3]</w:t>
      </w:r>
    </w:p>
    <w:p>
      <w:pPr>
        <w:pStyle w:val="ListBullet"/>
      </w:pPr>
      <w:r>
        <w:t>7月20日“钢门”行动针对与2026年世界杯相关的跨境转运与网上售卖冒牌货物，侦破50宗案件，检获24万件冒牌货物，估值约1.59亿港元，拘捕13名本地男子。 [参见条目9]</w:t>
      </w:r>
    </w:p>
    <w:p>
      <w:pPr>
        <w:pStyle w:val="Heading3"/>
      </w:pPr>
      <w:r>
        <w:t>濒危物种走私</w:t>
      </w:r>
    </w:p>
    <w:p>
      <w:pPr>
        <w:pStyle w:val="ListBullet"/>
      </w:pPr>
      <w:r>
        <w:t>7月13日机场空邮中心检获33只受管制属濒危物种活龟，估值33万港元。 [参见条目5]</w:t>
      </w:r>
    </w:p>
    <w:p>
      <w:pPr>
        <w:pStyle w:val="ListBullet"/>
      </w:pPr>
      <w:r>
        <w:t>7月16日机场检获36只活龟及8只活蜥蜴，估值55万港元。 [参见条目14]</w:t>
      </w:r>
    </w:p>
    <w:p>
      <w:pPr>
        <w:pStyle w:val="ListBullet"/>
      </w:pPr>
      <w:r>
        <w:t>7月16日深圳湾管制站检获36只活龟，估值36万港元。 [参见条目15]</w:t>
      </w:r>
    </w:p>
    <w:p>
      <w:pPr>
        <w:pStyle w:val="ListBullet"/>
      </w:pPr>
      <w:r>
        <w:t>7月20日落马洲站检获3只活猫，估值3.6万港元。 [参见条目8]</w:t>
      </w:r>
    </w:p>
    <w:p>
      <w:pPr>
        <w:pStyle w:val="ListBullet"/>
      </w:pPr>
      <w:r>
        <w:t>走私案件多涉及跨境旅客与邮寄渠道，显示监管漏洞。</w:t>
      </w:r>
    </w:p>
    <w:p>
      <w:pPr>
        <w:pStyle w:val="Heading3"/>
      </w:pPr>
      <w:r>
        <w:t>贵金属与宝石交易监管</w:t>
      </w:r>
    </w:p>
    <w:p>
      <w:pPr>
        <w:pStyle w:val="ListBullet"/>
      </w:pPr>
      <w:r>
        <w:t>7月22日香港海关侦破一宗非注册贵金属及宝石交易商进行指明交易的案件，涉及12万港元以上钻石交易。 [参见条目4]</w:t>
      </w:r>
    </w:p>
    <w:p>
      <w:pPr>
        <w:pStyle w:val="ListBullet"/>
      </w:pPr>
      <w:r>
        <w:t>该案件强调注册义务与合规风险。</w:t>
      </w:r>
    </w:p>
    <w:p>
      <w:pPr>
        <w:pStyle w:val="Heading3"/>
      </w:pPr>
      <w:r>
        <w:t>电子商务与物流</w:t>
      </w:r>
    </w:p>
    <w:p>
      <w:pPr>
        <w:pStyle w:val="ListBullet"/>
      </w:pPr>
      <w:r>
        <w:t>7月21日美国CBP扣押约1000吨货物，导致多家中国托运人及物流代理受影响，Seko Logistics等6家海关代理被暂停90天。 [参见条目6]</w:t>
      </w:r>
    </w:p>
    <w:p>
      <w:pPr>
        <w:pStyle w:val="ListBullet"/>
      </w:pPr>
      <w:r>
        <w:t>该事件凸显跨境电商物流合规压力与监管趋严。</w:t>
      </w:r>
    </w:p>
    <w:p>
      <w:pPr>
        <w:pStyle w:val="Heading2"/>
      </w:pPr>
      <w:r>
        <w:t>趋势研判</w:t>
      </w:r>
    </w:p>
    <w:p>
      <w:pPr>
        <w:pStyle w:val="ListBullet"/>
      </w:pPr>
      <w:r>
        <w:t>机场毒品案件呈现“高峰期”趋势，尤其在7月22日集中出现3宗案件，显示跨境旅客毒品走私风险持续升高。</w:t>
      </w:r>
    </w:p>
    <w:p>
      <w:pPr>
        <w:pStyle w:val="ListBullet"/>
      </w:pPr>
      <w:r>
        <w:t>内河船与“钢门”行动表明海上与陆路走私渠道多元化，监管重点从传统海路扩展至内河与电商平台。</w:t>
      </w:r>
    </w:p>
    <w:p>
      <w:pPr>
        <w:pStyle w:val="ListBullet"/>
      </w:pPr>
      <w:r>
        <w:t>濒危物种走私案件持续出现，跨境旅客与邮寄渠道为主要通道，监管需加强风险评估与海关协同。</w:t>
      </w:r>
    </w:p>
    <w:p>
      <w:pPr>
        <w:pStyle w:val="ListBullet"/>
      </w:pPr>
      <w:r>
        <w:t>美国对中国电商物流的打击导致行业合规成本上升，香港与内地企业需关注国际监管动态。</w:t>
      </w:r>
    </w:p>
    <w:p>
      <w:pPr>
        <w:pStyle w:val="Heading2"/>
      </w:pPr>
      <w:r>
        <w:t>建议行动</w:t>
      </w:r>
    </w:p>
    <w:p>
      <w:pPr>
        <w:pStyle w:val="ListNumber"/>
      </w:pPr>
      <w:r>
        <w:t>**强化机场风险筛查**：继续采用情报驱动的高风险旅客清关，重点监控来自泰国、马来西亚、巴西等高风险地区的旅客。</w:t>
      </w:r>
    </w:p>
    <w:p>
      <w:pPr>
        <w:pStyle w:val="ListNumber"/>
      </w:pPr>
      <w:r>
        <w:t>**提升内河船与陆路走私监测**：加大对内河船、陆路运输的风险评估与抽检频次，配合跨境执法合作。</w:t>
      </w:r>
    </w:p>
    <w:p>
      <w:pPr>
        <w:pStyle w:val="ListNumber"/>
      </w:pPr>
      <w:r>
        <w:t>**完善贵金属与宝石交易注册制度**：加强对非注册交易商的监管，开展定期检查与执法宣传。</w:t>
      </w:r>
    </w:p>
    <w:p>
      <w:pPr>
        <w:pStyle w:val="ListNumber"/>
      </w:pPr>
      <w:r>
        <w:t>**加强濒危物种走私打击**：与渔农自然护理署、国际组织合作，提升邮寄与旅客走私检测能力。</w:t>
      </w:r>
    </w:p>
    <w:p>
      <w:pPr>
        <w:pStyle w:val="ListNumber"/>
      </w:pPr>
      <w:r>
        <w:t>**关注跨境电商合规**：对本地电商与物流代理进行合规培训，及时更新美国及其他国家的监管要求。</w:t>
      </w:r>
    </w:p>
    <w:p>
      <w:pPr>
        <w:pStyle w:val="ListNumber"/>
      </w:pPr>
      <w:r>
        <w:t>**跨境信息共享**：推动香港、内地、美国等执法机关建立更高效的信息共享机制，提升执法协同效能。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