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涉进出口时政热点海关监管风险简报（2026年8月13日）</w:t>
      </w:r>
    </w:p>
    <w:p>
      <w:pPr>
        <w:pStyle w:val="Heading1"/>
      </w:pPr>
      <w:r>
        <w:t>一、总体判断</w:t>
      </w:r>
    </w:p>
    <w:p>
      <w:r>
        <w:t>本轮先执行自动检索，120条候选因日期或正文无法可靠核验未直接入库；经定向检索和原文复核后纳入10条。风险集中在两用物项许可、受限最终用户、第三国转运、能源船舶单证和技术参数申报。外方制裁或风险提示仅作为核查线索，不直接认定相关主体违法。</w:t>
      </w:r>
    </w:p>
    <w:p>
      <w:pPr>
        <w:pStyle w:val="Heading1"/>
      </w:pPr>
      <w:r>
        <w:t>二、核心发现</w:t>
      </w:r>
    </w:p>
    <w:p>
      <w:pPr>
        <w:pStyle w:val="ListNumber"/>
      </w:pPr>
      <w:r>
        <w:t>**清单变化密集。** 美国、日本、欧洲相关实体名单连续调整，名称匹配必须扩展到别名、地址、关联方和代理采购方。</w:t>
      </w:r>
    </w:p>
    <w:p>
      <w:pPr>
        <w:pStyle w:val="ListNumber"/>
      </w:pPr>
      <w:r>
        <w:t>**技术参数决定管制属性。** 无人机、MEMS传感器、特种石墨、锂电池、光学镜片等不能只按品名和税号判断。</w:t>
      </w:r>
    </w:p>
    <w:p>
      <w:pPr>
        <w:pStyle w:val="ListNumber"/>
      </w:pPr>
      <w:r>
        <w:t>**转运链条是共同风险点。** 香港、阿联酋、中亚、土耳其及自由区仓储需要联查货物流、单证流和资金流。</w:t>
      </w:r>
    </w:p>
    <w:p>
      <w:pPr>
        <w:pStyle w:val="ListNumber"/>
      </w:pPr>
      <w:r>
        <w:t>**能源风险可明确落到船货。** 伊朗原油线索可用IMO、AIS、STS过驳、原产地证、装货港和价格进行交叉核验。</w:t>
      </w:r>
    </w:p>
    <w:p>
      <w:pPr>
        <w:pStyle w:val="Heading1"/>
      </w:pPr>
      <w:r>
        <w:t>三、综合风险分析</w:t>
      </w:r>
    </w:p>
    <w:p>
      <w:pPr>
        <w:pStyle w:val="Heading2"/>
      </w:pPr>
      <w:r>
        <w:t>（一）风险分级</w:t>
      </w:r>
    </w:p>
    <w:p>
      <w:pPr>
        <w:pStyle w:val="ListBullet"/>
      </w:pPr>
      <w:r>
        <w:t>**高风险：两用物项及受限最终用户。** 无人机、微电子、CNC机床、半导体设备、特种石墨、传感器和锂电池同时具有技术参数隐蔽、民用品名掩盖管制属性、最终用户多层转手等特点。应优先核验许可证、技术参数和最终用途。</w:t>
      </w:r>
    </w:p>
    <w:p>
      <w:pPr>
        <w:pStyle w:val="ListBullet"/>
      </w:pPr>
      <w:r>
        <w:t>**高风险：原油船舶与来源单证。** 影子船队、AIS中断、船对船过驳、历史船名变更和异常折价可形成可量化组合风险，适合开展船货一体化布控。</w:t>
      </w:r>
    </w:p>
    <w:p>
      <w:pPr>
        <w:pStyle w:val="ListBullet"/>
      </w:pPr>
      <w:r>
        <w:t>**中高风险：第三国转运。** 香港、阿联酋、中亚和土耳其既是正常贸易节点，也可能被用于代理采购和路线改写。单一中转事实不足以定性，应叠加敏感商品、异常增量、最终用户不透明等指标。</w:t>
      </w:r>
    </w:p>
    <w:p>
      <w:pPr>
        <w:pStyle w:val="ListBullet"/>
      </w:pPr>
      <w:r>
        <w:t>**中风险：境外制裁的供应链反馈。** 外方列名会影响交易路径、结算和物流安排，但不当然构成中国法律下的违法事实，主要用于识别企业突然更名、换址、改变收付款人或改走第三国的异常。</w:t>
      </w:r>
    </w:p>
    <w:p>
      <w:pPr>
        <w:pStyle w:val="Heading2"/>
      </w:pPr>
      <w:r>
        <w:t>（二）风险传导路径</w:t>
      </w:r>
    </w:p>
    <w:p>
      <w:pPr>
        <w:pStyle w:val="ListNumber"/>
      </w:pPr>
      <w:r>
        <w:t>**名单管控向代理采购传导。** 直接交易受阻后，订单可能转向关联公司、分销商或同址企业，报关收货人名称不再直接命中名单，但地址、电话、域名、董事和付款人仍可能关联。</w:t>
      </w:r>
    </w:p>
    <w:p>
      <w:pPr>
        <w:pStyle w:val="ListNumber"/>
      </w:pPr>
      <w:r>
        <w:t>**整机管控向零部件拆分传导。** 无人机、机床和半导体设备可能拆分为飞控、导航、载荷、主轴、控制器、传感器或软件载体分别申报，单票价值和风险特征被稀释。</w:t>
      </w:r>
    </w:p>
    <w:p>
      <w:pPr>
        <w:pStyle w:val="ListNumber"/>
      </w:pPr>
      <w:r>
        <w:t>**许可审查向路线变更传导。** 对特定国家和用户审查加强后，货物可能先运往香港、阿联酋、中亚或土耳其，再更换收货人、提单或目的港。</w:t>
      </w:r>
    </w:p>
    <w:p>
      <w:pPr>
        <w:pStyle w:val="ListNumber"/>
      </w:pPr>
      <w:r>
        <w:t>**能源制裁向船舶单证传导。** 原油贸易可能通过换船名、换旗、关闭AIS、海上过驳和改变装货港记录弱化来源识别，最终表现为提单、原产地证、品质证书与实际航迹不一致。</w:t>
      </w:r>
    </w:p>
    <w:p>
      <w:r>
        <w:t>5. 监管加强向碎片化渠道传导。 小额快件、跨境电商、市场采购和多票拆分可能被用于降低单票敏感度，应关注同一发货人、收货人、地址或付款账户的累计规模。</w:t>
      </w:r>
    </w:p>
    <w:p>
      <w:pPr>
        <w:pStyle w:val="Heading1"/>
      </w:pPr>
      <w:r>
        <w:t>四、处置建议</w:t>
      </w:r>
    </w:p>
    <w:p>
      <w:pPr>
        <w:pStyle w:val="Heading2"/>
      </w:pPr>
      <w:r>
        <w:t>（一）立即处置：0至7日</w:t>
      </w:r>
    </w:p>
    <w:p>
      <w:pPr>
        <w:pStyle w:val="ListBullet"/>
      </w:pPr>
      <w:r>
        <w:t>更新本报告所列实体的中英文名称、别名、历史名称、地址和关联方规则，在报关单、舱单、许可证和企业画像系统中同步碰撞。</w:t>
      </w:r>
    </w:p>
    <w:p>
      <w:pPr>
        <w:pStyle w:val="ListBullet"/>
      </w:pPr>
      <w:r>
        <w:t>对已申报未放行、在途及公告前后30日的相关货物开展倒查；命中“受限实体+敏感商品”组合的，暂停自动放行并转人工审核。</w:t>
      </w:r>
    </w:p>
    <w:p>
      <w:pPr>
        <w:pStyle w:val="ListBullet"/>
      </w:pPr>
      <w:r>
        <w:t>对无人机、微电子、CNC机床、半导体设备、特种石墨、传感器及锂电池要求补充完整技术参数、产品说明、检测报告、许可证和最终用途证明。</w:t>
      </w:r>
    </w:p>
    <w:p>
      <w:pPr>
        <w:pStyle w:val="ListBullet"/>
      </w:pPr>
      <w:r>
        <w:t>对原油高风险船舶核验IMO、当前及历史船名、船旗、AIS轨迹、STS记录、装货港和原产地文件；出现两项以上重大矛盾的，提高查验等级。</w:t>
      </w:r>
    </w:p>
    <w:p>
      <w:pPr>
        <w:pStyle w:val="Heading2"/>
      </w:pPr>
      <w:r>
        <w:t>（二）专项核查：7至30日</w:t>
      </w:r>
    </w:p>
    <w:p>
      <w:pPr>
        <w:pStyle w:val="ListBullet"/>
      </w:pPr>
      <w:r>
        <w:t>建立“实体、商品、路线、单证”四维模型。实体看关联方，商品看技术阈值，路线看异常中转，单证看合同、发票、装箱单、许可证和最终用途是否一致。</w:t>
      </w:r>
    </w:p>
    <w:p>
      <w:pPr>
        <w:pStyle w:val="ListBullet"/>
      </w:pPr>
      <w:r>
        <w:t>对近90日敏感商品出口开展同比、环比和同业偏离分析，重点筛查新增贸易商、无相关经营能力主体、短期大幅增长及目的国突然改变。</w:t>
      </w:r>
    </w:p>
    <w:p>
      <w:pPr>
        <w:pStyle w:val="ListBullet"/>
      </w:pPr>
      <w:r>
        <w:t>对同一货物拆成多票、多个品名或多个关联收货人的情况合并计算数量、重量、价值和技术性能，防止以拆分方式规避管制识别。</w:t>
      </w:r>
    </w:p>
    <w:p>
      <w:pPr>
        <w:pStyle w:val="ListBullet"/>
      </w:pPr>
      <w:r>
        <w:t>对阿联酋、哈萨克斯坦、吉尔吉斯斯坦、土耳其及香港中转货物，联查两程提单、境外仓调拨、付款人、最终交付地址和售后安装地点。</w:t>
      </w:r>
    </w:p>
    <w:p>
      <w:pPr>
        <w:pStyle w:val="Heading2"/>
      </w:pPr>
      <w:r>
        <w:t>（三）长效治理：30至90日</w:t>
      </w:r>
    </w:p>
    <w:p>
      <w:pPr>
        <w:pStyle w:val="ListBullet"/>
      </w:pPr>
      <w:r>
        <w:t>建立名单版本管理和生效日回溯机制，名单更新时自动识别已申报、在途、已放行未结关及历史高频交易。</w:t>
      </w:r>
    </w:p>
    <w:p>
      <w:pPr>
        <w:pStyle w:val="ListBullet"/>
      </w:pPr>
      <w:r>
        <w:t>将技术参数结构化录入，形成无人机续航/载荷、材料纯度/强度、机床精度、传感器性能等可计算字段，减少仅依赖HS编码和品名。</w:t>
      </w:r>
    </w:p>
    <w:p>
      <w:pPr>
        <w:pStyle w:val="ListBullet"/>
      </w:pPr>
      <w:r>
        <w:t>建立船舶风险档案，将IMO作为稳定主键，关联历史船名、船旗、管理公司、保险、AIS异常、过驳对象和历史进口批次。</w:t>
      </w:r>
    </w:p>
    <w:p>
      <w:pPr>
        <w:pStyle w:val="ListBullet"/>
      </w:pPr>
      <w:r>
        <w:t>对企业开展合规提示，要求留存最终用户调查、用途承诺、分销限制、再出口条款和代理采购关系；对拒绝提供或前后矛盾的交易提高风险等级。</w:t>
      </w:r>
    </w:p>
    <w:p>
      <w:pPr>
        <w:pStyle w:val="Heading1"/>
      </w:pPr>
      <w:r>
        <w:t>五、建议预警指标</w:t>
      </w:r>
    </w:p>
    <w:p>
      <w:r>
        <w:t>| 风险场景 | 建议指标 | 触发后处置 |</w:t>
      </w:r>
    </w:p>
    <w:p>
      <w:r>
        <w:t>|---|---|---|</w:t>
      </w:r>
    </w:p>
    <w:p>
      <w:r>
        <w:t>| 受限最终用户 | 名称未命中但地址、电话、域名、董事或付款人关联 | 转人工审核并穿透受益所有人 |</w:t>
      </w:r>
    </w:p>
    <w:p>
      <w:r>
        <w:t>| 敏感物项拆分 | 同一主体7日内多票相近部件，合计达到技术或数量阈值 | 合并审单，核验整机用途和许可证 |</w:t>
      </w:r>
    </w:p>
    <w:p>
      <w:r>
        <w:t>| 第三国转运 | 敏感商品对中转国90日增幅显著且收货人为新设贸易商 | 调取两程提单、境外仓及最终用户材料 |</w:t>
      </w:r>
    </w:p>
    <w:p>
      <w:r>
        <w:t>| 原油来源异常 | AIS中断、STS过驳、历史船名变更、异常折价中命中两项以上 | 船货联查，重点审核原产地和付款路径 |</w:t>
      </w:r>
    </w:p>
    <w:p>
      <w:r>
        <w:t>| 单证不一致 | 合同、发票、装箱单、许可证、提单的主体或商品描述不一致 | 暂缓放行，要求更正或补充证明 |</w:t>
      </w:r>
    </w:p>
    <w:p>
      <w:r>
        <w:t>| 碎片化出口 | 同地址、电话、账户或收货人短期多票小额敏感货物 | 关联归并，评估是否规避许可或查验 |</w:t>
      </w:r>
    </w:p>
    <w:p>
      <w:pPr>
        <w:pStyle w:val="Heading1"/>
      </w:pPr>
      <w:r>
        <w:t>六、部门协同建议</w:t>
      </w:r>
    </w:p>
    <w:p>
      <w:pPr>
        <w:pStyle w:val="ListBullet"/>
      </w:pPr>
      <w:r>
        <w:t>**审单和风险部门：** 维护实体及商品规则，形成命中原因可解释的布控清单。</w:t>
      </w:r>
    </w:p>
    <w:p>
      <w:pPr>
        <w:pStyle w:val="ListBullet"/>
      </w:pPr>
      <w:r>
        <w:t>**现场查验部门：** 对照技术资料核验铭牌、型号、参数、数量及包装，必要时取样送检。</w:t>
      </w:r>
    </w:p>
    <w:p>
      <w:pPr>
        <w:pStyle w:val="ListBullet"/>
      </w:pPr>
      <w:r>
        <w:t>**企业管理和稽查部门：** 围绕新增贸易商、异常增长企业和多层代理关系开展后续稽核。</w:t>
      </w:r>
    </w:p>
    <w:p>
      <w:pPr>
        <w:pStyle w:val="ListBullet"/>
      </w:pPr>
      <w:r>
        <w:t>**缉私及情报部门：** 对单证造假、系统性拆分、虚假最终用户和船舶来源掩饰等组合异常开展串并分析。</w:t>
      </w:r>
    </w:p>
    <w:p>
      <w:pPr>
        <w:pStyle w:val="ListBullet"/>
      </w:pPr>
      <w:r>
        <w:t>**商务、海事、港口及金融协同：** 共享许可证、最终用户、船舶轨迹、港口作业和跨境付款信息，形成货物流、单证流与资金流闭环。</w:t>
      </w:r>
    </w:p>
    <w:p>
      <w:pPr>
        <w:pStyle w:val="Heading1"/>
      </w:pPr>
      <w:r>
        <w:t>七、采集线索</w:t>
      </w:r>
    </w:p>
    <w:p>
      <w:pPr>
        <w:pStyle w:val="Heading2"/>
      </w:pPr>
      <w:r>
        <w:t>1. 中国对美无人机及关键部件出口转为逐案审查</w:t>
      </w:r>
    </w:p>
    <w:p>
      <w:r>
        <w:t>公开事实：2026年8月5日，中国宣布对输美无人机、关键部件及相关技术中属于两用物项的出口实施逐案审查；Applied DNA Sciences, Inc.等六家美国实体被禁止与中国实体开展相关贸易或活动，Compliance Testing LLC被禁止在华开展业务。监管研判：出口审查应从整机扩展至飞控、通信、导航、载荷、动力和软件技术，防范拆分申报、参数缺失及经第三国转运规避最终用户审查。进一步核查：筛选目的国为美国或经香港、新加坡、阿联酋、墨西哥转运的HS 8806及关键部件报关记录；比对许可证、完整技术参数、合同、最终用户和最终用途证明；关注收货人、付款人、通知人不一致及短期频繁变更路线。</w:t>
      </w:r>
    </w:p>
    <w:p>
      <w:r>
        <w:t>原文：https://apnews.com/article/ad0b637298e9608c5351bca84debeb25</w:t>
      </w:r>
    </w:p>
    <w:p>
      <w:pPr>
        <w:pStyle w:val="Heading2"/>
      </w:pPr>
      <w:r>
        <w:t>2. 欧盟第21轮对俄制裁扩大至中国及香港供应链实体</w:t>
      </w:r>
    </w:p>
    <w:p>
      <w:r>
        <w:t>公开事实：欧盟理事会2026年7月23日通过第21轮对俄制裁，新增51家受强化两用物项出口限制的实体，其中部分位于中国内地及香港；欧方明确指向微电子、数控机床和半导体加工设备供应链。监管研判：该事件会提高中国口岸对俄及经中亚、土耳其、阿联酋转运货物的最终用户穿透核验需求，但欧盟列名本身不等于中国企业已违法。进一步核查：将欧盟附件中的企业名称、别名、地址和登记号与中国报关主体、境外收货人、通知人及付款人碰撞；筛查微电子、CNC机床、半导体设备对俄罗斯、哈萨克斯坦、吉尔吉斯斯坦、土耳其和阿联酋的异常增量；调取合同、发票、装箱单、许可证、最终用途证明及货代指令，核验货物流、资金流和单证流。</w:t>
      </w:r>
    </w:p>
    <w:p>
      <w:r>
        <w:t>原文：https://www.consilium.europa.eu/en/press/press-releases/2026/07/23/21st-package-of-sanctions-eu-hits-russian-energy-financial-services-and-crypto-hard/</w:t>
      </w:r>
    </w:p>
    <w:p>
      <w:pPr>
        <w:pStyle w:val="Heading2"/>
      </w:pPr>
      <w:r>
        <w:t>3. 中国反制欧盟制裁，14家欧洲实体被纳入两用物项出口限制</w:t>
      </w:r>
    </w:p>
    <w:p>
      <w:r>
        <w:t>公开事实：2026年7月24日，中国宣布对14家欧洲实体实施两用物项出口限制，公开报道列举Tatra Trucks、Lafert SpA、Sindlhauser Materials GmbH和Cavok UAS等企业，并禁止境外主体向其转移中国原产两用物项。监管研判：直接出口和境外转售均需关注，风险集中在代理采购、关联公司代收、最终用户变更和中国原产物项经第三国转移。进一步核查：在申报、舱单和许可证系统建立上述企业及关联地址别名规则；倒查公告前后30日相关订单和已离境未交付货物；重点核验最终用户声明、分销协议、目的港、转售限制条款和境外仓调拨记录，对名称不命中但地址、电话、域名或受益所有人关联的交易转人工审核。</w:t>
      </w:r>
    </w:p>
    <w:p>
      <w:r>
        <w:t>原文：https://apnews.com/article/cfb75918077b268eb76b0f19c1673511</w:t>
      </w:r>
    </w:p>
    <w:p>
      <w:pPr>
        <w:pStyle w:val="Heading2"/>
      </w:pPr>
      <w:r>
        <w:t>4. 中国将10家美国军工及稀土相关实体列入出口管制管控名单</w:t>
      </w:r>
    </w:p>
    <w:p>
      <w:r>
        <w:t>公开事实：商务部2026年第23号公告将Aveox、Red Cat Holdings、Teal Drones、IMSAR、Jaia Robotics、Ball Aerospace、Oshkosh Defense、L3Harris Maritime、MP Materials和USA Rare Earth列入管控名单。监管研判：风险覆盖航空电子、无人机、雷达、机器人、海事设备和稀土材料，直接出口及境外转移均受约束。进一步核查：将名称、别名和公告地址接入申报及舱单拦截；倒查公告前后订单，核验最终用户、用途、许可证和第三国分销商，关注同址公司及关联采购。</w:t>
      </w:r>
    </w:p>
    <w:p>
      <w:r>
        <w:t>原文：https://www.mofcom.gov.cn/zwgk/zcfb/art/2026/art_dfa9cc5c1e004d7fbb86f83d249e7986.html</w:t>
      </w:r>
    </w:p>
    <w:p>
      <w:pPr>
        <w:pStyle w:val="Heading2"/>
      </w:pPr>
      <w:r>
        <w:t>5. 中国将20家日本防务相关实体列入出口管制管控名单</w:t>
      </w:r>
    </w:p>
    <w:p>
      <w:r>
        <w:t>公开事实：商务部公告将防卫研究所等20家参与提升日本军事实力的实体列入管控名单，禁止中国出口经营者和境外主体向其提供中国原产两用物项。监管研判：日本综合商社、制造商或研究机构可能作为采购及最终用户链条节点。进一步核查：使用附件中的日英名称和地址筛查收货人、通知人和最终用户；对电子、材料加工、传感器、船舶和航空航天物项核验单项许可、技术规格、用途声明及转售条款。</w:t>
      </w:r>
    </w:p>
    <w:p>
      <w:r>
        <w:t>原文：https://xkzj.mofcom.gov.cn/tzgg/art/2026/art_a1636a6f32a943b2b98ae305da897224.html</w:t>
      </w:r>
    </w:p>
    <w:p>
      <w:pPr>
        <w:pStyle w:val="Heading2"/>
      </w:pPr>
      <w:r>
        <w:t>6. 三井E&amp;S等20家日本实体因最终用户用途难核实被列入关注名单</w:t>
      </w:r>
    </w:p>
    <w:p>
      <w:r>
        <w:t>公开事实：三井E&amp;S等20家日本实体因两用物项最终用户、最终用途无法核实被列入关注名单，出口方只能申请单项许可并提交风险评估与书面承诺。监管研判：这类交易并非一律禁止，但文件真实性和用途穿透是海关验核重点。进一步核查：拦截使用通用许可或登记凭证的申报；比对风险评估、书面承诺、合同技术条款、安装地点和售后服务记录；对中间商代采及最终安装地点变更转人工复核。</w:t>
      </w:r>
    </w:p>
    <w:p>
      <w:r>
        <w:t>原文：https://policy.mofcom.gov.cn/claw/clawContent.shtml?id=106215</w:t>
      </w:r>
    </w:p>
    <w:p>
      <w:pPr>
        <w:pStyle w:val="Heading2"/>
      </w:pPr>
      <w:r>
        <w:t>7. 美国放宽对阿联酋部分两用物项出口条件，转运监测变量增加</w:t>
      </w:r>
    </w:p>
    <w:p>
      <w:r>
        <w:t>公开事实：美国BIS于2026年7月10日调整阿联酋出口管制待遇，部分受控军品、商用卫星及油气、海水淡化、民用核能两用物项可适用STA许可例外。监管研判：阿联酋合法获得敏感货物的范围扩大，也使经阿联酋转口中国或其他目的地的来源、许可条件更复杂。进一步核查：对阿联酋启运的高端电子、卫星部件、油气设备核验原产国、ECCN、STA条件、再出口授权及最终用户；关注短期换单、自由区仓储和贸易商无终端能力。</w:t>
      </w:r>
    </w:p>
    <w:p>
      <w:r>
        <w:t>原文：https://www.bis.gov/press-release/department-commerce-eases-export-controls-uae</w:t>
      </w:r>
    </w:p>
    <w:p>
      <w:pPr>
        <w:pStyle w:val="Heading2"/>
      </w:pPr>
      <w:r>
        <w:t>8. 博世因向华为及关联方供应MEMS传感器和软件被美国处罚</w:t>
      </w:r>
    </w:p>
    <w:p>
      <w:r>
        <w:t>公开事实：美国BIS称Robert Bosch GmbH在2020至2024年间未经所需许可向华为及其关联方供应受EAR约束的MEMS传感器和汽车软件，并于2026年6月17日公布3600万美元和解。监管研判：同类货物进入中国时可能涉及多层制造商、组装商和最终用户，外方处罚不等同于中国进口违法。进一步核查：针对博世及其海外工厂至华为关联方的传感器和软件载体，核验原产地、生产工序、ECCN、许可证、收发货主体及实际用途；关注由第三国组装后改变品名或供应商的路线。</w:t>
      </w:r>
    </w:p>
    <w:p>
      <w:r>
        <w:t>原文：https://www.bis.gov/news-updates</w:t>
      </w:r>
    </w:p>
    <w:p>
      <w:pPr>
        <w:pStyle w:val="Heading2"/>
      </w:pPr>
      <w:r>
        <w:t>9. 美国警示与伊朗原油交易的中国独立炼厂及影子船队风险</w:t>
      </w:r>
    </w:p>
    <w:p>
      <w:r>
        <w:t>公开事实：OFAC于2026年4月发布警示，称伊朗原油贸易使用影子船队、船对船过驳、伪造文件和AIS操纵，并提示与中国独立炼厂交易的制裁风险。监管研判：中国海关风险落点是进口原油原产地、装货港、船舶轨迹和价格单证一致性，不应把外方指控直接视为违法结论。进一步核查：联查提单、原产地证、品质证书、船舶IMO/AIS、历史船名、STS记录和付款路径；关注马来西亚等中转地、航迹中断、异常折价及装货港与原产地矛盾。</w:t>
      </w:r>
    </w:p>
    <w:p>
      <w:r>
        <w:t>原文：https://ofac.treasury.gov/system/files/2026-04/20260428_teapot_refinery_alert.pdf</w:t>
      </w:r>
    </w:p>
    <w:p>
      <w:pPr>
        <w:pStyle w:val="Heading2"/>
      </w:pPr>
      <w:r>
        <w:t>10. 无人机、特种石墨和锂电池无证出口成为海关查验高风险模式</w:t>
      </w:r>
    </w:p>
    <w:p>
      <w:r>
        <w:t>公开事实：中国出口管制信息网依据南京海关公开案例，归纳无人机、特种石墨、锂电池、光学镜片等两用物项无证出口及申报不实模式。监管研判：小额、民用名义或首次出口不能排除管制属性，技术参数比商品俗称更关键。进一步核查：对相关商品逐票比对材质、纯度、强度、续航、载荷等参数与完整HS编码；联查许可证、技术说明、检测报告、合同和最终用途证明；关注拆单、快件、跨境电商及市场采购渠道。</w:t>
      </w:r>
    </w:p>
    <w:p>
      <w:r>
        <w:t>原文：https://exportcontrol.mofcom.gov.cn/article/hgfw/hgal/202605/1290.html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