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C6448"/>
    <w:p w14:paraId="77A771DE"/>
    <w:p w14:paraId="1260AFDF"/>
    <w:p w14:paraId="41DCD7B0"/>
    <w:p w14:paraId="51F7A0D1"/>
    <w:p w14:paraId="34F543B7">
      <w:pPr>
        <w:spacing w:after="360"/>
        <w:jc w:val="center"/>
      </w:pPr>
      <w:r>
        <w:rPr>
          <w:rFonts w:ascii="Arial" w:hAnsi="Arial" w:eastAsia="微软雅黑"/>
          <w:b/>
          <w:i w:val="0"/>
          <w:color w:val="B18432"/>
          <w:sz w:val="22"/>
        </w:rPr>
        <w:t>独立深度研究报告</w:t>
      </w:r>
    </w:p>
    <w:p w14:paraId="68267534">
      <w:pPr>
        <w:spacing w:after="80"/>
        <w:jc w:val="center"/>
      </w:pPr>
      <w:r>
        <w:rPr>
          <w:rFonts w:ascii="Arial" w:hAnsi="Arial" w:eastAsia="微软雅黑"/>
          <w:b/>
          <w:i w:val="0"/>
          <w:color w:val="17365D"/>
          <w:sz w:val="44"/>
        </w:rPr>
        <w:t>全球主要经济体应对中国关键矿产出口管制的</w:t>
      </w:r>
    </w:p>
    <w:p w14:paraId="782911F3">
      <w:pPr>
        <w:spacing w:after="240"/>
        <w:jc w:val="center"/>
      </w:pPr>
      <w:r>
        <w:rPr>
          <w:rFonts w:ascii="Arial" w:hAnsi="Arial" w:eastAsia="微软雅黑"/>
          <w:b/>
          <w:i w:val="0"/>
          <w:color w:val="17365D"/>
          <w:sz w:val="56"/>
        </w:rPr>
        <w:t>政策与产业重构</w:t>
      </w:r>
    </w:p>
    <w:p w14:paraId="2DC8ABB6">
      <w:pPr>
        <w:spacing w:after="920"/>
        <w:jc w:val="center"/>
      </w:pPr>
      <w:r>
        <w:rPr>
          <w:rFonts w:ascii="Arial" w:hAnsi="Arial" w:eastAsia="微软雅黑"/>
          <w:b w:val="0"/>
          <w:i w:val="0"/>
          <w:color w:val="0F6B78"/>
          <w:sz w:val="28"/>
        </w:rPr>
        <w:t>“反管制”体系、技术替代与海关监管影响（2023—2026）</w:t>
      </w:r>
    </w:p>
    <w:tbl>
      <w:tblPr>
        <w:tblStyle w:val="32"/>
        <w:tblW w:w="9360" w:type="dxa"/>
        <w:tblInd w:w="120" w:type="dxa"/>
        <w:tblLayout w:type="fixed"/>
        <w:tblCellMar>
          <w:top w:w="0" w:type="dxa"/>
          <w:left w:w="108" w:type="dxa"/>
          <w:bottom w:w="0" w:type="dxa"/>
          <w:right w:w="108" w:type="dxa"/>
        </w:tblCellMar>
      </w:tblPr>
      <w:tblGrid>
        <w:gridCol w:w="9360"/>
      </w:tblGrid>
      <w:tr w14:paraId="5941B2AD">
        <w:tblPrEx>
          <w:tblCellMar>
            <w:top w:w="0" w:type="dxa"/>
            <w:left w:w="108" w:type="dxa"/>
            <w:bottom w:w="0" w:type="dxa"/>
            <w:right w:w="108" w:type="dxa"/>
          </w:tblCellMar>
        </w:tblPrEx>
        <w:tc>
          <w:tcPr>
            <w:tcW w:w="9360" w:type="dxa"/>
            <w:shd w:val="clear" w:color="auto" w:fill="F7F1E5"/>
            <w:tcMar>
              <w:top w:w="90" w:type="dxa"/>
              <w:left w:w="120" w:type="dxa"/>
              <w:bottom w:w="90" w:type="dxa"/>
              <w:right w:w="120" w:type="dxa"/>
            </w:tcMar>
            <w:vAlign w:val="center"/>
          </w:tcPr>
          <w:p w14:paraId="15852B68">
            <w:pPr>
              <w:spacing w:after="60"/>
            </w:pPr>
            <w:r>
              <w:rPr>
                <w:rFonts w:ascii="Arial" w:hAnsi="Arial" w:eastAsia="微软雅黑"/>
                <w:b/>
                <w:i w:val="0"/>
                <w:color w:val="17365D"/>
                <w:sz w:val="21"/>
              </w:rPr>
              <w:t>研究定位</w:t>
            </w:r>
          </w:p>
          <w:p w14:paraId="4C939E8F">
            <w:pPr>
              <w:spacing w:after="0" w:line="324" w:lineRule="auto"/>
            </w:pPr>
            <w:r>
              <w:rPr>
                <w:rFonts w:ascii="Arial" w:hAnsi="Arial" w:eastAsia="宋体"/>
                <w:b w:val="0"/>
                <w:i w:val="0"/>
                <w:color w:val="1F2937"/>
                <w:sz w:val="20"/>
              </w:rPr>
              <w:t>本报告借鉴前期材料的主题覆盖方式，但全部事实重新回溯原始来源，全部观点重新论证。所谓“反管制”仅为分析概念，指进口经济体为降低供应中断风险而形成的政策、资本、库存、技术和联盟工具组合，并非特定国家的正式法律术语。</w:t>
            </w:r>
          </w:p>
        </w:tc>
      </w:tr>
    </w:tbl>
    <w:p w14:paraId="45BEE858">
      <w:pPr>
        <w:spacing w:after="20"/>
      </w:pPr>
    </w:p>
    <w:p w14:paraId="3360C53D">
      <w:pPr>
        <w:spacing w:before="900"/>
        <w:jc w:val="center"/>
      </w:pPr>
      <w:r>
        <w:rPr>
          <w:rFonts w:ascii="Arial" w:hAnsi="Arial" w:eastAsia="微软雅黑"/>
          <w:b/>
          <w:i w:val="0"/>
          <w:color w:val="17365D"/>
          <w:sz w:val="24"/>
        </w:rPr>
        <w:t>专业审阅稿</w:t>
      </w:r>
    </w:p>
    <w:p w14:paraId="30395BD6">
      <w:pPr>
        <w:jc w:val="center"/>
      </w:pPr>
      <w:r>
        <w:rPr>
          <w:rFonts w:ascii="Arial" w:hAnsi="Arial" w:eastAsia="微软雅黑"/>
          <w:b w:val="0"/>
          <w:i w:val="0"/>
          <w:color w:val="667085"/>
          <w:sz w:val="20"/>
        </w:rPr>
        <w:t>资料截至：2026年7月5日</w:t>
      </w:r>
    </w:p>
    <w:p w14:paraId="63CFD054">
      <w:r>
        <w:br w:type="page"/>
      </w:r>
    </w:p>
    <w:p w14:paraId="75EC1967">
      <w:pPr>
        <w:pStyle w:val="3"/>
      </w:pPr>
      <w:r>
        <w:t>目录</w:t>
      </w:r>
    </w:p>
    <w:p w14:paraId="762CF77D">
      <w:pPr>
        <w:spacing w:after="80"/>
        <w:ind w:left="115"/>
      </w:pPr>
      <w:r>
        <w:rPr>
          <w:rFonts w:ascii="Arial" w:hAnsi="Arial" w:eastAsia="微软雅黑"/>
          <w:b/>
          <w:i w:val="0"/>
          <w:color w:val="17365D"/>
          <w:sz w:val="21"/>
        </w:rPr>
        <w:t>执行摘要</w:t>
      </w:r>
    </w:p>
    <w:p w14:paraId="6AD608DA">
      <w:pPr>
        <w:spacing w:after="80"/>
        <w:ind w:left="259"/>
      </w:pPr>
      <w:r>
        <w:rPr>
          <w:rFonts w:ascii="Arial" w:hAnsi="Arial" w:eastAsia="微软雅黑"/>
          <w:b w:val="0"/>
          <w:i w:val="0"/>
          <w:color w:val="1F2937"/>
          <w:sz w:val="21"/>
        </w:rPr>
        <w:t>1 研究范围、概念与证据方法</w:t>
      </w:r>
    </w:p>
    <w:p w14:paraId="577A6F1B">
      <w:pPr>
        <w:spacing w:after="80"/>
        <w:ind w:left="259"/>
      </w:pPr>
      <w:r>
        <w:rPr>
          <w:rFonts w:ascii="Arial" w:hAnsi="Arial" w:eastAsia="微软雅黑"/>
          <w:b w:val="0"/>
          <w:i w:val="0"/>
          <w:color w:val="1F2937"/>
          <w:sz w:val="21"/>
        </w:rPr>
        <w:t>2 中国出口管制政策体系：从物项许可到产业链规则</w:t>
      </w:r>
    </w:p>
    <w:p w14:paraId="17BC2186">
      <w:pPr>
        <w:spacing w:after="80"/>
        <w:ind w:left="259"/>
      </w:pPr>
      <w:r>
        <w:rPr>
          <w:rFonts w:ascii="Arial" w:hAnsi="Arial" w:eastAsia="微软雅黑"/>
          <w:b w:val="0"/>
          <w:i w:val="0"/>
          <w:color w:val="1F2937"/>
          <w:sz w:val="21"/>
        </w:rPr>
        <w:t>3 美欧日韩澳印“反管制”政策工具比较</w:t>
      </w:r>
    </w:p>
    <w:p w14:paraId="67AC4C95">
      <w:pPr>
        <w:spacing w:after="80"/>
        <w:ind w:left="259"/>
      </w:pPr>
      <w:r>
        <w:rPr>
          <w:rFonts w:ascii="Arial" w:hAnsi="Arial" w:eastAsia="微软雅黑"/>
          <w:b w:val="0"/>
          <w:i w:val="0"/>
          <w:color w:val="1F2937"/>
          <w:sz w:val="21"/>
        </w:rPr>
        <w:t>4 全球替代供应源：项目数量增长不等于有效供给</w:t>
      </w:r>
    </w:p>
    <w:p w14:paraId="062E5054">
      <w:pPr>
        <w:spacing w:after="80"/>
        <w:ind w:left="259"/>
      </w:pPr>
      <w:r>
        <w:rPr>
          <w:rFonts w:ascii="Arial" w:hAnsi="Arial" w:eastAsia="微软雅黑"/>
          <w:b w:val="0"/>
          <w:i w:val="0"/>
          <w:color w:val="1F2937"/>
          <w:sz w:val="21"/>
        </w:rPr>
        <w:t>5 加工技术与中游瓶颈：真正的竞争发生在“转化”</w:t>
      </w:r>
    </w:p>
    <w:p w14:paraId="20AAED40">
      <w:pPr>
        <w:spacing w:after="80"/>
        <w:ind w:left="259"/>
      </w:pPr>
      <w:r>
        <w:rPr>
          <w:rFonts w:ascii="Arial" w:hAnsi="Arial" w:eastAsia="微软雅黑"/>
          <w:b w:val="0"/>
          <w:i w:val="0"/>
          <w:color w:val="1F2937"/>
          <w:sz w:val="21"/>
        </w:rPr>
        <w:t>6 替代、减量与回收：三条路径对应不同时间尺度</w:t>
      </w:r>
    </w:p>
    <w:p w14:paraId="3CCC869C">
      <w:pPr>
        <w:spacing w:after="80"/>
        <w:ind w:left="259"/>
      </w:pPr>
      <w:r>
        <w:rPr>
          <w:rFonts w:ascii="Arial" w:hAnsi="Arial" w:eastAsia="微软雅黑"/>
          <w:b w:val="0"/>
          <w:i w:val="0"/>
          <w:color w:val="1F2937"/>
          <w:sz w:val="21"/>
        </w:rPr>
        <w:t>7 多边合作：从供应链联盟走向标准化市场</w:t>
      </w:r>
    </w:p>
    <w:p w14:paraId="0E56CAF3">
      <w:pPr>
        <w:spacing w:after="80"/>
        <w:ind w:left="259"/>
      </w:pPr>
      <w:r>
        <w:rPr>
          <w:rFonts w:ascii="Arial" w:hAnsi="Arial" w:eastAsia="微软雅黑"/>
          <w:b w:val="0"/>
          <w:i w:val="0"/>
          <w:color w:val="1F2937"/>
          <w:sz w:val="21"/>
        </w:rPr>
        <w:t>8 企业供应链重组：从采购多元化到资本共担</w:t>
      </w:r>
    </w:p>
    <w:p w14:paraId="1380692B">
      <w:pPr>
        <w:spacing w:after="80"/>
        <w:ind w:left="259"/>
      </w:pPr>
      <w:r>
        <w:rPr>
          <w:rFonts w:ascii="Arial" w:hAnsi="Arial" w:eastAsia="微软雅黑"/>
          <w:b w:val="0"/>
          <w:i w:val="0"/>
          <w:color w:val="1F2937"/>
          <w:sz w:val="21"/>
        </w:rPr>
        <w:t>9 市场影响：从单一价格叙事转向多变量传导</w:t>
      </w:r>
    </w:p>
    <w:p w14:paraId="7077CE41">
      <w:pPr>
        <w:spacing w:after="80"/>
        <w:ind w:left="259"/>
      </w:pPr>
      <w:r>
        <w:rPr>
          <w:rFonts w:ascii="Arial" w:hAnsi="Arial" w:eastAsia="微软雅黑"/>
          <w:b w:val="0"/>
          <w:i w:val="0"/>
          <w:color w:val="1F2937"/>
          <w:sz w:val="21"/>
        </w:rPr>
        <w:t>10 法律争端与企业合规：规则冲突不会自动消失</w:t>
      </w:r>
    </w:p>
    <w:p w14:paraId="5EC15F0D">
      <w:pPr>
        <w:spacing w:after="80"/>
        <w:ind w:left="259"/>
      </w:pPr>
      <w:r>
        <w:rPr>
          <w:rFonts w:ascii="Arial" w:hAnsi="Arial" w:eastAsia="微软雅黑"/>
          <w:b w:val="0"/>
          <w:i w:val="0"/>
          <w:color w:val="1F2937"/>
          <w:sz w:val="21"/>
        </w:rPr>
        <w:t>11 新兴供应国：资源民族主义与本地增值并行</w:t>
      </w:r>
    </w:p>
    <w:p w14:paraId="770C6356">
      <w:pPr>
        <w:spacing w:after="80"/>
        <w:ind w:left="259"/>
      </w:pPr>
      <w:r>
        <w:rPr>
          <w:rFonts w:ascii="Arial" w:hAnsi="Arial" w:eastAsia="微软雅黑"/>
          <w:b w:val="0"/>
          <w:i w:val="0"/>
          <w:color w:val="1F2937"/>
          <w:sz w:val="21"/>
        </w:rPr>
        <w:t>12 国防与先进制造：需求小、规格高、替代慢</w:t>
      </w:r>
    </w:p>
    <w:p w14:paraId="2A0D276E">
      <w:pPr>
        <w:spacing w:after="80"/>
        <w:ind w:left="259"/>
      </w:pPr>
      <w:r>
        <w:rPr>
          <w:rFonts w:ascii="Arial" w:hAnsi="Arial" w:eastAsia="微软雅黑"/>
          <w:b w:val="0"/>
          <w:i w:val="0"/>
          <w:color w:val="1F2937"/>
          <w:sz w:val="21"/>
        </w:rPr>
        <w:t>13 2030情景分析：不预测单一路径，识别可观测触发器</w:t>
      </w:r>
    </w:p>
    <w:p w14:paraId="5CAEDFC3">
      <w:pPr>
        <w:spacing w:after="80"/>
        <w:ind w:left="259"/>
      </w:pPr>
      <w:r>
        <w:rPr>
          <w:rFonts w:ascii="Arial" w:hAnsi="Arial" w:eastAsia="微软雅黑"/>
          <w:b w:val="0"/>
          <w:i w:val="0"/>
          <w:color w:val="1F2937"/>
          <w:sz w:val="21"/>
        </w:rPr>
        <w:t>14 独立战略洞察与海关监管建议</w:t>
      </w:r>
    </w:p>
    <w:p w14:paraId="3BEBE1C5">
      <w:pPr>
        <w:spacing w:after="80"/>
        <w:ind w:left="259"/>
      </w:pPr>
      <w:r>
        <w:rPr>
          <w:rFonts w:ascii="Arial" w:hAnsi="Arial" w:eastAsia="微软雅黑"/>
          <w:b w:val="0"/>
          <w:i w:val="0"/>
          <w:color w:val="1F2937"/>
          <w:sz w:val="21"/>
        </w:rPr>
        <w:t>附录A 重点矿产与监管观察清单</w:t>
      </w:r>
    </w:p>
    <w:p w14:paraId="4CA9C864">
      <w:pPr>
        <w:spacing w:after="80"/>
        <w:ind w:left="259"/>
      </w:pPr>
      <w:r>
        <w:rPr>
          <w:rFonts w:ascii="Arial" w:hAnsi="Arial" w:eastAsia="微软雅黑"/>
          <w:b w:val="0"/>
          <w:i w:val="0"/>
          <w:color w:val="1F2937"/>
          <w:sz w:val="21"/>
        </w:rPr>
        <w:t>附录B 项目阶段与证据等级</w:t>
      </w:r>
    </w:p>
    <w:p w14:paraId="7153C5E7">
      <w:pPr>
        <w:spacing w:after="80"/>
        <w:ind w:left="259"/>
      </w:pPr>
      <w:r>
        <w:rPr>
          <w:rFonts w:ascii="Arial" w:hAnsi="Arial" w:eastAsia="微软雅黑"/>
          <w:b w:val="0"/>
          <w:i w:val="0"/>
          <w:color w:val="1F2937"/>
          <w:sz w:val="21"/>
        </w:rPr>
        <w:t>附录C 十二项专题深度分析</w:t>
      </w:r>
    </w:p>
    <w:p w14:paraId="0444198F">
      <w:pPr>
        <w:spacing w:after="80"/>
        <w:ind w:left="259"/>
      </w:pPr>
      <w:r>
        <w:rPr>
          <w:rFonts w:ascii="Arial" w:hAnsi="Arial" w:eastAsia="微软雅黑"/>
          <w:b w:val="0"/>
          <w:i w:val="0"/>
          <w:color w:val="1F2937"/>
          <w:sz w:val="21"/>
        </w:rPr>
        <w:t>附录D 重点矿种独立研判</w:t>
      </w:r>
    </w:p>
    <w:p w14:paraId="52EAB251">
      <w:pPr>
        <w:spacing w:after="80"/>
        <w:ind w:left="259"/>
      </w:pPr>
      <w:r>
        <w:rPr>
          <w:rFonts w:ascii="Arial" w:hAnsi="Arial" w:eastAsia="微软雅黑"/>
          <w:b w:val="0"/>
          <w:i w:val="0"/>
          <w:color w:val="1F2937"/>
          <w:sz w:val="21"/>
        </w:rPr>
        <w:t>附录E 核心来源说明</w:t>
      </w:r>
    </w:p>
    <w:p w14:paraId="4F377FAF">
      <w:r>
        <w:br w:type="page"/>
      </w:r>
    </w:p>
    <w:p w14:paraId="1FD0181B">
      <w:pPr>
        <w:pStyle w:val="3"/>
      </w:pPr>
      <w:r>
        <w:t>执行摘要</w:t>
      </w:r>
    </w:p>
    <w:p w14:paraId="53D95C71">
      <w:pPr>
        <w:spacing w:after="100" w:line="348" w:lineRule="auto"/>
        <w:jc w:val="both"/>
      </w:pPr>
      <w:r>
        <w:rPr>
          <w:rFonts w:ascii="Arial" w:hAnsi="Arial" w:eastAsia="宋体"/>
          <w:b w:val="0"/>
          <w:i w:val="0"/>
          <w:color w:val="1F2937"/>
          <w:sz w:val="21"/>
        </w:rPr>
        <w:t>本报告围绕一个核心问题展开：当中国以物项清单、许可审查、最终用户管理、技术参数和特定目的地规则控制关键矿产及相关技术的跨境转移时，主要经济体如何把资源政策、产业政策、金融工具和联盟机制组合为可持续的供应链安全能力。研究不把“宣布投资”视为“形成产能”，也不把“贸易下降”直接归因于管制，而是把法律状态、项目阶段、商业可行性和实际交付能力分开评估。</w:t>
      </w:r>
    </w:p>
    <w:p w14:paraId="0C40F103">
      <w:pPr>
        <w:spacing w:after="100" w:line="348" w:lineRule="auto"/>
        <w:jc w:val="both"/>
      </w:pPr>
      <w:r>
        <w:rPr>
          <w:rFonts w:ascii="Arial" w:hAnsi="Arial" w:eastAsia="宋体"/>
          <w:b w:val="0"/>
          <w:i w:val="0"/>
          <w:color w:val="1F2937"/>
          <w:sz w:val="21"/>
        </w:rPr>
        <w:t>第一，关键矿产竞争的重心已从“谁拥有矿山”转向“谁能把矿石稳定转化为合格材料”。IEA数据显示，2024年中国在磁性稀土采矿、分离精炼和烧结永磁体制造环节的全球份额分别约为60%、91%和94%。这种沿价值链向下游递增的集中度意味着，新增矿权并不能自动消除供应风险；分离工艺、杂质控制、金属化、合金粉末、磁体良率和客户认证才是决定有效供给的约束。</w:t>
      </w:r>
      <w:r>
        <w:footnoteReference w:id="0"/>
      </w:r>
    </w:p>
    <w:p w14:paraId="38AF2A7C">
      <w:pPr>
        <w:spacing w:after="100" w:line="348" w:lineRule="auto"/>
        <w:jc w:val="both"/>
      </w:pPr>
      <w:r>
        <w:rPr>
          <w:rFonts w:ascii="Arial" w:hAnsi="Arial" w:eastAsia="宋体"/>
          <w:b w:val="0"/>
          <w:i w:val="0"/>
          <w:color w:val="1F2937"/>
          <w:sz w:val="21"/>
        </w:rPr>
        <w:t>第二，主要经济体正在把政府从“规则制定者”改造为“市场组织者”。美国通过行政命令、政策性贷款、价格保护、承购和战略储备同时介入项目收益和需求预期；欧盟以法规基准、战略项目、许可提速和联合采购构造制度市场；日本通过JOGMEC股权、长期承购和资源外交锁定特定材料；澳大利亚则进一步把远期承购、合同价差和选择性库存纳入战略储备工具箱。</w:t>
      </w:r>
      <w:r>
        <w:footnoteReference w:id="1"/>
      </w:r>
      <w:r>
        <w:footnoteReference w:id="2"/>
      </w:r>
    </w:p>
    <w:p w14:paraId="184B3C8E">
      <w:pPr>
        <w:spacing w:after="100" w:line="348" w:lineRule="auto"/>
        <w:jc w:val="both"/>
      </w:pPr>
      <w:r>
        <w:rPr>
          <w:rFonts w:ascii="Arial" w:hAnsi="Arial" w:eastAsia="宋体"/>
          <w:b w:val="0"/>
          <w:i w:val="0"/>
          <w:color w:val="1F2937"/>
          <w:sz w:val="21"/>
        </w:rPr>
        <w:t>第三，所谓“反管制”不是取消对中国依赖，而是购买选择权。短期选择权来自库存、许可协调和替代贸易路线；中期选择权来自回收、材料减量和在盟友国家形成可销售产能；长期选择权来自技术替代和产品重新设计。三类选择权的建设周期、成本和适用场景完全不同，不能用一个“去依赖率”概括。</w:t>
      </w:r>
    </w:p>
    <w:p w14:paraId="53CF1711">
      <w:pPr>
        <w:spacing w:after="100" w:line="348" w:lineRule="auto"/>
        <w:jc w:val="both"/>
      </w:pPr>
      <w:r>
        <w:rPr>
          <w:rFonts w:ascii="Arial" w:hAnsi="Arial" w:eastAsia="宋体"/>
          <w:b w:val="0"/>
          <w:i w:val="0"/>
          <w:color w:val="1F2937"/>
          <w:sz w:val="21"/>
        </w:rPr>
        <w:t>第四，2025—2030年构成显著的“政策—产能错配窗口”。政策工具可以在数日内调整，矿山、分离厂和磁体工厂却需要多年建设与认证。IEA同时指出，2024年关键矿产投资增速明显放缓，而精炼集中度继续上升；这意味着低价环境反而削弱了新进入者融资能力，强化了既有供应中心。</w:t>
      </w:r>
      <w:r>
        <w:footnoteReference w:id="3"/>
      </w:r>
    </w:p>
    <w:p w14:paraId="480F07B8">
      <w:pPr>
        <w:spacing w:after="100" w:line="348" w:lineRule="auto"/>
        <w:jc w:val="both"/>
      </w:pPr>
      <w:r>
        <w:rPr>
          <w:rFonts w:ascii="Arial" w:hAnsi="Arial" w:eastAsia="宋体"/>
          <w:b w:val="0"/>
          <w:i w:val="0"/>
          <w:color w:val="1F2937"/>
          <w:sz w:val="21"/>
        </w:rPr>
        <w:t>第五，2025年以后“价格支持”成为产业政策的重要分水岭。MP Materials披露的钕镨价格保护安排把政府支持从一次性补贴推进到长期收入稳定机制；Project Vault和澳大利亚战略储备又把库存、远期合同与下游需求聚合结合起来。由此可能形成“商业市场价格”和“安全溢价价格”并存的双层市场。</w:t>
      </w:r>
      <w:r>
        <w:footnoteReference w:id="4"/>
      </w:r>
      <w:r>
        <w:footnoteReference w:id="5"/>
      </w:r>
    </w:p>
    <w:p w14:paraId="011F7741">
      <w:pPr>
        <w:spacing w:after="100" w:line="348" w:lineRule="auto"/>
        <w:jc w:val="both"/>
      </w:pPr>
      <w:r>
        <w:rPr>
          <w:rFonts w:ascii="Arial" w:hAnsi="Arial" w:eastAsia="宋体"/>
          <w:b w:val="0"/>
          <w:i w:val="0"/>
          <w:color w:val="1F2937"/>
          <w:sz w:val="21"/>
        </w:rPr>
        <w:t>第六，多边合作正从原则声明转向项目和市场规则。G7强调标准化市场、资本动员和技术创新；Quad在2026年框架中提出动员最高200亿美元公共与私人支持，并列出贷款、股权、保险、承购和价格机制等工具。联盟的实质，不再是成员数量，而是能否把项目、融资、规格、承购和物流接成闭环。</w:t>
      </w:r>
    </w:p>
    <w:p w14:paraId="3A97FF48">
      <w:pPr>
        <w:spacing w:after="100" w:line="348" w:lineRule="auto"/>
        <w:jc w:val="both"/>
      </w:pPr>
      <w:r>
        <w:rPr>
          <w:rFonts w:ascii="Arial" w:hAnsi="Arial" w:eastAsia="宋体"/>
          <w:b w:val="0"/>
          <w:i w:val="0"/>
          <w:color w:val="1F2937"/>
          <w:sz w:val="21"/>
        </w:rPr>
        <w:t>第七，企业层面的最优策略不是简单“撤出中国”，而是分层管理：对不可替代材料建立库存与许可缓冲；对可替代材料推进双源认证；对中游瓶颈通过长期承购和共同投资锁定能力；对技术和最终用途建立可证明的合规链。供应链安全的目标不是完全本地化，而是在冲击发生时保留可切换的合格供应。</w:t>
      </w:r>
    </w:p>
    <w:p w14:paraId="3252876F">
      <w:pPr>
        <w:spacing w:after="100" w:line="348" w:lineRule="auto"/>
        <w:jc w:val="both"/>
      </w:pPr>
      <w:r>
        <w:rPr>
          <w:rFonts w:ascii="Arial" w:hAnsi="Arial" w:eastAsia="宋体"/>
          <w:b w:val="0"/>
          <w:i w:val="0"/>
          <w:color w:val="1F2937"/>
          <w:sz w:val="21"/>
        </w:rPr>
        <w:t>第八，对海关监管而言，真正有价值的不是扩大风险标签，而是把政策状态、物项参数、许可证、主体关系、跨票交易、物流和资金证据连接起来。任何企业关联、路线变化或价格异常都只能构成线索；只有与受控物项、许可缺口、单证矛盾和最终用途风险形成证据闭环，才适合升级为高优先核查。</w:t>
      </w:r>
    </w:p>
    <w:tbl>
      <w:tblPr>
        <w:tblStyle w:val="32"/>
        <w:tblW w:w="9360" w:type="dxa"/>
        <w:tblInd w:w="120" w:type="dxa"/>
        <w:tblLayout w:type="fixed"/>
        <w:tblCellMar>
          <w:top w:w="0" w:type="dxa"/>
          <w:left w:w="108" w:type="dxa"/>
          <w:bottom w:w="0" w:type="dxa"/>
          <w:right w:w="108" w:type="dxa"/>
        </w:tblCellMar>
      </w:tblPr>
      <w:tblGrid>
        <w:gridCol w:w="9360"/>
      </w:tblGrid>
      <w:tr w14:paraId="28762283">
        <w:tblPrEx>
          <w:tblCellMar>
            <w:top w:w="0" w:type="dxa"/>
            <w:left w:w="108" w:type="dxa"/>
            <w:bottom w:w="0" w:type="dxa"/>
            <w:right w:w="108" w:type="dxa"/>
          </w:tblCellMar>
        </w:tblPrEx>
        <w:tc>
          <w:tcPr>
            <w:tcW w:w="9360" w:type="dxa"/>
            <w:shd w:val="clear" w:color="auto" w:fill="EAF1F8"/>
            <w:tcMar>
              <w:top w:w="90" w:type="dxa"/>
              <w:left w:w="120" w:type="dxa"/>
              <w:bottom w:w="90" w:type="dxa"/>
              <w:right w:w="120" w:type="dxa"/>
            </w:tcMar>
            <w:vAlign w:val="center"/>
          </w:tcPr>
          <w:p w14:paraId="74F8F6B4">
            <w:pPr>
              <w:spacing w:after="60"/>
            </w:pPr>
            <w:r>
              <w:rPr>
                <w:rFonts w:ascii="Arial" w:hAnsi="Arial" w:eastAsia="微软雅黑"/>
                <w:b/>
                <w:i w:val="0"/>
                <w:color w:val="17365D"/>
                <w:sz w:val="21"/>
              </w:rPr>
              <w:t>本报告的独立判断</w:t>
            </w:r>
          </w:p>
          <w:p w14:paraId="5B6DF4D2">
            <w:pPr>
              <w:spacing w:after="0" w:line="324" w:lineRule="auto"/>
            </w:pPr>
            <w:r>
              <w:rPr>
                <w:rFonts w:ascii="Arial" w:hAnsi="Arial" w:eastAsia="宋体"/>
                <w:b w:val="0"/>
                <w:i w:val="0"/>
                <w:color w:val="1F2937"/>
                <w:sz w:val="20"/>
              </w:rPr>
              <w:t>全球关键矿产体系正在从“全球统一价格下的效率竞争”转向“安全溢价、政策融资和受控市场准入并存”的双层结构。未来五年最稀缺的不是地质资源，而是能够同时满足技术、合规、融资和下游认证要求的可交付中游能力。</w:t>
            </w:r>
          </w:p>
        </w:tc>
      </w:tr>
    </w:tbl>
    <w:p w14:paraId="64D05975">
      <w:pPr>
        <w:spacing w:after="20"/>
      </w:pPr>
    </w:p>
    <w:p w14:paraId="340CE353">
      <w:pPr>
        <w:pStyle w:val="3"/>
      </w:pPr>
      <w:r>
        <w:t>1 研究范围、概念与证据方法</w:t>
      </w:r>
    </w:p>
    <w:p w14:paraId="1AC17E86">
      <w:pPr>
        <w:pStyle w:val="4"/>
      </w:pPr>
      <w:r>
        <w:t>1.1 “反管制”作为分析概念</w:t>
      </w:r>
    </w:p>
    <w:p w14:paraId="539C8525">
      <w:pPr>
        <w:spacing w:after="100" w:line="348" w:lineRule="auto"/>
        <w:jc w:val="both"/>
      </w:pPr>
      <w:r>
        <w:rPr>
          <w:rFonts w:ascii="Arial" w:hAnsi="Arial" w:eastAsia="宋体"/>
          <w:b w:val="0"/>
          <w:i w:val="0"/>
          <w:color w:val="1F2937"/>
          <w:sz w:val="21"/>
        </w:rPr>
        <w:t>本报告使用“反管制”一词描述进口经济体和跨国企业为降低出口许可不确定性而采取的系统性应对，包括增加本土或盟友供给、建立库存、提供政策融资、锁定承购、发展替代技术、调整产品设计和建立多边规则。它不同于法律意义上的贸易反制，也不预设这些政策一定针对中国。</w:t>
      </w:r>
    </w:p>
    <w:p w14:paraId="27E02F65">
      <w:pPr>
        <w:spacing w:after="100" w:line="348" w:lineRule="auto"/>
        <w:jc w:val="both"/>
      </w:pPr>
      <w:r>
        <w:rPr>
          <w:rFonts w:ascii="Arial" w:hAnsi="Arial" w:eastAsia="宋体"/>
          <w:b w:val="0"/>
          <w:i w:val="0"/>
          <w:color w:val="1F2937"/>
          <w:sz w:val="21"/>
        </w:rPr>
        <w:t>分析对象限定为具有明显技术门槛、供应集中度或国家安全用途的矿产及其下游材料，重点覆盖镓、锗、石墨、锑、钨、碲、铋、钼、铟、中重稀土、永磁体和部分电池材料。研究时段以2023年镓锗公告至2026年上半年为主，历史材料仅用于解释制度演变。</w:t>
      </w:r>
    </w:p>
    <w:p w14:paraId="0C3958E9">
      <w:pPr>
        <w:pStyle w:val="4"/>
      </w:pPr>
      <w:r>
        <w:t>1.2 证据等级与事实边界</w:t>
      </w:r>
    </w:p>
    <w:p w14:paraId="7B193B2F">
      <w:pPr>
        <w:spacing w:after="100" w:line="348" w:lineRule="auto"/>
        <w:jc w:val="both"/>
      </w:pPr>
      <w:r>
        <w:rPr>
          <w:rFonts w:ascii="Arial" w:hAnsi="Arial" w:eastAsia="宋体"/>
          <w:b w:val="0"/>
          <w:i w:val="0"/>
          <w:color w:val="1F2937"/>
          <w:sz w:val="21"/>
        </w:rPr>
        <w:t>A级证据为政府法规、海关或监管公告、国际组织数据库、法院裁判和企业法定披露；B级证据为企业官网、项目融资文件、专业机构可复核数据；C级证据为新闻聚合、行业评论和无法追溯原始口径的二手数字。关键结论原则上至少有一个A级来源，企业项目进度尽量使用政府文件与企业法定披露交叉验证。</w:t>
      </w:r>
    </w:p>
    <w:p w14:paraId="0928FABA">
      <w:pPr>
        <w:spacing w:after="100" w:line="348" w:lineRule="auto"/>
        <w:jc w:val="both"/>
      </w:pPr>
      <w:r>
        <w:rPr>
          <w:rFonts w:ascii="Arial" w:hAnsi="Arial" w:eastAsia="宋体"/>
          <w:b w:val="0"/>
          <w:i w:val="0"/>
          <w:color w:val="1F2937"/>
          <w:sz w:val="21"/>
        </w:rPr>
        <w:t>报告严格区分四类状态：已经生效的政策、已经暂停或失效的政策、已宣布但尚未落地的项目、基于公开信息形成的研究判断。对外部数据库中的提单、价格和企业关系，不在缺少原始单证时作违法定性。</w:t>
      </w:r>
    </w:p>
    <w:p w14:paraId="05D21638">
      <w:pPr>
        <w:pStyle w:val="4"/>
      </w:pPr>
      <w:r>
        <w:t>1.3 分析模型</w:t>
      </w:r>
    </w:p>
    <w:p w14:paraId="05CD138B">
      <w:pPr>
        <w:spacing w:after="100" w:line="348" w:lineRule="auto"/>
        <w:jc w:val="both"/>
      </w:pPr>
      <w:r>
        <w:rPr>
          <w:rFonts w:ascii="Arial" w:hAnsi="Arial" w:eastAsia="宋体"/>
          <w:b w:val="0"/>
          <w:i w:val="0"/>
          <w:color w:val="1F2937"/>
          <w:sz w:val="21"/>
        </w:rPr>
        <w:t>本报告把供应链韧性拆解为五个相乘而非相加的条件：物理资源可得性、转化加工能力、商业可融资性、监管可进入性和物流可交付性。任何一项接近零，名义资源量都无法转换为有效供应。该模型解释了为什么部分资源丰富国家仍长期依赖外部精炼，也解释了价格保护和长期承购为何逐渐成为政策核心。</w:t>
      </w:r>
    </w:p>
    <w:p w14:paraId="3BED61AA">
      <w:pPr>
        <w:spacing w:after="100" w:line="348" w:lineRule="auto"/>
        <w:jc w:val="both"/>
      </w:pPr>
      <w:r>
        <w:rPr>
          <w:rFonts w:ascii="Arial" w:hAnsi="Arial" w:eastAsia="宋体"/>
          <w:b w:val="0"/>
          <w:i w:val="0"/>
          <w:color w:val="1F2937"/>
          <w:sz w:val="21"/>
        </w:rPr>
        <w:t>项目评价采用七阶段法：资源确认、预可研、可研与许可、融资关闭、建设、试生产与认证、商业化交付。只公布资源量或签署谅解备忘录的项目，不计入2030年有效产能；完成融资但尚未认证的项目，只计入条件性产能。</w:t>
      </w:r>
    </w:p>
    <w:p w14:paraId="3B672143">
      <w:pPr>
        <w:pStyle w:val="4"/>
      </w:pPr>
      <w:r>
        <w:t>1.4 数据限制</w:t>
      </w:r>
    </w:p>
    <w:p w14:paraId="1468CDC4">
      <w:pPr>
        <w:spacing w:after="100" w:line="348" w:lineRule="auto"/>
        <w:jc w:val="both"/>
      </w:pPr>
      <w:r>
        <w:rPr>
          <w:rFonts w:ascii="Arial" w:hAnsi="Arial" w:eastAsia="宋体"/>
          <w:b w:val="0"/>
          <w:i w:val="0"/>
          <w:color w:val="1F2937"/>
          <w:sz w:val="21"/>
        </w:rPr>
        <w:t>关键矿产统计存在品位、纯度、氧化物当量、金属量、精矿量和制品量等多种口径。海关税号通常覆盖受控与非受控产品，公告中的参考税号不能替代技术参数判断。商业价格还受合同期限、交付地、含税状态和规格影响，因此本报告避免把单点报价直接解释为政策冲击。</w:t>
      </w:r>
    </w:p>
    <w:p w14:paraId="2C08DCD1">
      <w:pPr>
        <w:pStyle w:val="3"/>
      </w:pPr>
      <w:r>
        <w:t>2 中国出口管制政策体系：从物项许可到产业链规则</w:t>
      </w:r>
    </w:p>
    <w:p w14:paraId="6194F5F7">
      <w:pPr>
        <w:pStyle w:val="4"/>
      </w:pPr>
      <w:r>
        <w:t>2.1 制度骨架</w:t>
      </w:r>
    </w:p>
    <w:p w14:paraId="2BEE3B4B">
      <w:pPr>
        <w:spacing w:after="100" w:line="348" w:lineRule="auto"/>
        <w:jc w:val="both"/>
      </w:pPr>
      <w:r>
        <w:rPr>
          <w:rFonts w:ascii="Arial" w:hAnsi="Arial" w:eastAsia="宋体"/>
          <w:b w:val="0"/>
          <w:i w:val="0"/>
          <w:color w:val="1F2937"/>
          <w:sz w:val="21"/>
        </w:rPr>
        <w:t>2024年《两用物项出口管制条例》把清单、临时管制、许可、最终用户和最终用途、管控名单、海关查验以及境外转移等要素纳入统一框架。条例规定单项许可、通用许可和登记填报三类路径，并要求出口经营者了解物项性能指标和主要用途；无法确定时可以申请业务咨询。</w:t>
      </w:r>
      <w:r>
        <w:footnoteReference w:id="6"/>
      </w:r>
    </w:p>
    <w:p w14:paraId="7227C0F4">
      <w:pPr>
        <w:spacing w:after="100" w:line="348" w:lineRule="auto"/>
        <w:jc w:val="both"/>
      </w:pPr>
      <w:r>
        <w:rPr>
          <w:rFonts w:ascii="Arial" w:hAnsi="Arial" w:eastAsia="宋体"/>
          <w:b w:val="0"/>
          <w:i w:val="0"/>
          <w:color w:val="1F2937"/>
          <w:sz w:val="21"/>
        </w:rPr>
        <w:t>2024年12月实施的统一两用物项出口管制清单，进一步把分散公告和既有清单整合为编码化体系。对监管和企业而言，这一变化的重要性不在于编码形式本身，而在于物项、许可证和报关数据可以形成机器可读的关联。</w:t>
      </w:r>
      <w:r>
        <w:footnoteReference w:id="7"/>
      </w:r>
    </w:p>
    <w:p w14:paraId="6DA17EDF">
      <w:pPr>
        <w:pStyle w:val="4"/>
      </w:pPr>
      <w:r>
        <w:t>2.2 2023—2026政策时间线与当前状态</w:t>
      </w:r>
    </w:p>
    <w:p w14:paraId="72B22052">
      <w:pPr>
        <w:pStyle w:val="164"/>
        <w:jc w:val="left"/>
      </w:pPr>
      <w:r>
        <w:t>表2-1  中国关键矿产相关出口管制政策时间线（状态口径）</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
        <w:gridCol w:w="1300"/>
        <w:gridCol w:w="3120"/>
        <w:gridCol w:w="1850"/>
        <w:gridCol w:w="2140"/>
      </w:tblGrid>
      <w:tr w14:paraId="4BD6B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50" w:type="dxa"/>
            <w:shd w:val="clear" w:color="auto" w:fill="17365D"/>
            <w:tcMar>
              <w:top w:w="90" w:type="dxa"/>
              <w:left w:w="120" w:type="dxa"/>
              <w:bottom w:w="90" w:type="dxa"/>
              <w:right w:w="120" w:type="dxa"/>
            </w:tcMar>
            <w:vAlign w:val="center"/>
          </w:tcPr>
          <w:p w14:paraId="5F78F5FE">
            <w:pPr>
              <w:spacing w:after="0"/>
              <w:jc w:val="center"/>
            </w:pPr>
            <w:r>
              <w:rPr>
                <w:rFonts w:ascii="Arial" w:hAnsi="Arial" w:eastAsia="微软雅黑"/>
                <w:b/>
                <w:i w:val="0"/>
                <w:color w:val="FFFFFF"/>
                <w:sz w:val="18"/>
              </w:rPr>
              <w:t>时间</w:t>
            </w:r>
          </w:p>
        </w:tc>
        <w:tc>
          <w:tcPr>
            <w:tcW w:w="1300" w:type="dxa"/>
            <w:shd w:val="clear" w:color="auto" w:fill="17365D"/>
            <w:tcMar>
              <w:top w:w="90" w:type="dxa"/>
              <w:left w:w="120" w:type="dxa"/>
              <w:bottom w:w="90" w:type="dxa"/>
              <w:right w:w="120" w:type="dxa"/>
            </w:tcMar>
            <w:vAlign w:val="center"/>
          </w:tcPr>
          <w:p w14:paraId="7F64E13D">
            <w:pPr>
              <w:spacing w:after="0"/>
              <w:jc w:val="center"/>
            </w:pPr>
            <w:r>
              <w:rPr>
                <w:rFonts w:ascii="Arial" w:hAnsi="Arial" w:eastAsia="微软雅黑"/>
                <w:b/>
                <w:i w:val="0"/>
                <w:color w:val="FFFFFF"/>
                <w:sz w:val="18"/>
              </w:rPr>
              <w:t>政策对象</w:t>
            </w:r>
          </w:p>
        </w:tc>
        <w:tc>
          <w:tcPr>
            <w:tcW w:w="3120" w:type="dxa"/>
            <w:shd w:val="clear" w:color="auto" w:fill="17365D"/>
            <w:tcMar>
              <w:top w:w="90" w:type="dxa"/>
              <w:left w:w="120" w:type="dxa"/>
              <w:bottom w:w="90" w:type="dxa"/>
              <w:right w:w="120" w:type="dxa"/>
            </w:tcMar>
            <w:vAlign w:val="center"/>
          </w:tcPr>
          <w:p w14:paraId="0084F491">
            <w:pPr>
              <w:spacing w:after="0"/>
              <w:jc w:val="center"/>
            </w:pPr>
            <w:r>
              <w:rPr>
                <w:rFonts w:ascii="Arial" w:hAnsi="Arial" w:eastAsia="微软雅黑"/>
                <w:b/>
                <w:i w:val="0"/>
                <w:color w:val="FFFFFF"/>
                <w:sz w:val="18"/>
              </w:rPr>
              <w:t>主要范围</w:t>
            </w:r>
          </w:p>
        </w:tc>
        <w:tc>
          <w:tcPr>
            <w:tcW w:w="1850" w:type="dxa"/>
            <w:shd w:val="clear" w:color="auto" w:fill="17365D"/>
            <w:tcMar>
              <w:top w:w="90" w:type="dxa"/>
              <w:left w:w="120" w:type="dxa"/>
              <w:bottom w:w="90" w:type="dxa"/>
              <w:right w:w="120" w:type="dxa"/>
            </w:tcMar>
            <w:vAlign w:val="center"/>
          </w:tcPr>
          <w:p w14:paraId="7ADEF937">
            <w:pPr>
              <w:spacing w:after="0"/>
              <w:jc w:val="center"/>
            </w:pPr>
            <w:r>
              <w:rPr>
                <w:rFonts w:ascii="Arial" w:hAnsi="Arial" w:eastAsia="微软雅黑"/>
                <w:b/>
                <w:i w:val="0"/>
                <w:color w:val="FFFFFF"/>
                <w:sz w:val="18"/>
              </w:rPr>
              <w:t>截至2026.7状态</w:t>
            </w:r>
          </w:p>
        </w:tc>
        <w:tc>
          <w:tcPr>
            <w:tcW w:w="2140" w:type="dxa"/>
            <w:shd w:val="clear" w:color="auto" w:fill="17365D"/>
            <w:tcMar>
              <w:top w:w="90" w:type="dxa"/>
              <w:left w:w="120" w:type="dxa"/>
              <w:bottom w:w="90" w:type="dxa"/>
              <w:right w:w="120" w:type="dxa"/>
            </w:tcMar>
            <w:vAlign w:val="center"/>
          </w:tcPr>
          <w:p w14:paraId="059EF4BA">
            <w:pPr>
              <w:spacing w:after="0"/>
              <w:jc w:val="center"/>
            </w:pPr>
            <w:r>
              <w:rPr>
                <w:rFonts w:ascii="Arial" w:hAnsi="Arial" w:eastAsia="微软雅黑"/>
                <w:b/>
                <w:i w:val="0"/>
                <w:color w:val="FFFFFF"/>
                <w:sz w:val="18"/>
              </w:rPr>
              <w:t>依据</w:t>
            </w:r>
          </w:p>
        </w:tc>
      </w:tr>
      <w:tr w14:paraId="107FD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tcPr>
          <w:p w14:paraId="0915AC23">
            <w:pPr>
              <w:spacing w:after="0" w:line="276" w:lineRule="auto"/>
              <w:jc w:val="center"/>
            </w:pPr>
            <w:r>
              <w:rPr>
                <w:rFonts w:ascii="Arial" w:hAnsi="Arial" w:eastAsia="宋体"/>
                <w:b w:val="0"/>
                <w:i w:val="0"/>
                <w:color w:val="1F2937"/>
                <w:sz w:val="17"/>
              </w:rPr>
              <w:t>2023.08</w:t>
            </w:r>
          </w:p>
        </w:tc>
        <w:tc>
          <w:tcPr>
            <w:tcW w:w="1300" w:type="dxa"/>
          </w:tcPr>
          <w:p w14:paraId="5CAF5208">
            <w:pPr>
              <w:spacing w:after="0" w:line="276" w:lineRule="auto"/>
              <w:jc w:val="left"/>
            </w:pPr>
            <w:r>
              <w:rPr>
                <w:rFonts w:ascii="Arial" w:hAnsi="Arial" w:eastAsia="宋体"/>
                <w:b w:val="0"/>
                <w:i w:val="0"/>
                <w:color w:val="1F2937"/>
                <w:sz w:val="17"/>
              </w:rPr>
              <w:t>镓、锗</w:t>
            </w:r>
          </w:p>
        </w:tc>
        <w:tc>
          <w:tcPr>
            <w:tcW w:w="3120" w:type="dxa"/>
          </w:tcPr>
          <w:p w14:paraId="07286673">
            <w:pPr>
              <w:spacing w:after="0" w:line="276" w:lineRule="auto"/>
              <w:jc w:val="left"/>
            </w:pPr>
            <w:r>
              <w:rPr>
                <w:rFonts w:ascii="Arial" w:hAnsi="Arial" w:eastAsia="宋体"/>
                <w:b w:val="0"/>
                <w:i w:val="0"/>
                <w:color w:val="1F2937"/>
                <w:sz w:val="17"/>
              </w:rPr>
              <w:t>金属、化合物、晶片/衬底等</w:t>
            </w:r>
          </w:p>
        </w:tc>
        <w:tc>
          <w:tcPr>
            <w:tcW w:w="1850" w:type="dxa"/>
          </w:tcPr>
          <w:p w14:paraId="6F19DA9E">
            <w:pPr>
              <w:spacing w:after="0" w:line="276" w:lineRule="auto"/>
              <w:jc w:val="left"/>
            </w:pPr>
            <w:r>
              <w:rPr>
                <w:rFonts w:ascii="Arial" w:hAnsi="Arial" w:eastAsia="宋体"/>
                <w:b w:val="0"/>
                <w:i w:val="0"/>
                <w:color w:val="1F2937"/>
                <w:sz w:val="17"/>
              </w:rPr>
              <w:t>许可实施</w:t>
            </w:r>
          </w:p>
        </w:tc>
        <w:tc>
          <w:tcPr>
            <w:tcW w:w="2140" w:type="dxa"/>
          </w:tcPr>
          <w:p w14:paraId="677C511A">
            <w:pPr>
              <w:spacing w:after="0" w:line="276" w:lineRule="auto"/>
              <w:jc w:val="left"/>
            </w:pPr>
            <w:r>
              <w:rPr>
                <w:rFonts w:ascii="Arial" w:hAnsi="Arial" w:eastAsia="宋体"/>
                <w:b w:val="0"/>
                <w:i w:val="0"/>
                <w:color w:val="1F2937"/>
                <w:sz w:val="17"/>
              </w:rPr>
              <w:t>第23号公告</w:t>
            </w:r>
          </w:p>
        </w:tc>
      </w:tr>
      <w:tr w14:paraId="38A4D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shd w:val="clear" w:color="auto" w:fill="F3F5F7"/>
          </w:tcPr>
          <w:p w14:paraId="59F2A4F9">
            <w:pPr>
              <w:spacing w:after="0" w:line="276" w:lineRule="auto"/>
              <w:jc w:val="center"/>
            </w:pPr>
            <w:r>
              <w:rPr>
                <w:rFonts w:ascii="Arial" w:hAnsi="Arial" w:eastAsia="宋体"/>
                <w:b w:val="0"/>
                <w:i w:val="0"/>
                <w:color w:val="1F2937"/>
                <w:sz w:val="17"/>
              </w:rPr>
              <w:t>2023.12</w:t>
            </w:r>
          </w:p>
        </w:tc>
        <w:tc>
          <w:tcPr>
            <w:tcW w:w="1300" w:type="dxa"/>
            <w:shd w:val="clear" w:color="auto" w:fill="F3F5F7"/>
          </w:tcPr>
          <w:p w14:paraId="17CFAD34">
            <w:pPr>
              <w:spacing w:after="0" w:line="276" w:lineRule="auto"/>
              <w:jc w:val="left"/>
            </w:pPr>
            <w:r>
              <w:rPr>
                <w:rFonts w:ascii="Arial" w:hAnsi="Arial" w:eastAsia="宋体"/>
                <w:b w:val="0"/>
                <w:i w:val="0"/>
                <w:color w:val="1F2937"/>
                <w:sz w:val="17"/>
              </w:rPr>
              <w:t>石墨</w:t>
            </w:r>
          </w:p>
        </w:tc>
        <w:tc>
          <w:tcPr>
            <w:tcW w:w="3120" w:type="dxa"/>
            <w:shd w:val="clear" w:color="auto" w:fill="F3F5F7"/>
          </w:tcPr>
          <w:p w14:paraId="7C6DFB68">
            <w:pPr>
              <w:spacing w:after="0" w:line="276" w:lineRule="auto"/>
              <w:jc w:val="left"/>
            </w:pPr>
            <w:r>
              <w:rPr>
                <w:rFonts w:ascii="Arial" w:hAnsi="Arial" w:eastAsia="宋体"/>
                <w:b w:val="0"/>
                <w:i w:val="0"/>
                <w:color w:val="1F2937"/>
                <w:sz w:val="17"/>
              </w:rPr>
              <w:t>高规格人造石墨、天然鳞片石墨及制品</w:t>
            </w:r>
          </w:p>
        </w:tc>
        <w:tc>
          <w:tcPr>
            <w:tcW w:w="1850" w:type="dxa"/>
            <w:shd w:val="clear" w:color="auto" w:fill="F3F5F7"/>
          </w:tcPr>
          <w:p w14:paraId="32E315E9">
            <w:pPr>
              <w:spacing w:after="0" w:line="276" w:lineRule="auto"/>
              <w:jc w:val="left"/>
            </w:pPr>
            <w:r>
              <w:rPr>
                <w:rFonts w:ascii="Arial" w:hAnsi="Arial" w:eastAsia="宋体"/>
                <w:b w:val="0"/>
                <w:i w:val="0"/>
                <w:color w:val="1F2937"/>
                <w:sz w:val="17"/>
              </w:rPr>
              <w:t>许可实施</w:t>
            </w:r>
          </w:p>
        </w:tc>
        <w:tc>
          <w:tcPr>
            <w:tcW w:w="2140" w:type="dxa"/>
            <w:shd w:val="clear" w:color="auto" w:fill="F3F5F7"/>
          </w:tcPr>
          <w:p w14:paraId="26CA03B2">
            <w:pPr>
              <w:spacing w:after="0" w:line="276" w:lineRule="auto"/>
              <w:jc w:val="left"/>
            </w:pPr>
            <w:r>
              <w:rPr>
                <w:rFonts w:ascii="Arial" w:hAnsi="Arial" w:eastAsia="宋体"/>
                <w:b w:val="0"/>
                <w:i w:val="0"/>
                <w:color w:val="1F2937"/>
                <w:sz w:val="17"/>
              </w:rPr>
              <w:t>第39号公告</w:t>
            </w:r>
          </w:p>
        </w:tc>
      </w:tr>
      <w:tr w14:paraId="2CCC6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tcPr>
          <w:p w14:paraId="40D8CA11">
            <w:pPr>
              <w:spacing w:after="0" w:line="276" w:lineRule="auto"/>
              <w:jc w:val="center"/>
            </w:pPr>
            <w:r>
              <w:rPr>
                <w:rFonts w:ascii="Arial" w:hAnsi="Arial" w:eastAsia="宋体"/>
                <w:b w:val="0"/>
                <w:i w:val="0"/>
                <w:color w:val="1F2937"/>
                <w:sz w:val="17"/>
              </w:rPr>
              <w:t>2024.09</w:t>
            </w:r>
          </w:p>
        </w:tc>
        <w:tc>
          <w:tcPr>
            <w:tcW w:w="1300" w:type="dxa"/>
          </w:tcPr>
          <w:p w14:paraId="32D968F8">
            <w:pPr>
              <w:spacing w:after="0" w:line="276" w:lineRule="auto"/>
              <w:jc w:val="left"/>
            </w:pPr>
            <w:r>
              <w:rPr>
                <w:rFonts w:ascii="Arial" w:hAnsi="Arial" w:eastAsia="宋体"/>
                <w:b w:val="0"/>
                <w:i w:val="0"/>
                <w:color w:val="1F2937"/>
                <w:sz w:val="17"/>
              </w:rPr>
              <w:t>锑、超硬材料</w:t>
            </w:r>
          </w:p>
        </w:tc>
        <w:tc>
          <w:tcPr>
            <w:tcW w:w="3120" w:type="dxa"/>
          </w:tcPr>
          <w:p w14:paraId="7B6C5831">
            <w:pPr>
              <w:spacing w:after="0" w:line="276" w:lineRule="auto"/>
              <w:jc w:val="left"/>
            </w:pPr>
            <w:r>
              <w:rPr>
                <w:rFonts w:ascii="Arial" w:hAnsi="Arial" w:eastAsia="宋体"/>
                <w:b w:val="0"/>
                <w:i w:val="0"/>
                <w:color w:val="1F2937"/>
                <w:sz w:val="17"/>
              </w:rPr>
              <w:t>锑矿、金属、氧化物、设备与技术等</w:t>
            </w:r>
          </w:p>
        </w:tc>
        <w:tc>
          <w:tcPr>
            <w:tcW w:w="1850" w:type="dxa"/>
          </w:tcPr>
          <w:p w14:paraId="43D900A1">
            <w:pPr>
              <w:spacing w:after="0" w:line="276" w:lineRule="auto"/>
              <w:jc w:val="left"/>
            </w:pPr>
            <w:r>
              <w:rPr>
                <w:rFonts w:ascii="Arial" w:hAnsi="Arial" w:eastAsia="宋体"/>
                <w:b w:val="0"/>
                <w:i w:val="0"/>
                <w:color w:val="1F2937"/>
                <w:sz w:val="17"/>
              </w:rPr>
              <w:t>许可实施</w:t>
            </w:r>
          </w:p>
        </w:tc>
        <w:tc>
          <w:tcPr>
            <w:tcW w:w="2140" w:type="dxa"/>
          </w:tcPr>
          <w:p w14:paraId="4169B770">
            <w:pPr>
              <w:spacing w:after="0" w:line="276" w:lineRule="auto"/>
              <w:jc w:val="left"/>
            </w:pPr>
            <w:r>
              <w:rPr>
                <w:rFonts w:ascii="Arial" w:hAnsi="Arial" w:eastAsia="宋体"/>
                <w:b w:val="0"/>
                <w:i w:val="0"/>
                <w:color w:val="1F2937"/>
                <w:sz w:val="17"/>
              </w:rPr>
              <w:t>第33号公告</w:t>
            </w:r>
          </w:p>
        </w:tc>
      </w:tr>
      <w:tr w14:paraId="0FFD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shd w:val="clear" w:color="auto" w:fill="F3F5F7"/>
          </w:tcPr>
          <w:p w14:paraId="122D55A0">
            <w:pPr>
              <w:spacing w:after="0" w:line="276" w:lineRule="auto"/>
              <w:jc w:val="center"/>
            </w:pPr>
            <w:r>
              <w:rPr>
                <w:rFonts w:ascii="Arial" w:hAnsi="Arial" w:eastAsia="宋体"/>
                <w:b w:val="0"/>
                <w:i w:val="0"/>
                <w:color w:val="1F2937"/>
                <w:sz w:val="17"/>
              </w:rPr>
              <w:t>2024.12</w:t>
            </w:r>
          </w:p>
        </w:tc>
        <w:tc>
          <w:tcPr>
            <w:tcW w:w="1300" w:type="dxa"/>
            <w:shd w:val="clear" w:color="auto" w:fill="F3F5F7"/>
          </w:tcPr>
          <w:p w14:paraId="029CD37A">
            <w:pPr>
              <w:spacing w:after="0" w:line="276" w:lineRule="auto"/>
              <w:jc w:val="left"/>
            </w:pPr>
            <w:r>
              <w:rPr>
                <w:rFonts w:ascii="Arial" w:hAnsi="Arial" w:eastAsia="宋体"/>
                <w:b w:val="0"/>
                <w:i w:val="0"/>
                <w:color w:val="1F2937"/>
                <w:sz w:val="17"/>
              </w:rPr>
              <w:t>特定目的地强化</w:t>
            </w:r>
          </w:p>
        </w:tc>
        <w:tc>
          <w:tcPr>
            <w:tcW w:w="3120" w:type="dxa"/>
            <w:shd w:val="clear" w:color="auto" w:fill="F3F5F7"/>
          </w:tcPr>
          <w:p w14:paraId="3344B1C7">
            <w:pPr>
              <w:spacing w:after="0" w:line="276" w:lineRule="auto"/>
              <w:jc w:val="left"/>
            </w:pPr>
            <w:r>
              <w:rPr>
                <w:rFonts w:ascii="Arial" w:hAnsi="Arial" w:eastAsia="宋体"/>
                <w:b w:val="0"/>
                <w:i w:val="0"/>
                <w:color w:val="1F2937"/>
                <w:sz w:val="17"/>
              </w:rPr>
              <w:t>镓、锗、锑、超硬材料、石墨对美</w:t>
            </w:r>
          </w:p>
        </w:tc>
        <w:tc>
          <w:tcPr>
            <w:tcW w:w="1850" w:type="dxa"/>
            <w:shd w:val="clear" w:color="auto" w:fill="F3F5F7"/>
          </w:tcPr>
          <w:p w14:paraId="740E32DD">
            <w:pPr>
              <w:spacing w:after="0" w:line="276" w:lineRule="auto"/>
              <w:jc w:val="left"/>
            </w:pPr>
            <w:r>
              <w:rPr>
                <w:rFonts w:ascii="Arial" w:hAnsi="Arial" w:eastAsia="宋体"/>
                <w:b w:val="0"/>
                <w:i w:val="0"/>
                <w:color w:val="1F2937"/>
                <w:sz w:val="17"/>
              </w:rPr>
              <w:t>差异化审查</w:t>
            </w:r>
          </w:p>
        </w:tc>
        <w:tc>
          <w:tcPr>
            <w:tcW w:w="2140" w:type="dxa"/>
            <w:shd w:val="clear" w:color="auto" w:fill="F3F5F7"/>
          </w:tcPr>
          <w:p w14:paraId="6F74692C">
            <w:pPr>
              <w:spacing w:after="0" w:line="276" w:lineRule="auto"/>
              <w:jc w:val="left"/>
            </w:pPr>
            <w:r>
              <w:rPr>
                <w:rFonts w:ascii="Arial" w:hAnsi="Arial" w:eastAsia="宋体"/>
                <w:b w:val="0"/>
                <w:i w:val="0"/>
                <w:color w:val="1F2937"/>
                <w:sz w:val="17"/>
              </w:rPr>
              <w:t>第46号公告</w:t>
            </w:r>
          </w:p>
        </w:tc>
      </w:tr>
      <w:tr w14:paraId="10D7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tcPr>
          <w:p w14:paraId="10D0955F">
            <w:pPr>
              <w:spacing w:after="0" w:line="276" w:lineRule="auto"/>
              <w:jc w:val="center"/>
            </w:pPr>
            <w:r>
              <w:rPr>
                <w:rFonts w:ascii="Arial" w:hAnsi="Arial" w:eastAsia="宋体"/>
                <w:b w:val="0"/>
                <w:i w:val="0"/>
                <w:color w:val="1F2937"/>
                <w:sz w:val="17"/>
              </w:rPr>
              <w:t>2025.02</w:t>
            </w:r>
          </w:p>
        </w:tc>
        <w:tc>
          <w:tcPr>
            <w:tcW w:w="1300" w:type="dxa"/>
          </w:tcPr>
          <w:p w14:paraId="0F050AB5">
            <w:pPr>
              <w:spacing w:after="0" w:line="276" w:lineRule="auto"/>
              <w:jc w:val="left"/>
            </w:pPr>
            <w:r>
              <w:rPr>
                <w:rFonts w:ascii="Arial" w:hAnsi="Arial" w:eastAsia="宋体"/>
                <w:b w:val="0"/>
                <w:i w:val="0"/>
                <w:color w:val="1F2937"/>
                <w:sz w:val="17"/>
              </w:rPr>
              <w:t>钨、碲、铋、钼、铟</w:t>
            </w:r>
          </w:p>
        </w:tc>
        <w:tc>
          <w:tcPr>
            <w:tcW w:w="3120" w:type="dxa"/>
          </w:tcPr>
          <w:p w14:paraId="75878814">
            <w:pPr>
              <w:spacing w:after="0" w:line="276" w:lineRule="auto"/>
              <w:jc w:val="left"/>
            </w:pPr>
            <w:r>
              <w:rPr>
                <w:rFonts w:ascii="Arial" w:hAnsi="Arial" w:eastAsia="宋体"/>
                <w:b w:val="0"/>
                <w:i w:val="0"/>
                <w:color w:val="1F2937"/>
                <w:sz w:val="17"/>
              </w:rPr>
              <w:t>满足技术条件的相关物项</w:t>
            </w:r>
          </w:p>
        </w:tc>
        <w:tc>
          <w:tcPr>
            <w:tcW w:w="1850" w:type="dxa"/>
          </w:tcPr>
          <w:p w14:paraId="7E38EB3A">
            <w:pPr>
              <w:spacing w:after="0" w:line="276" w:lineRule="auto"/>
              <w:jc w:val="left"/>
            </w:pPr>
            <w:r>
              <w:rPr>
                <w:rFonts w:ascii="Arial" w:hAnsi="Arial" w:eastAsia="宋体"/>
                <w:b w:val="0"/>
                <w:i w:val="0"/>
                <w:color w:val="1F2937"/>
                <w:sz w:val="17"/>
              </w:rPr>
              <w:t>许可实施</w:t>
            </w:r>
          </w:p>
        </w:tc>
        <w:tc>
          <w:tcPr>
            <w:tcW w:w="2140" w:type="dxa"/>
          </w:tcPr>
          <w:p w14:paraId="7C921E7D">
            <w:pPr>
              <w:spacing w:after="0" w:line="276" w:lineRule="auto"/>
              <w:jc w:val="left"/>
            </w:pPr>
            <w:r>
              <w:rPr>
                <w:rFonts w:ascii="Arial" w:hAnsi="Arial" w:eastAsia="宋体"/>
                <w:b w:val="0"/>
                <w:i w:val="0"/>
                <w:color w:val="1F2937"/>
                <w:sz w:val="17"/>
              </w:rPr>
              <w:t>第10号公告</w:t>
            </w:r>
          </w:p>
        </w:tc>
      </w:tr>
      <w:tr w14:paraId="2DD6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shd w:val="clear" w:color="auto" w:fill="F3F5F7"/>
          </w:tcPr>
          <w:p w14:paraId="270384D6">
            <w:pPr>
              <w:spacing w:after="0" w:line="276" w:lineRule="auto"/>
              <w:jc w:val="center"/>
            </w:pPr>
            <w:r>
              <w:rPr>
                <w:rFonts w:ascii="Arial" w:hAnsi="Arial" w:eastAsia="宋体"/>
                <w:b w:val="0"/>
                <w:i w:val="0"/>
                <w:color w:val="1F2937"/>
                <w:sz w:val="17"/>
              </w:rPr>
              <w:t>2025.04</w:t>
            </w:r>
          </w:p>
        </w:tc>
        <w:tc>
          <w:tcPr>
            <w:tcW w:w="1300" w:type="dxa"/>
            <w:shd w:val="clear" w:color="auto" w:fill="F3F5F7"/>
          </w:tcPr>
          <w:p w14:paraId="496EFE00">
            <w:pPr>
              <w:spacing w:after="0" w:line="276" w:lineRule="auto"/>
              <w:jc w:val="left"/>
            </w:pPr>
            <w:r>
              <w:rPr>
                <w:rFonts w:ascii="Arial" w:hAnsi="Arial" w:eastAsia="宋体"/>
                <w:b w:val="0"/>
                <w:i w:val="0"/>
                <w:color w:val="1F2937"/>
                <w:sz w:val="17"/>
              </w:rPr>
              <w:t>部分中重稀土</w:t>
            </w:r>
          </w:p>
        </w:tc>
        <w:tc>
          <w:tcPr>
            <w:tcW w:w="3120" w:type="dxa"/>
            <w:shd w:val="clear" w:color="auto" w:fill="F3F5F7"/>
          </w:tcPr>
          <w:p w14:paraId="1BB3785A">
            <w:pPr>
              <w:spacing w:after="0" w:line="276" w:lineRule="auto"/>
              <w:jc w:val="left"/>
            </w:pPr>
            <w:r>
              <w:rPr>
                <w:rFonts w:ascii="Arial" w:hAnsi="Arial" w:eastAsia="宋体"/>
                <w:b w:val="0"/>
                <w:i w:val="0"/>
                <w:color w:val="1F2937"/>
                <w:sz w:val="17"/>
              </w:rPr>
              <w:t>钐、钆、铽、镝、镥、钪、钇</w:t>
            </w:r>
          </w:p>
        </w:tc>
        <w:tc>
          <w:tcPr>
            <w:tcW w:w="1850" w:type="dxa"/>
            <w:shd w:val="clear" w:color="auto" w:fill="F3F5F7"/>
          </w:tcPr>
          <w:p w14:paraId="533D3FA8">
            <w:pPr>
              <w:spacing w:after="0" w:line="276" w:lineRule="auto"/>
              <w:jc w:val="left"/>
            </w:pPr>
            <w:r>
              <w:rPr>
                <w:rFonts w:ascii="Arial" w:hAnsi="Arial" w:eastAsia="宋体"/>
                <w:b w:val="0"/>
                <w:i w:val="0"/>
                <w:color w:val="1F2937"/>
                <w:sz w:val="17"/>
              </w:rPr>
              <w:t>许可实施</w:t>
            </w:r>
          </w:p>
        </w:tc>
        <w:tc>
          <w:tcPr>
            <w:tcW w:w="2140" w:type="dxa"/>
            <w:shd w:val="clear" w:color="auto" w:fill="F3F5F7"/>
          </w:tcPr>
          <w:p w14:paraId="6A1353CB">
            <w:pPr>
              <w:spacing w:after="0" w:line="276" w:lineRule="auto"/>
              <w:jc w:val="left"/>
            </w:pPr>
            <w:r>
              <w:rPr>
                <w:rFonts w:ascii="Arial" w:hAnsi="Arial" w:eastAsia="宋体"/>
                <w:b w:val="0"/>
                <w:i w:val="0"/>
                <w:color w:val="1F2937"/>
                <w:sz w:val="17"/>
              </w:rPr>
              <w:t>第18号公告</w:t>
            </w:r>
          </w:p>
        </w:tc>
      </w:tr>
      <w:tr w14:paraId="1996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tcPr>
          <w:p w14:paraId="0D2222B8">
            <w:pPr>
              <w:spacing w:after="0" w:line="276" w:lineRule="auto"/>
              <w:jc w:val="center"/>
            </w:pPr>
            <w:r>
              <w:rPr>
                <w:rFonts w:ascii="Arial" w:hAnsi="Arial" w:eastAsia="宋体"/>
                <w:b w:val="0"/>
                <w:i w:val="0"/>
                <w:color w:val="1F2937"/>
                <w:sz w:val="17"/>
              </w:rPr>
              <w:t>2025.10</w:t>
            </w:r>
          </w:p>
        </w:tc>
        <w:tc>
          <w:tcPr>
            <w:tcW w:w="1300" w:type="dxa"/>
          </w:tcPr>
          <w:p w14:paraId="0D94367F">
            <w:pPr>
              <w:spacing w:after="0" w:line="276" w:lineRule="auto"/>
              <w:jc w:val="left"/>
            </w:pPr>
            <w:r>
              <w:rPr>
                <w:rFonts w:ascii="Arial" w:hAnsi="Arial" w:eastAsia="宋体"/>
                <w:b w:val="0"/>
                <w:i w:val="0"/>
                <w:color w:val="1F2937"/>
                <w:sz w:val="17"/>
              </w:rPr>
              <w:t>扩围措施</w:t>
            </w:r>
          </w:p>
        </w:tc>
        <w:tc>
          <w:tcPr>
            <w:tcW w:w="3120" w:type="dxa"/>
          </w:tcPr>
          <w:p w14:paraId="0468EFDE">
            <w:pPr>
              <w:spacing w:after="0" w:line="276" w:lineRule="auto"/>
              <w:jc w:val="left"/>
            </w:pPr>
            <w:r>
              <w:rPr>
                <w:rFonts w:ascii="Arial" w:hAnsi="Arial" w:eastAsia="宋体"/>
                <w:b w:val="0"/>
                <w:i w:val="0"/>
                <w:color w:val="1F2937"/>
                <w:sz w:val="17"/>
              </w:rPr>
              <w:t>超硬材料、稀土设备/元素、锂电材料、境外规则</w:t>
            </w:r>
          </w:p>
        </w:tc>
        <w:tc>
          <w:tcPr>
            <w:tcW w:w="1850" w:type="dxa"/>
          </w:tcPr>
          <w:p w14:paraId="39C15C39">
            <w:pPr>
              <w:spacing w:after="0" w:line="276" w:lineRule="auto"/>
              <w:jc w:val="left"/>
            </w:pPr>
            <w:r>
              <w:rPr>
                <w:rFonts w:ascii="Arial" w:hAnsi="Arial" w:eastAsia="宋体"/>
                <w:b w:val="0"/>
                <w:i w:val="0"/>
                <w:color w:val="1F2937"/>
                <w:sz w:val="17"/>
              </w:rPr>
              <w:t>后续暂停</w:t>
            </w:r>
          </w:p>
        </w:tc>
        <w:tc>
          <w:tcPr>
            <w:tcW w:w="2140" w:type="dxa"/>
          </w:tcPr>
          <w:p w14:paraId="489EBFC8">
            <w:pPr>
              <w:spacing w:after="0" w:line="276" w:lineRule="auto"/>
              <w:jc w:val="left"/>
            </w:pPr>
            <w:r>
              <w:rPr>
                <w:rFonts w:ascii="Arial" w:hAnsi="Arial" w:eastAsia="宋体"/>
                <w:b w:val="0"/>
                <w:i w:val="0"/>
                <w:color w:val="1F2937"/>
                <w:sz w:val="17"/>
              </w:rPr>
              <w:t>第55—62号公告</w:t>
            </w:r>
          </w:p>
        </w:tc>
      </w:tr>
      <w:tr w14:paraId="6B82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shd w:val="clear" w:color="auto" w:fill="F3F5F7"/>
          </w:tcPr>
          <w:p w14:paraId="174F0820">
            <w:pPr>
              <w:spacing w:after="0" w:line="276" w:lineRule="auto"/>
              <w:jc w:val="center"/>
            </w:pPr>
            <w:r>
              <w:rPr>
                <w:rFonts w:ascii="Arial" w:hAnsi="Arial" w:eastAsia="宋体"/>
                <w:b w:val="0"/>
                <w:i w:val="0"/>
                <w:color w:val="1F2937"/>
                <w:sz w:val="17"/>
              </w:rPr>
              <w:t>2025.11</w:t>
            </w:r>
          </w:p>
        </w:tc>
        <w:tc>
          <w:tcPr>
            <w:tcW w:w="1300" w:type="dxa"/>
            <w:shd w:val="clear" w:color="auto" w:fill="F3F5F7"/>
          </w:tcPr>
          <w:p w14:paraId="29CA0C97">
            <w:pPr>
              <w:spacing w:after="0" w:line="276" w:lineRule="auto"/>
              <w:jc w:val="left"/>
            </w:pPr>
            <w:r>
              <w:rPr>
                <w:rFonts w:ascii="Arial" w:hAnsi="Arial" w:eastAsia="宋体"/>
                <w:b w:val="0"/>
                <w:i w:val="0"/>
                <w:color w:val="1F2937"/>
                <w:sz w:val="17"/>
              </w:rPr>
              <w:t>暂停决定</w:t>
            </w:r>
          </w:p>
        </w:tc>
        <w:tc>
          <w:tcPr>
            <w:tcW w:w="3120" w:type="dxa"/>
            <w:shd w:val="clear" w:color="auto" w:fill="F3F5F7"/>
          </w:tcPr>
          <w:p w14:paraId="1FA41E00">
            <w:pPr>
              <w:spacing w:after="0" w:line="276" w:lineRule="auto"/>
              <w:jc w:val="left"/>
            </w:pPr>
            <w:r>
              <w:rPr>
                <w:rFonts w:ascii="Arial" w:hAnsi="Arial" w:eastAsia="宋体"/>
                <w:b w:val="0"/>
                <w:i w:val="0"/>
                <w:color w:val="1F2937"/>
                <w:sz w:val="17"/>
              </w:rPr>
              <w:t>第55、56、57、58、61、62号公告</w:t>
            </w:r>
          </w:p>
        </w:tc>
        <w:tc>
          <w:tcPr>
            <w:tcW w:w="1850" w:type="dxa"/>
            <w:shd w:val="clear" w:color="auto" w:fill="F3F5F7"/>
          </w:tcPr>
          <w:p w14:paraId="2FDD8359">
            <w:pPr>
              <w:spacing w:after="0" w:line="276" w:lineRule="auto"/>
              <w:jc w:val="left"/>
            </w:pPr>
            <w:r>
              <w:rPr>
                <w:rFonts w:ascii="Arial" w:hAnsi="Arial" w:eastAsia="宋体"/>
                <w:b w:val="0"/>
                <w:i w:val="0"/>
                <w:color w:val="1F2937"/>
                <w:sz w:val="17"/>
              </w:rPr>
              <w:t>暂停至2026.11.10</w:t>
            </w:r>
          </w:p>
        </w:tc>
        <w:tc>
          <w:tcPr>
            <w:tcW w:w="2140" w:type="dxa"/>
            <w:shd w:val="clear" w:color="auto" w:fill="F3F5F7"/>
          </w:tcPr>
          <w:p w14:paraId="31D0A6E0">
            <w:pPr>
              <w:spacing w:after="0" w:line="276" w:lineRule="auto"/>
              <w:jc w:val="left"/>
            </w:pPr>
            <w:r>
              <w:rPr>
                <w:rFonts w:ascii="Arial" w:hAnsi="Arial" w:eastAsia="宋体"/>
                <w:b w:val="0"/>
                <w:i w:val="0"/>
                <w:color w:val="1F2937"/>
                <w:sz w:val="17"/>
              </w:rPr>
              <w:t>第70号公告</w:t>
            </w:r>
          </w:p>
        </w:tc>
      </w:tr>
    </w:tbl>
    <w:p w14:paraId="2C6AE20E">
      <w:pPr>
        <w:spacing w:after="20"/>
      </w:pPr>
    </w:p>
    <w:p w14:paraId="6F5285A2">
      <w:pPr>
        <w:spacing w:after="100" w:line="348" w:lineRule="auto"/>
        <w:jc w:val="both"/>
      </w:pPr>
      <w:r>
        <w:rPr>
          <w:rFonts w:ascii="Arial" w:hAnsi="Arial" w:eastAsia="宋体"/>
          <w:b w:val="0"/>
          <w:i w:val="0"/>
          <w:color w:val="1F2937"/>
          <w:sz w:val="21"/>
        </w:rPr>
        <w:t>镓锗公告首次把多种金属、化合物和半导体材料形态纳入许可范围；石墨公告则通过纯度、强度、密度和天然鳞片石墨形态组合界定边界。两者都说明，海关商品编号只是参考，真正决定是否受控的是公告列明的物项属性。</w:t>
      </w:r>
      <w:r>
        <w:footnoteReference w:id="8"/>
      </w:r>
      <w:r>
        <w:footnoteReference w:id="9"/>
      </w:r>
    </w:p>
    <w:p w14:paraId="034A7D94">
      <w:pPr>
        <w:spacing w:after="100" w:line="348" w:lineRule="auto"/>
        <w:jc w:val="both"/>
      </w:pPr>
      <w:r>
        <w:rPr>
          <w:rFonts w:ascii="Arial" w:hAnsi="Arial" w:eastAsia="宋体"/>
          <w:b w:val="0"/>
          <w:i w:val="0"/>
          <w:color w:val="1F2937"/>
          <w:sz w:val="21"/>
        </w:rPr>
        <w:t>2024年锑及超硬材料公告把矿料、金属、氧化物、特殊化合物、设备和技术并置，显示管制对象从资源端向工艺端延伸。2024年第46号公告又对特定目的地设置原则上不予许可或更严格最终用途审查，说明同一物项的风险还取决于目的地和最终用户。</w:t>
      </w:r>
      <w:r>
        <w:footnoteReference w:id="10"/>
      </w:r>
      <w:r>
        <w:footnoteReference w:id="11"/>
      </w:r>
    </w:p>
    <w:p w14:paraId="29BCAAB1">
      <w:pPr>
        <w:spacing w:after="100" w:line="348" w:lineRule="auto"/>
        <w:jc w:val="both"/>
      </w:pPr>
      <w:r>
        <w:rPr>
          <w:rFonts w:ascii="Arial" w:hAnsi="Arial" w:eastAsia="宋体"/>
          <w:b w:val="0"/>
          <w:i w:val="0"/>
          <w:color w:val="1F2937"/>
          <w:sz w:val="21"/>
        </w:rPr>
        <w:t>2025年第10号和第18号公告分别覆盖钨等五类物项以及七种中重稀土。其共同特点是技术条件和产品形态非常具体，且要求在报关备注栏标明两用物项编码。监管系统因此必须能够处理“一税号多物项”和“一物项多税号”的多对多关系。</w:t>
      </w:r>
      <w:r>
        <w:footnoteReference w:id="12"/>
      </w:r>
      <w:r>
        <w:footnoteReference w:id="13"/>
      </w:r>
    </w:p>
    <w:p w14:paraId="33B11BF3">
      <w:pPr>
        <w:spacing w:after="100" w:line="348" w:lineRule="auto"/>
        <w:jc w:val="both"/>
      </w:pPr>
      <w:r>
        <w:rPr>
          <w:rFonts w:ascii="Arial" w:hAnsi="Arial" w:eastAsia="宋体"/>
          <w:b w:val="0"/>
          <w:i w:val="0"/>
          <w:color w:val="1F2937"/>
          <w:sz w:val="21"/>
        </w:rPr>
        <w:t>2025年10月发布的若干扩围公告并非全部持续有效。第70号公告明确将第55、56、57、58、61、62号公告暂停至2026年11月10日。任何趋势统计、企业风险识别或政策密度计算都必须从暂停之日起扣除相应政策组，不能把“曾发布”误计为“当前有效”。</w:t>
      </w:r>
      <w:r>
        <w:footnoteReference w:id="14"/>
      </w:r>
    </w:p>
    <w:p w14:paraId="3036C804">
      <w:pPr>
        <w:pStyle w:val="4"/>
      </w:pPr>
      <w:r>
        <w:t>2.3 政策机制的三个层次</w:t>
      </w:r>
    </w:p>
    <w:p w14:paraId="5291E0DA">
      <w:pPr>
        <w:spacing w:after="100" w:line="348" w:lineRule="auto"/>
        <w:jc w:val="both"/>
      </w:pPr>
      <w:r>
        <w:rPr>
          <w:rFonts w:ascii="Arial" w:hAnsi="Arial" w:eastAsia="宋体"/>
          <w:b w:val="0"/>
          <w:i w:val="0"/>
          <w:color w:val="1F2937"/>
          <w:sz w:val="21"/>
        </w:rPr>
        <w:t>第一层是物项识别：通过成分、纯度、粒度、尺寸、形态、性能和用途确定是否落入清单。第二层是交易许可：结合目的地、最终用户、最终用途和合同关系判断是否准予出口。第三层是持续控制：通过许可证核销、最终用途承诺、变更报告和海关质疑机制约束出口后的风险。</w:t>
      </w:r>
    </w:p>
    <w:p w14:paraId="066FF08F">
      <w:pPr>
        <w:spacing w:after="100" w:line="348" w:lineRule="auto"/>
        <w:jc w:val="both"/>
      </w:pPr>
      <w:r>
        <w:rPr>
          <w:rFonts w:ascii="Arial" w:hAnsi="Arial" w:eastAsia="宋体"/>
          <w:b w:val="0"/>
          <w:i w:val="0"/>
          <w:color w:val="1F2937"/>
          <w:sz w:val="21"/>
        </w:rPr>
        <w:t>从政策效果看，许可制与全面禁运不同。它可以维持正常贸易，同时把不确定性集中于高风险用途和不完整信息交易。对市场主体而言，最具影响的往往不是公告发布本身，而是分类咨询、材料补正、最终用户证明和审批时长对交付计划的改变。</w:t>
      </w:r>
    </w:p>
    <w:tbl>
      <w:tblPr>
        <w:tblStyle w:val="32"/>
        <w:tblW w:w="9360" w:type="dxa"/>
        <w:tblInd w:w="120" w:type="dxa"/>
        <w:tblLayout w:type="fixed"/>
        <w:tblCellMar>
          <w:top w:w="0" w:type="dxa"/>
          <w:left w:w="108" w:type="dxa"/>
          <w:bottom w:w="0" w:type="dxa"/>
          <w:right w:w="108" w:type="dxa"/>
        </w:tblCellMar>
      </w:tblPr>
      <w:tblGrid>
        <w:gridCol w:w="9360"/>
      </w:tblGrid>
      <w:tr w14:paraId="78F7309C">
        <w:tblPrEx>
          <w:tblCellMar>
            <w:top w:w="0" w:type="dxa"/>
            <w:left w:w="108" w:type="dxa"/>
            <w:bottom w:w="0" w:type="dxa"/>
            <w:right w:w="108" w:type="dxa"/>
          </w:tblCellMar>
        </w:tblPrEx>
        <w:tc>
          <w:tcPr>
            <w:tcW w:w="9360" w:type="dxa"/>
            <w:shd w:val="clear" w:color="auto" w:fill="EAF1F8"/>
            <w:tcMar>
              <w:top w:w="90" w:type="dxa"/>
              <w:left w:w="120" w:type="dxa"/>
              <w:bottom w:w="90" w:type="dxa"/>
              <w:right w:w="120" w:type="dxa"/>
            </w:tcMar>
            <w:vAlign w:val="center"/>
          </w:tcPr>
          <w:p w14:paraId="08B02B29">
            <w:pPr>
              <w:spacing w:after="60"/>
            </w:pPr>
            <w:r>
              <w:rPr>
                <w:rFonts w:ascii="Arial" w:hAnsi="Arial" w:eastAsia="微软雅黑"/>
                <w:b/>
                <w:i w:val="0"/>
                <w:color w:val="17365D"/>
                <w:sz w:val="21"/>
              </w:rPr>
              <w:t>独立判断：政策强度应按“有效物项组”而非公告数量衡量</w:t>
            </w:r>
          </w:p>
          <w:p w14:paraId="6EBE3F26">
            <w:pPr>
              <w:spacing w:after="0" w:line="324" w:lineRule="auto"/>
            </w:pPr>
            <w:r>
              <w:rPr>
                <w:rFonts w:ascii="Arial" w:hAnsi="Arial" w:eastAsia="宋体"/>
                <w:b w:val="0"/>
                <w:i w:val="0"/>
                <w:color w:val="1F2937"/>
                <w:sz w:val="20"/>
              </w:rPr>
              <w:t>公告数量会被扩围、整合、暂停和恢复反复影响。更稳健的指标是：每季度实际生效的物项组数量、覆盖的技术环节、目的地差异、许可证审查条件和暂停状态。</w:t>
            </w:r>
          </w:p>
        </w:tc>
      </w:tr>
    </w:tbl>
    <w:p w14:paraId="78F62894">
      <w:pPr>
        <w:spacing w:after="20"/>
      </w:pPr>
    </w:p>
    <w:p w14:paraId="3AAC7C8E">
      <w:pPr>
        <w:pStyle w:val="3"/>
      </w:pPr>
      <w:r>
        <w:t>3 美欧日韩澳印“反管制”政策工具比较</w:t>
      </w:r>
    </w:p>
    <w:p w14:paraId="421DA1E8">
      <w:pPr>
        <w:pStyle w:val="4"/>
      </w:pPr>
      <w:r>
        <w:t>3.1 美国：国家安全、资本与价格机制叠加</w:t>
      </w:r>
    </w:p>
    <w:p w14:paraId="70940792">
      <w:pPr>
        <w:spacing w:after="100" w:line="348" w:lineRule="auto"/>
        <w:jc w:val="both"/>
      </w:pPr>
      <w:r>
        <w:rPr>
          <w:rFonts w:ascii="Arial" w:hAnsi="Arial" w:eastAsia="宋体"/>
          <w:b w:val="0"/>
          <w:i w:val="0"/>
          <w:color w:val="1F2937"/>
          <w:sz w:val="21"/>
        </w:rPr>
        <w:t>美国政策的鲜明特征是把矿产生产定义延伸至加工、精炼、金属粉末、母合金和衍生产品，并通过联邦土地、国防生产法、出口信贷和国家安全审查协调推进。其目标不是单纯增加采矿量，而是把可被国防和先进制造直接使用的材料留在本土或盟友体系。</w:t>
      </w:r>
    </w:p>
    <w:p w14:paraId="2DF1E70C">
      <w:pPr>
        <w:spacing w:after="100" w:line="348" w:lineRule="auto"/>
        <w:jc w:val="both"/>
      </w:pPr>
      <w:r>
        <w:rPr>
          <w:rFonts w:ascii="Arial" w:hAnsi="Arial" w:eastAsia="宋体"/>
          <w:b w:val="0"/>
          <w:i w:val="0"/>
          <w:color w:val="1F2937"/>
          <w:sz w:val="21"/>
        </w:rPr>
        <w:t>2025年行政命令要求加快矿产生产，并明确“生产”包括采矿、加工、精炼和冶炼；随后针对加工关键矿产及衍生品启动国家安全调查。2026年后续措施进一步强调，仅有国内采矿而依赖外国加工仍不足以保障安全。</w:t>
      </w:r>
      <w:r>
        <w:footnoteReference w:id="15"/>
      </w:r>
      <w:r>
        <w:footnoteReference w:id="16"/>
      </w:r>
    </w:p>
    <w:p w14:paraId="5D38263A">
      <w:pPr>
        <w:spacing w:after="100" w:line="348" w:lineRule="auto"/>
        <w:jc w:val="both"/>
      </w:pPr>
      <w:r>
        <w:rPr>
          <w:rFonts w:ascii="Arial" w:hAnsi="Arial" w:eastAsia="宋体"/>
          <w:b w:val="0"/>
          <w:i w:val="0"/>
          <w:color w:val="1F2937"/>
          <w:sz w:val="21"/>
        </w:rPr>
        <w:t>美国2025年关键矿产清单扩大到60种，并采用包含经济影响和供应中断情景的新方法；2026年矿产品年度摘要则提供进口依赖和产量基线。两类文件共同表明，美国正在把“是否关键”从静态名单转向可更新的经济风险模型。</w:t>
      </w:r>
      <w:r>
        <w:footnoteReference w:id="17"/>
      </w:r>
      <w:r>
        <w:footnoteReference w:id="18"/>
      </w:r>
    </w:p>
    <w:p w14:paraId="73AB220F">
      <w:pPr>
        <w:spacing w:after="100" w:line="348" w:lineRule="auto"/>
        <w:jc w:val="both"/>
      </w:pPr>
      <w:r>
        <w:rPr>
          <w:rFonts w:ascii="Arial" w:hAnsi="Arial" w:eastAsia="宋体"/>
          <w:b w:val="0"/>
          <w:i w:val="0"/>
          <w:color w:val="1F2937"/>
          <w:sz w:val="21"/>
        </w:rPr>
        <w:t>政策融资开始从项目贷款走向收益结构重塑。美国国防部战略资本办公室向MP Materials提供1.5亿美元贷款用于重稀土分离能力；其价格保护协议以长期基准价降低低价周期中的现金流风险。EXIM的供应链韧性倡议则把海外矿产项目与美国制造业承购相连接。</w:t>
      </w:r>
      <w:r>
        <w:footnoteReference w:id="19"/>
      </w:r>
      <w:r>
        <w:footnoteReference w:id="20"/>
      </w:r>
    </w:p>
    <w:p w14:paraId="4488081A">
      <w:pPr>
        <w:pStyle w:val="4"/>
      </w:pPr>
      <w:r>
        <w:t>3.2 欧盟：法规目标、战略项目与共同采购</w:t>
      </w:r>
    </w:p>
    <w:p w14:paraId="09A6D188">
      <w:pPr>
        <w:spacing w:after="100" w:line="348" w:lineRule="auto"/>
        <w:jc w:val="both"/>
      </w:pPr>
      <w:r>
        <w:rPr>
          <w:rFonts w:ascii="Arial" w:hAnsi="Arial" w:eastAsia="宋体"/>
          <w:b w:val="0"/>
          <w:i w:val="0"/>
          <w:color w:val="1F2937"/>
          <w:sz w:val="21"/>
        </w:rPr>
        <w:t>欧盟《关键原材料法案》以2030年基准组织政策：战略原材料消费量的至少10%由欧盟开采、40%由欧盟加工、25%来自回收，并把对单一第三国依赖控制在65%以内。该框架同时设置许可时限、压力测试、战略库存协调和大企业风险准备义务。</w:t>
      </w:r>
      <w:r>
        <w:footnoteReference w:id="21"/>
      </w:r>
    </w:p>
    <w:p w14:paraId="2A8CC09D">
      <w:pPr>
        <w:spacing w:after="100" w:line="348" w:lineRule="auto"/>
        <w:jc w:val="both"/>
      </w:pPr>
      <w:r>
        <w:rPr>
          <w:rFonts w:ascii="Arial" w:hAnsi="Arial" w:eastAsia="宋体"/>
          <w:b w:val="0"/>
          <w:i w:val="0"/>
          <w:color w:val="1F2937"/>
          <w:sz w:val="21"/>
        </w:rPr>
        <w:t>2025年首批战略项目把法规目标转化为项目清单，覆盖开采、加工、回收和替代。RESourceEU又增加需求聚合、联合采购、承购和协调储备。欧盟模式的优势是规则和市场规模，约束则在于成员国许可、能源成本和公共资金协调。</w:t>
      </w:r>
      <w:r>
        <w:footnoteReference w:id="22"/>
      </w:r>
      <w:r>
        <w:footnoteReference w:id="23"/>
      </w:r>
    </w:p>
    <w:p w14:paraId="1A11F0DC">
      <w:pPr>
        <w:pStyle w:val="4"/>
      </w:pPr>
      <w:r>
        <w:t>3.3 日本：少量资本撬动长期承购</w:t>
      </w:r>
    </w:p>
    <w:p w14:paraId="3210B8E7">
      <w:pPr>
        <w:spacing w:after="100" w:line="348" w:lineRule="auto"/>
        <w:jc w:val="both"/>
      </w:pPr>
      <w:r>
        <w:rPr>
          <w:rFonts w:ascii="Arial" w:hAnsi="Arial" w:eastAsia="宋体"/>
          <w:b w:val="0"/>
          <w:i w:val="0"/>
          <w:color w:val="1F2937"/>
          <w:sz w:val="21"/>
        </w:rPr>
        <w:t>日本政策更强调“可获得份额”而非“项目所有权”。JOGMEC与企业共同投资Lynas并锁定部分重稀土供应，说明政策目标是把海外资源、加工能力和日本需求形成长期合同闭环。</w:t>
      </w:r>
      <w:r>
        <w:footnoteReference w:id="24"/>
      </w:r>
    </w:p>
    <w:p w14:paraId="497827D1">
      <w:pPr>
        <w:spacing w:after="100" w:line="348" w:lineRule="auto"/>
        <w:jc w:val="both"/>
      </w:pPr>
      <w:r>
        <w:rPr>
          <w:rFonts w:ascii="Arial" w:hAnsi="Arial" w:eastAsia="宋体"/>
          <w:b w:val="0"/>
          <w:i w:val="0"/>
          <w:color w:val="1F2937"/>
          <w:sz w:val="21"/>
        </w:rPr>
        <w:t>日本和法国支持Caremag重稀土项目，通过约1亿欧元日方支持和长期供货安排，争取相当于日本未来镝铽需求一定比例的供应。该项目同时使用回收磁体和原矿，体现“海外加工+回收原料+承购锁定”的复合路径。2026年日美又把铜、稀土、第三国项目和深海资源合作纳入行动计划，显示日本正把双边项目组合化。</w:t>
      </w:r>
      <w:r>
        <w:footnoteReference w:id="25"/>
      </w:r>
      <w:r>
        <w:footnoteReference w:id="26"/>
      </w:r>
    </w:p>
    <w:p w14:paraId="0EADACE0">
      <w:pPr>
        <w:pStyle w:val="4"/>
      </w:pPr>
      <w:r>
        <w:t>3.4 韩国、澳大利亚与印度：制造连续性、资源金融化和全链条任务</w:t>
      </w:r>
    </w:p>
    <w:p w14:paraId="2A2A1ACE">
      <w:pPr>
        <w:spacing w:after="100" w:line="348" w:lineRule="auto"/>
        <w:jc w:val="both"/>
      </w:pPr>
      <w:r>
        <w:rPr>
          <w:rFonts w:ascii="Arial" w:hAnsi="Arial" w:eastAsia="宋体"/>
          <w:b w:val="0"/>
          <w:i w:val="0"/>
          <w:color w:val="1F2937"/>
          <w:sz w:val="21"/>
        </w:rPr>
        <w:t>韩国作为电池、半导体和汽车制造中心，政策重点是扩大关键矿产清单、提高储备、支持海外开发和强化供应链预警。其结构性难题是中游材料生产虽较强，但部分前驱体、石墨和原料仍依赖中国，库存只能换取调整时间。日本2026年制造基础报告同样把支持对象从单点项目扩展到材料、部件、循环资源和物流，反映东北亚制造经济体正在由“保原料”转向“保制造能力”。</w:t>
      </w:r>
      <w:r>
        <w:footnoteReference w:id="27"/>
      </w:r>
      <w:r>
        <w:footnoteReference w:id="28"/>
      </w:r>
    </w:p>
    <w:p w14:paraId="268C36B1">
      <w:pPr>
        <w:spacing w:after="100" w:line="348" w:lineRule="auto"/>
        <w:jc w:val="both"/>
      </w:pPr>
      <w:r>
        <w:rPr>
          <w:rFonts w:ascii="Arial" w:hAnsi="Arial" w:eastAsia="宋体"/>
          <w:b w:val="0"/>
          <w:i w:val="0"/>
          <w:color w:val="1F2937"/>
          <w:sz w:val="21"/>
        </w:rPr>
        <w:t>澳大利亚正在从资源出口国转向“资源+金融工具”提供者。2026年战略储备允许使用长期承购、远期合同、需求聚合、选择性库存和合同价差，首批聚焦锑、镓和轻重稀土。这类工具能够对冲低价周期，但也要求政府具备商品交易和项目尽调能力。</w:t>
      </w:r>
    </w:p>
    <w:p w14:paraId="2B77E731">
      <w:pPr>
        <w:spacing w:after="100" w:line="348" w:lineRule="auto"/>
        <w:jc w:val="both"/>
      </w:pPr>
      <w:r>
        <w:rPr>
          <w:rFonts w:ascii="Arial" w:hAnsi="Arial" w:eastAsia="宋体"/>
          <w:b w:val="0"/>
          <w:i w:val="0"/>
          <w:color w:val="1F2937"/>
          <w:sz w:val="21"/>
        </w:rPr>
        <w:t>印度国家关键矿产任务覆盖勘探、采矿、选矿、加工、海外资产、尾矿回收、加工园区、回收和研发，七年总投入由财政支出与国有企业投资共同构成。印度的比较优势在于市场和工程能力，短板则在资源勘查、工艺积累和基础设施。</w:t>
      </w:r>
      <w:r>
        <w:footnoteReference w:id="29"/>
      </w:r>
    </w:p>
    <w:p w14:paraId="55866626">
      <w:pPr>
        <w:spacing w:after="40"/>
        <w:jc w:val="center"/>
      </w:pPr>
      <w:r>
        <w:drawing>
          <wp:inline distT="0" distB="0" distL="114300" distR="114300">
            <wp:extent cx="5989320" cy="3460115"/>
            <wp:effectExtent l="0" t="0" r="1905" b="6985"/>
            <wp:docPr id="1" name="Picture 1" descr="图3-1  主要经济体关键矿产政策工具组合（研究组基于官方政策的定性编码；3=强化，2=形成，1=起步）" title="图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3-1  主要经济体关键矿产政策工具组合（研究组基于官方政策的定性编码；3=强化，2=形成，1=起步）" title="图3-1"/>
                    <pic:cNvPicPr>
                      <a:picLocks noChangeAspect="1"/>
                    </pic:cNvPicPr>
                  </pic:nvPicPr>
                  <pic:blipFill>
                    <a:blip r:embed="rId8"/>
                    <a:stretch>
                      <a:fillRect/>
                    </a:stretch>
                  </pic:blipFill>
                  <pic:spPr>
                    <a:xfrm>
                      <a:off x="0" y="0"/>
                      <a:ext cx="5989320" cy="3460496"/>
                    </a:xfrm>
                    <a:prstGeom prst="rect">
                      <a:avLst/>
                    </a:prstGeom>
                  </pic:spPr>
                </pic:pic>
              </a:graphicData>
            </a:graphic>
          </wp:inline>
        </w:drawing>
      </w:r>
    </w:p>
    <w:p w14:paraId="54BA203E">
      <w:pPr>
        <w:pStyle w:val="164"/>
      </w:pPr>
      <w:r>
        <w:t>图3-1  主要经济体关键矿产政策工具组合（研究组基于官方政策的定性编码；3=强化，2=形成，1=起步）</w:t>
      </w:r>
    </w:p>
    <w:p w14:paraId="55BD32CC">
      <w:pPr>
        <w:pStyle w:val="164"/>
        <w:jc w:val="left"/>
      </w:pPr>
      <w:r>
        <w:t>表3-1  主要经济体“反管制”政策模式比较</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3700"/>
        <w:gridCol w:w="2300"/>
        <w:gridCol w:w="2310"/>
      </w:tblGrid>
      <w:tr w14:paraId="3ED8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50" w:type="dxa"/>
            <w:shd w:val="clear" w:color="auto" w:fill="17365D"/>
            <w:tcMar>
              <w:top w:w="90" w:type="dxa"/>
              <w:left w:w="120" w:type="dxa"/>
              <w:bottom w:w="90" w:type="dxa"/>
              <w:right w:w="120" w:type="dxa"/>
            </w:tcMar>
            <w:vAlign w:val="center"/>
          </w:tcPr>
          <w:p w14:paraId="657EC89F">
            <w:pPr>
              <w:spacing w:after="0"/>
              <w:jc w:val="center"/>
            </w:pPr>
            <w:r>
              <w:rPr>
                <w:rFonts w:ascii="Arial" w:hAnsi="Arial" w:eastAsia="微软雅黑"/>
                <w:b/>
                <w:i w:val="0"/>
                <w:color w:val="FFFFFF"/>
                <w:sz w:val="18"/>
              </w:rPr>
              <w:t>经济体</w:t>
            </w:r>
          </w:p>
        </w:tc>
        <w:tc>
          <w:tcPr>
            <w:tcW w:w="3700" w:type="dxa"/>
            <w:shd w:val="clear" w:color="auto" w:fill="17365D"/>
            <w:tcMar>
              <w:top w:w="90" w:type="dxa"/>
              <w:left w:w="120" w:type="dxa"/>
              <w:bottom w:w="90" w:type="dxa"/>
              <w:right w:w="120" w:type="dxa"/>
            </w:tcMar>
            <w:vAlign w:val="center"/>
          </w:tcPr>
          <w:p w14:paraId="5E3B1838">
            <w:pPr>
              <w:spacing w:after="0"/>
              <w:jc w:val="center"/>
            </w:pPr>
            <w:r>
              <w:rPr>
                <w:rFonts w:ascii="Arial" w:hAnsi="Arial" w:eastAsia="微软雅黑"/>
                <w:b/>
                <w:i w:val="0"/>
                <w:color w:val="FFFFFF"/>
                <w:sz w:val="18"/>
              </w:rPr>
              <w:t>核心工具</w:t>
            </w:r>
          </w:p>
        </w:tc>
        <w:tc>
          <w:tcPr>
            <w:tcW w:w="2300" w:type="dxa"/>
            <w:shd w:val="clear" w:color="auto" w:fill="17365D"/>
            <w:tcMar>
              <w:top w:w="90" w:type="dxa"/>
              <w:left w:w="120" w:type="dxa"/>
              <w:bottom w:w="90" w:type="dxa"/>
              <w:right w:w="120" w:type="dxa"/>
            </w:tcMar>
            <w:vAlign w:val="center"/>
          </w:tcPr>
          <w:p w14:paraId="480EE644">
            <w:pPr>
              <w:spacing w:after="0"/>
              <w:jc w:val="center"/>
            </w:pPr>
            <w:r>
              <w:rPr>
                <w:rFonts w:ascii="Arial" w:hAnsi="Arial" w:eastAsia="微软雅黑"/>
                <w:b/>
                <w:i w:val="0"/>
                <w:color w:val="FFFFFF"/>
                <w:sz w:val="18"/>
              </w:rPr>
              <w:t>主要优势</w:t>
            </w:r>
          </w:p>
        </w:tc>
        <w:tc>
          <w:tcPr>
            <w:tcW w:w="2310" w:type="dxa"/>
            <w:shd w:val="clear" w:color="auto" w:fill="17365D"/>
            <w:tcMar>
              <w:top w:w="90" w:type="dxa"/>
              <w:left w:w="120" w:type="dxa"/>
              <w:bottom w:w="90" w:type="dxa"/>
              <w:right w:w="120" w:type="dxa"/>
            </w:tcMar>
            <w:vAlign w:val="center"/>
          </w:tcPr>
          <w:p w14:paraId="58967661">
            <w:pPr>
              <w:spacing w:after="0"/>
              <w:jc w:val="center"/>
            </w:pPr>
            <w:r>
              <w:rPr>
                <w:rFonts w:ascii="Arial" w:hAnsi="Arial" w:eastAsia="微软雅黑"/>
                <w:b/>
                <w:i w:val="0"/>
                <w:color w:val="FFFFFF"/>
                <w:sz w:val="18"/>
              </w:rPr>
              <w:t>主要约束</w:t>
            </w:r>
          </w:p>
        </w:tc>
      </w:tr>
      <w:tr w14:paraId="3EF6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3E9A057D">
            <w:pPr>
              <w:spacing w:after="0" w:line="276" w:lineRule="auto"/>
              <w:jc w:val="center"/>
            </w:pPr>
            <w:r>
              <w:rPr>
                <w:rFonts w:ascii="Arial" w:hAnsi="Arial" w:eastAsia="宋体"/>
                <w:b w:val="0"/>
                <w:i w:val="0"/>
                <w:color w:val="1F2937"/>
                <w:sz w:val="17"/>
              </w:rPr>
              <w:t>美国</w:t>
            </w:r>
          </w:p>
        </w:tc>
        <w:tc>
          <w:tcPr>
            <w:tcW w:w="3700" w:type="dxa"/>
          </w:tcPr>
          <w:p w14:paraId="2EFA7D2C">
            <w:pPr>
              <w:spacing w:after="0" w:line="276" w:lineRule="auto"/>
              <w:jc w:val="left"/>
            </w:pPr>
            <w:r>
              <w:rPr>
                <w:rFonts w:ascii="Arial" w:hAnsi="Arial" w:eastAsia="宋体"/>
                <w:b w:val="0"/>
                <w:i w:val="0"/>
                <w:color w:val="1F2937"/>
                <w:sz w:val="17"/>
              </w:rPr>
              <w:t>国防资本、出口信贷、价格保护、储备、国家安全调查</w:t>
            </w:r>
          </w:p>
        </w:tc>
        <w:tc>
          <w:tcPr>
            <w:tcW w:w="2300" w:type="dxa"/>
          </w:tcPr>
          <w:p w14:paraId="4C72D52E">
            <w:pPr>
              <w:spacing w:after="0" w:line="276" w:lineRule="auto"/>
              <w:jc w:val="left"/>
            </w:pPr>
            <w:r>
              <w:rPr>
                <w:rFonts w:ascii="Arial" w:hAnsi="Arial" w:eastAsia="宋体"/>
                <w:b w:val="0"/>
                <w:i w:val="0"/>
                <w:color w:val="1F2937"/>
                <w:sz w:val="17"/>
              </w:rPr>
              <w:t>收入稳定和需求锁定</w:t>
            </w:r>
          </w:p>
        </w:tc>
        <w:tc>
          <w:tcPr>
            <w:tcW w:w="2310" w:type="dxa"/>
          </w:tcPr>
          <w:p w14:paraId="6DC3498A">
            <w:pPr>
              <w:spacing w:after="0" w:line="276" w:lineRule="auto"/>
              <w:jc w:val="left"/>
            </w:pPr>
            <w:r>
              <w:rPr>
                <w:rFonts w:ascii="Arial" w:hAnsi="Arial" w:eastAsia="宋体"/>
                <w:b w:val="0"/>
                <w:i w:val="0"/>
                <w:color w:val="1F2937"/>
                <w:sz w:val="17"/>
              </w:rPr>
              <w:t>财政成本、项目成本和许可</w:t>
            </w:r>
          </w:p>
        </w:tc>
      </w:tr>
      <w:tr w14:paraId="4957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shd w:val="clear" w:color="auto" w:fill="F3F5F7"/>
          </w:tcPr>
          <w:p w14:paraId="0616F7BF">
            <w:pPr>
              <w:spacing w:after="0" w:line="276" w:lineRule="auto"/>
              <w:jc w:val="center"/>
            </w:pPr>
            <w:r>
              <w:rPr>
                <w:rFonts w:ascii="Arial" w:hAnsi="Arial" w:eastAsia="宋体"/>
                <w:b w:val="0"/>
                <w:i w:val="0"/>
                <w:color w:val="1F2937"/>
                <w:sz w:val="17"/>
              </w:rPr>
              <w:t>欧盟</w:t>
            </w:r>
          </w:p>
        </w:tc>
        <w:tc>
          <w:tcPr>
            <w:tcW w:w="3700" w:type="dxa"/>
            <w:shd w:val="clear" w:color="auto" w:fill="F3F5F7"/>
          </w:tcPr>
          <w:p w14:paraId="3A77AB39">
            <w:pPr>
              <w:spacing w:after="0" w:line="276" w:lineRule="auto"/>
              <w:jc w:val="left"/>
            </w:pPr>
            <w:r>
              <w:rPr>
                <w:rFonts w:ascii="Arial" w:hAnsi="Arial" w:eastAsia="宋体"/>
                <w:b w:val="0"/>
                <w:i w:val="0"/>
                <w:color w:val="1F2937"/>
                <w:sz w:val="17"/>
              </w:rPr>
              <w:t>法规基准、战略项目、许可提速、联合采购、回收</w:t>
            </w:r>
          </w:p>
        </w:tc>
        <w:tc>
          <w:tcPr>
            <w:tcW w:w="2300" w:type="dxa"/>
            <w:shd w:val="clear" w:color="auto" w:fill="F3F5F7"/>
          </w:tcPr>
          <w:p w14:paraId="054FC673">
            <w:pPr>
              <w:spacing w:after="0" w:line="276" w:lineRule="auto"/>
              <w:jc w:val="left"/>
            </w:pPr>
            <w:r>
              <w:rPr>
                <w:rFonts w:ascii="Arial" w:hAnsi="Arial" w:eastAsia="宋体"/>
                <w:b w:val="0"/>
                <w:i w:val="0"/>
                <w:color w:val="1F2937"/>
                <w:sz w:val="17"/>
              </w:rPr>
              <w:t>统一规则和大市场</w:t>
            </w:r>
          </w:p>
        </w:tc>
        <w:tc>
          <w:tcPr>
            <w:tcW w:w="2310" w:type="dxa"/>
            <w:shd w:val="clear" w:color="auto" w:fill="F3F5F7"/>
          </w:tcPr>
          <w:p w14:paraId="3A361154">
            <w:pPr>
              <w:spacing w:after="0" w:line="276" w:lineRule="auto"/>
              <w:jc w:val="left"/>
            </w:pPr>
            <w:r>
              <w:rPr>
                <w:rFonts w:ascii="Arial" w:hAnsi="Arial" w:eastAsia="宋体"/>
                <w:b w:val="0"/>
                <w:i w:val="0"/>
                <w:color w:val="1F2937"/>
                <w:sz w:val="17"/>
              </w:rPr>
              <w:t>成员国执行与能源成本</w:t>
            </w:r>
          </w:p>
        </w:tc>
      </w:tr>
      <w:tr w14:paraId="1A20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388F9A21">
            <w:pPr>
              <w:spacing w:after="0" w:line="276" w:lineRule="auto"/>
              <w:jc w:val="center"/>
            </w:pPr>
            <w:r>
              <w:rPr>
                <w:rFonts w:ascii="Arial" w:hAnsi="Arial" w:eastAsia="宋体"/>
                <w:b w:val="0"/>
                <w:i w:val="0"/>
                <w:color w:val="1F2937"/>
                <w:sz w:val="17"/>
              </w:rPr>
              <w:t>日本</w:t>
            </w:r>
          </w:p>
        </w:tc>
        <w:tc>
          <w:tcPr>
            <w:tcW w:w="3700" w:type="dxa"/>
          </w:tcPr>
          <w:p w14:paraId="22AA67AB">
            <w:pPr>
              <w:spacing w:after="0" w:line="276" w:lineRule="auto"/>
              <w:jc w:val="left"/>
            </w:pPr>
            <w:r>
              <w:rPr>
                <w:rFonts w:ascii="Arial" w:hAnsi="Arial" w:eastAsia="宋体"/>
                <w:b w:val="0"/>
                <w:i w:val="0"/>
                <w:color w:val="1F2937"/>
                <w:sz w:val="17"/>
              </w:rPr>
              <w:t>JOGMEC投资、长期承购、库存、资源外交</w:t>
            </w:r>
          </w:p>
        </w:tc>
        <w:tc>
          <w:tcPr>
            <w:tcW w:w="2300" w:type="dxa"/>
          </w:tcPr>
          <w:p w14:paraId="3D5E47E3">
            <w:pPr>
              <w:spacing w:after="0" w:line="276" w:lineRule="auto"/>
              <w:jc w:val="left"/>
            </w:pPr>
            <w:r>
              <w:rPr>
                <w:rFonts w:ascii="Arial" w:hAnsi="Arial" w:eastAsia="宋体"/>
                <w:b w:val="0"/>
                <w:i w:val="0"/>
                <w:color w:val="1F2937"/>
                <w:sz w:val="17"/>
              </w:rPr>
              <w:t>合同精细、产业协同</w:t>
            </w:r>
          </w:p>
        </w:tc>
        <w:tc>
          <w:tcPr>
            <w:tcW w:w="2310" w:type="dxa"/>
          </w:tcPr>
          <w:p w14:paraId="39F576DD">
            <w:pPr>
              <w:spacing w:after="0" w:line="276" w:lineRule="auto"/>
              <w:jc w:val="left"/>
            </w:pPr>
            <w:r>
              <w:rPr>
                <w:rFonts w:ascii="Arial" w:hAnsi="Arial" w:eastAsia="宋体"/>
                <w:b w:val="0"/>
                <w:i w:val="0"/>
                <w:color w:val="1F2937"/>
                <w:sz w:val="17"/>
              </w:rPr>
              <w:t>海外资源与价格风险</w:t>
            </w:r>
          </w:p>
        </w:tc>
      </w:tr>
      <w:tr w14:paraId="65B72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shd w:val="clear" w:color="auto" w:fill="F3F5F7"/>
          </w:tcPr>
          <w:p w14:paraId="6A08E60B">
            <w:pPr>
              <w:spacing w:after="0" w:line="276" w:lineRule="auto"/>
              <w:jc w:val="center"/>
            </w:pPr>
            <w:r>
              <w:rPr>
                <w:rFonts w:ascii="Arial" w:hAnsi="Arial" w:eastAsia="宋体"/>
                <w:b w:val="0"/>
                <w:i w:val="0"/>
                <w:color w:val="1F2937"/>
                <w:sz w:val="17"/>
              </w:rPr>
              <w:t>韩国</w:t>
            </w:r>
          </w:p>
        </w:tc>
        <w:tc>
          <w:tcPr>
            <w:tcW w:w="3700" w:type="dxa"/>
            <w:shd w:val="clear" w:color="auto" w:fill="F3F5F7"/>
          </w:tcPr>
          <w:p w14:paraId="396438DD">
            <w:pPr>
              <w:spacing w:after="0" w:line="276" w:lineRule="auto"/>
              <w:jc w:val="left"/>
            </w:pPr>
            <w:r>
              <w:rPr>
                <w:rFonts w:ascii="Arial" w:hAnsi="Arial" w:eastAsia="宋体"/>
                <w:b w:val="0"/>
                <w:i w:val="0"/>
                <w:color w:val="1F2937"/>
                <w:sz w:val="17"/>
              </w:rPr>
              <w:t>储备、产业基金、海外合作、供应预警</w:t>
            </w:r>
          </w:p>
        </w:tc>
        <w:tc>
          <w:tcPr>
            <w:tcW w:w="2300" w:type="dxa"/>
            <w:shd w:val="clear" w:color="auto" w:fill="F3F5F7"/>
          </w:tcPr>
          <w:p w14:paraId="02991FA9">
            <w:pPr>
              <w:spacing w:after="0" w:line="276" w:lineRule="auto"/>
              <w:jc w:val="left"/>
            </w:pPr>
            <w:r>
              <w:rPr>
                <w:rFonts w:ascii="Arial" w:hAnsi="Arial" w:eastAsia="宋体"/>
                <w:b w:val="0"/>
                <w:i w:val="0"/>
                <w:color w:val="1F2937"/>
                <w:sz w:val="17"/>
              </w:rPr>
              <w:t>制造端需求明确</w:t>
            </w:r>
          </w:p>
        </w:tc>
        <w:tc>
          <w:tcPr>
            <w:tcW w:w="2310" w:type="dxa"/>
            <w:shd w:val="clear" w:color="auto" w:fill="F3F5F7"/>
          </w:tcPr>
          <w:p w14:paraId="77FE2C5D">
            <w:pPr>
              <w:spacing w:after="0" w:line="276" w:lineRule="auto"/>
              <w:jc w:val="left"/>
            </w:pPr>
            <w:r>
              <w:rPr>
                <w:rFonts w:ascii="Arial" w:hAnsi="Arial" w:eastAsia="宋体"/>
                <w:b w:val="0"/>
                <w:i w:val="0"/>
                <w:color w:val="1F2937"/>
                <w:sz w:val="17"/>
              </w:rPr>
              <w:t>上游和部分中游依赖</w:t>
            </w:r>
          </w:p>
        </w:tc>
      </w:tr>
      <w:tr w14:paraId="20BA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tcPr>
          <w:p w14:paraId="38A34A07">
            <w:pPr>
              <w:spacing w:after="0" w:line="276" w:lineRule="auto"/>
              <w:jc w:val="center"/>
            </w:pPr>
            <w:r>
              <w:rPr>
                <w:rFonts w:ascii="Arial" w:hAnsi="Arial" w:eastAsia="宋体"/>
                <w:b w:val="0"/>
                <w:i w:val="0"/>
                <w:color w:val="1F2937"/>
                <w:sz w:val="17"/>
              </w:rPr>
              <w:t>澳大利亚</w:t>
            </w:r>
          </w:p>
        </w:tc>
        <w:tc>
          <w:tcPr>
            <w:tcW w:w="3700" w:type="dxa"/>
          </w:tcPr>
          <w:p w14:paraId="1E044AC4">
            <w:pPr>
              <w:spacing w:after="0" w:line="276" w:lineRule="auto"/>
              <w:jc w:val="left"/>
            </w:pPr>
            <w:r>
              <w:rPr>
                <w:rFonts w:ascii="Arial" w:hAnsi="Arial" w:eastAsia="宋体"/>
                <w:b w:val="0"/>
                <w:i w:val="0"/>
                <w:color w:val="1F2937"/>
                <w:sz w:val="17"/>
              </w:rPr>
              <w:t>政策贷款、税收抵免、承购、合同价差、储备</w:t>
            </w:r>
          </w:p>
        </w:tc>
        <w:tc>
          <w:tcPr>
            <w:tcW w:w="2300" w:type="dxa"/>
          </w:tcPr>
          <w:p w14:paraId="6D2832A5">
            <w:pPr>
              <w:spacing w:after="0" w:line="276" w:lineRule="auto"/>
              <w:jc w:val="left"/>
            </w:pPr>
            <w:r>
              <w:rPr>
                <w:rFonts w:ascii="Arial" w:hAnsi="Arial" w:eastAsia="宋体"/>
                <w:b w:val="0"/>
                <w:i w:val="0"/>
                <w:color w:val="1F2937"/>
                <w:sz w:val="17"/>
              </w:rPr>
              <w:t>资源禀赋与盟友需求</w:t>
            </w:r>
          </w:p>
        </w:tc>
        <w:tc>
          <w:tcPr>
            <w:tcW w:w="2310" w:type="dxa"/>
          </w:tcPr>
          <w:p w14:paraId="03AC66D4">
            <w:pPr>
              <w:spacing w:after="0" w:line="276" w:lineRule="auto"/>
              <w:jc w:val="left"/>
            </w:pPr>
            <w:r>
              <w:rPr>
                <w:rFonts w:ascii="Arial" w:hAnsi="Arial" w:eastAsia="宋体"/>
                <w:b w:val="0"/>
                <w:i w:val="0"/>
                <w:color w:val="1F2937"/>
                <w:sz w:val="17"/>
              </w:rPr>
              <w:t>加工成本和项目融资</w:t>
            </w:r>
          </w:p>
        </w:tc>
      </w:tr>
      <w:tr w14:paraId="3183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0" w:type="dxa"/>
            <w:shd w:val="clear" w:color="auto" w:fill="F3F5F7"/>
          </w:tcPr>
          <w:p w14:paraId="6122AF6A">
            <w:pPr>
              <w:spacing w:after="0" w:line="276" w:lineRule="auto"/>
              <w:jc w:val="center"/>
            </w:pPr>
            <w:r>
              <w:rPr>
                <w:rFonts w:ascii="Arial" w:hAnsi="Arial" w:eastAsia="宋体"/>
                <w:b w:val="0"/>
                <w:i w:val="0"/>
                <w:color w:val="1F2937"/>
                <w:sz w:val="17"/>
              </w:rPr>
              <w:t>印度</w:t>
            </w:r>
          </w:p>
        </w:tc>
        <w:tc>
          <w:tcPr>
            <w:tcW w:w="3700" w:type="dxa"/>
            <w:shd w:val="clear" w:color="auto" w:fill="F3F5F7"/>
          </w:tcPr>
          <w:p w14:paraId="3F762AF1">
            <w:pPr>
              <w:spacing w:after="0" w:line="276" w:lineRule="auto"/>
              <w:jc w:val="left"/>
            </w:pPr>
            <w:r>
              <w:rPr>
                <w:rFonts w:ascii="Arial" w:hAnsi="Arial" w:eastAsia="宋体"/>
                <w:b w:val="0"/>
                <w:i w:val="0"/>
                <w:color w:val="1F2937"/>
                <w:sz w:val="17"/>
              </w:rPr>
              <w:t>国家任务、勘探拍卖、加工园区、海外资产、回收</w:t>
            </w:r>
          </w:p>
        </w:tc>
        <w:tc>
          <w:tcPr>
            <w:tcW w:w="2300" w:type="dxa"/>
            <w:shd w:val="clear" w:color="auto" w:fill="F3F5F7"/>
          </w:tcPr>
          <w:p w14:paraId="7FA45824">
            <w:pPr>
              <w:spacing w:after="0" w:line="276" w:lineRule="auto"/>
              <w:jc w:val="left"/>
            </w:pPr>
            <w:r>
              <w:rPr>
                <w:rFonts w:ascii="Arial" w:hAnsi="Arial" w:eastAsia="宋体"/>
                <w:b w:val="0"/>
                <w:i w:val="0"/>
                <w:color w:val="1F2937"/>
                <w:sz w:val="17"/>
              </w:rPr>
              <w:t>市场规模和政策集中</w:t>
            </w:r>
          </w:p>
        </w:tc>
        <w:tc>
          <w:tcPr>
            <w:tcW w:w="2310" w:type="dxa"/>
            <w:shd w:val="clear" w:color="auto" w:fill="F3F5F7"/>
          </w:tcPr>
          <w:p w14:paraId="7396B7AE">
            <w:pPr>
              <w:spacing w:after="0" w:line="276" w:lineRule="auto"/>
              <w:jc w:val="left"/>
            </w:pPr>
            <w:r>
              <w:rPr>
                <w:rFonts w:ascii="Arial" w:hAnsi="Arial" w:eastAsia="宋体"/>
                <w:b w:val="0"/>
                <w:i w:val="0"/>
                <w:color w:val="1F2937"/>
                <w:sz w:val="17"/>
              </w:rPr>
              <w:t>技术、基础设施与建设周期</w:t>
            </w:r>
          </w:p>
        </w:tc>
      </w:tr>
    </w:tbl>
    <w:p w14:paraId="0036C779">
      <w:pPr>
        <w:spacing w:after="20"/>
      </w:pPr>
    </w:p>
    <w:p w14:paraId="1E5D1743">
      <w:pPr>
        <w:pStyle w:val="3"/>
      </w:pPr>
      <w:r>
        <w:t>4 全球替代供应源：项目数量增长不等于有效供给</w:t>
      </w:r>
    </w:p>
    <w:p w14:paraId="169B2AF9">
      <w:pPr>
        <w:pStyle w:val="4"/>
      </w:pPr>
      <w:r>
        <w:t>4.1 稀土：资源端多点出现，中游仍高度集中</w:t>
      </w:r>
    </w:p>
    <w:p w14:paraId="34A1AA56">
      <w:pPr>
        <w:spacing w:after="100" w:line="348" w:lineRule="auto"/>
        <w:jc w:val="both"/>
      </w:pPr>
      <w:r>
        <w:rPr>
          <w:rFonts w:ascii="Arial" w:hAnsi="Arial" w:eastAsia="宋体"/>
          <w:b w:val="0"/>
          <w:i w:val="0"/>
          <w:color w:val="1F2937"/>
          <w:sz w:val="21"/>
        </w:rPr>
        <w:t>美国、澳大利亚、巴西、加拿大、非洲和印度均有稀土项目推进，但矿体类型、放射性伴生、选冶流程和重稀土含量差异显著。项目宣传中的“稀土总量”不能直接换算为磁性稀土供给，更不能换算为镝铽或合格磁体产量。</w:t>
      </w:r>
    </w:p>
    <w:p w14:paraId="6D625621">
      <w:pPr>
        <w:spacing w:after="100" w:line="348" w:lineRule="auto"/>
        <w:jc w:val="both"/>
      </w:pPr>
      <w:r>
        <w:rPr>
          <w:rFonts w:ascii="Arial" w:hAnsi="Arial" w:eastAsia="宋体"/>
          <w:b w:val="0"/>
          <w:i w:val="0"/>
          <w:color w:val="1F2937"/>
          <w:sz w:val="21"/>
        </w:rPr>
        <w:t>IEA指出，稀土项目从发现到投产平均需要较长时间，分离精炼设施比矿山更少，永久磁体项目管线又弱于分离环节。由此形成三个断点：矿石能否形成适合分离的精矿、分离氧化物能否形成稳定金属与合金、磁体能否通过汽车和国防客户认证。</w:t>
      </w:r>
    </w:p>
    <w:p w14:paraId="1110137D">
      <w:pPr>
        <w:spacing w:after="40"/>
        <w:jc w:val="center"/>
      </w:pPr>
      <w:r>
        <w:drawing>
          <wp:inline distT="0" distB="0" distL="114300" distR="114300">
            <wp:extent cx="5989320" cy="3060700"/>
            <wp:effectExtent l="0" t="0" r="1905" b="6350"/>
            <wp:docPr id="2" name="Picture 2" descr="图4-1  磁性稀土价值链集中度（数据来源：IEA《Rare Earth Elements 2026》）" title="图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4-1  磁性稀土价值链集中度（数据来源：IEA《Rare Earth Elements 2026》）" title="图4-1"/>
                    <pic:cNvPicPr>
                      <a:picLocks noChangeAspect="1"/>
                    </pic:cNvPicPr>
                  </pic:nvPicPr>
                  <pic:blipFill>
                    <a:blip r:embed="rId9"/>
                    <a:stretch>
                      <a:fillRect/>
                    </a:stretch>
                  </pic:blipFill>
                  <pic:spPr>
                    <a:xfrm>
                      <a:off x="0" y="0"/>
                      <a:ext cx="5989320" cy="3061208"/>
                    </a:xfrm>
                    <a:prstGeom prst="rect">
                      <a:avLst/>
                    </a:prstGeom>
                  </pic:spPr>
                </pic:pic>
              </a:graphicData>
            </a:graphic>
          </wp:inline>
        </w:drawing>
      </w:r>
    </w:p>
    <w:p w14:paraId="17618E08">
      <w:pPr>
        <w:pStyle w:val="164"/>
      </w:pPr>
      <w:r>
        <w:t>图4-1  磁性稀土价值链集中度（数据来源：IEA《Rare Earth Elements 2026》）</w:t>
      </w:r>
    </w:p>
    <w:p w14:paraId="31F63D7F">
      <w:pPr>
        <w:pStyle w:val="4"/>
      </w:pPr>
      <w:r>
        <w:t>4.2 钨、镓、锗、锑和石墨：副产属性与规格门槛</w:t>
      </w:r>
    </w:p>
    <w:p w14:paraId="6BB6A49F">
      <w:pPr>
        <w:spacing w:after="100" w:line="348" w:lineRule="auto"/>
        <w:jc w:val="both"/>
      </w:pPr>
      <w:r>
        <w:rPr>
          <w:rFonts w:ascii="Arial" w:hAnsi="Arial" w:eastAsia="宋体"/>
          <w:b w:val="0"/>
          <w:i w:val="0"/>
          <w:color w:val="1F2937"/>
          <w:sz w:val="21"/>
        </w:rPr>
        <w:t>钨项目的瓶颈通常不是矿物存在，而是品位、回收率、选矿稳定性、冶炼成本和长期价格。现有矿山重启可以缩短地质勘探时间，但设备更新、尾矿处理和承购仍决定现金流。对中国以外供应而言，APT和碳化钨等中间品能力比精矿本身更具战略意义。</w:t>
      </w:r>
    </w:p>
    <w:p w14:paraId="45E9438C">
      <w:pPr>
        <w:spacing w:after="100" w:line="348" w:lineRule="auto"/>
        <w:jc w:val="both"/>
      </w:pPr>
      <w:r>
        <w:rPr>
          <w:rFonts w:ascii="Arial" w:hAnsi="Arial" w:eastAsia="宋体"/>
          <w:b w:val="0"/>
          <w:i w:val="0"/>
          <w:color w:val="1F2937"/>
          <w:sz w:val="21"/>
        </w:rPr>
        <w:t>镓和锗多为铝、锌、煤等产业链的副产物，增产取决于主产品产量、回收设施和精制能力。单独观察储量会夸大可供性；更关键的指标是含镓/锗原料流量、回收率、精炼纯度和下游晶圆或光学材料认证。USGS针对镓锗限制的研究也将经济影响与进口替代能力结合评估，而非只看矿产资源量。</w:t>
      </w:r>
    </w:p>
    <w:p w14:paraId="2E92065A">
      <w:pPr>
        <w:spacing w:after="100" w:line="348" w:lineRule="auto"/>
        <w:jc w:val="both"/>
      </w:pPr>
      <w:r>
        <w:rPr>
          <w:rFonts w:ascii="Arial" w:hAnsi="Arial" w:eastAsia="宋体"/>
          <w:b w:val="0"/>
          <w:i w:val="0"/>
          <w:color w:val="1F2937"/>
          <w:sz w:val="21"/>
        </w:rPr>
        <w:t>锑和石墨的供应替代面临不同问题。锑受矿山集中、冶炼环保和军民需求共同影响；石墨则必须区分天然精矿、球化提纯、人造石墨和负极材料。低纯产品的新增供应不能直接替代高规格人造石墨或通过电池认证的负极材料。</w:t>
      </w:r>
      <w:r>
        <w:footnoteReference w:id="30"/>
      </w:r>
    </w:p>
    <w:p w14:paraId="4509B5CF">
      <w:pPr>
        <w:pStyle w:val="164"/>
        <w:jc w:val="left"/>
      </w:pPr>
      <w:r>
        <w:t>表4-1  代表性替代供应项目及其有效供给条件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0"/>
        <w:gridCol w:w="900"/>
        <w:gridCol w:w="2300"/>
        <w:gridCol w:w="1400"/>
        <w:gridCol w:w="2710"/>
      </w:tblGrid>
      <w:tr w14:paraId="12F6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50" w:type="dxa"/>
            <w:shd w:val="clear" w:color="auto" w:fill="17365D"/>
            <w:tcMar>
              <w:top w:w="90" w:type="dxa"/>
              <w:left w:w="120" w:type="dxa"/>
              <w:bottom w:w="90" w:type="dxa"/>
              <w:right w:w="120" w:type="dxa"/>
            </w:tcMar>
            <w:vAlign w:val="center"/>
          </w:tcPr>
          <w:p w14:paraId="250E5D96">
            <w:pPr>
              <w:spacing w:after="0"/>
              <w:jc w:val="center"/>
            </w:pPr>
            <w:r>
              <w:rPr>
                <w:rFonts w:ascii="Arial" w:hAnsi="Arial" w:eastAsia="微软雅黑"/>
                <w:b/>
                <w:i w:val="0"/>
                <w:color w:val="FFFFFF"/>
                <w:sz w:val="18"/>
              </w:rPr>
              <w:t>项目/集群</w:t>
            </w:r>
          </w:p>
        </w:tc>
        <w:tc>
          <w:tcPr>
            <w:tcW w:w="900" w:type="dxa"/>
            <w:shd w:val="clear" w:color="auto" w:fill="17365D"/>
            <w:tcMar>
              <w:top w:w="90" w:type="dxa"/>
              <w:left w:w="120" w:type="dxa"/>
              <w:bottom w:w="90" w:type="dxa"/>
              <w:right w:w="120" w:type="dxa"/>
            </w:tcMar>
            <w:vAlign w:val="center"/>
          </w:tcPr>
          <w:p w14:paraId="3A3BCBE9">
            <w:pPr>
              <w:spacing w:after="0"/>
              <w:jc w:val="center"/>
            </w:pPr>
            <w:r>
              <w:rPr>
                <w:rFonts w:ascii="Arial" w:hAnsi="Arial" w:eastAsia="微软雅黑"/>
                <w:b/>
                <w:i w:val="0"/>
                <w:color w:val="FFFFFF"/>
                <w:sz w:val="18"/>
              </w:rPr>
              <w:t>地区</w:t>
            </w:r>
          </w:p>
        </w:tc>
        <w:tc>
          <w:tcPr>
            <w:tcW w:w="2300" w:type="dxa"/>
            <w:shd w:val="clear" w:color="auto" w:fill="17365D"/>
            <w:tcMar>
              <w:top w:w="90" w:type="dxa"/>
              <w:left w:w="120" w:type="dxa"/>
              <w:bottom w:w="90" w:type="dxa"/>
              <w:right w:w="120" w:type="dxa"/>
            </w:tcMar>
            <w:vAlign w:val="center"/>
          </w:tcPr>
          <w:p w14:paraId="260FF8F2">
            <w:pPr>
              <w:spacing w:after="0"/>
              <w:jc w:val="center"/>
            </w:pPr>
            <w:r>
              <w:rPr>
                <w:rFonts w:ascii="Arial" w:hAnsi="Arial" w:eastAsia="微软雅黑"/>
                <w:b/>
                <w:i w:val="0"/>
                <w:color w:val="FFFFFF"/>
                <w:sz w:val="18"/>
              </w:rPr>
              <w:t>价值链位置</w:t>
            </w:r>
          </w:p>
        </w:tc>
        <w:tc>
          <w:tcPr>
            <w:tcW w:w="1400" w:type="dxa"/>
            <w:shd w:val="clear" w:color="auto" w:fill="17365D"/>
            <w:tcMar>
              <w:top w:w="90" w:type="dxa"/>
              <w:left w:w="120" w:type="dxa"/>
              <w:bottom w:w="90" w:type="dxa"/>
              <w:right w:w="120" w:type="dxa"/>
            </w:tcMar>
            <w:vAlign w:val="center"/>
          </w:tcPr>
          <w:p w14:paraId="20B3B073">
            <w:pPr>
              <w:spacing w:after="0"/>
              <w:jc w:val="center"/>
            </w:pPr>
            <w:r>
              <w:rPr>
                <w:rFonts w:ascii="Arial" w:hAnsi="Arial" w:eastAsia="微软雅黑"/>
                <w:b/>
                <w:i w:val="0"/>
                <w:color w:val="FFFFFF"/>
                <w:sz w:val="18"/>
              </w:rPr>
              <w:t>阶段判断</w:t>
            </w:r>
          </w:p>
        </w:tc>
        <w:tc>
          <w:tcPr>
            <w:tcW w:w="2710" w:type="dxa"/>
            <w:shd w:val="clear" w:color="auto" w:fill="17365D"/>
            <w:tcMar>
              <w:top w:w="90" w:type="dxa"/>
              <w:left w:w="120" w:type="dxa"/>
              <w:bottom w:w="90" w:type="dxa"/>
              <w:right w:w="120" w:type="dxa"/>
            </w:tcMar>
            <w:vAlign w:val="center"/>
          </w:tcPr>
          <w:p w14:paraId="57B8F7F3">
            <w:pPr>
              <w:spacing w:after="0"/>
              <w:jc w:val="center"/>
            </w:pPr>
            <w:r>
              <w:rPr>
                <w:rFonts w:ascii="Arial" w:hAnsi="Arial" w:eastAsia="微软雅黑"/>
                <w:b/>
                <w:i w:val="0"/>
                <w:color w:val="FFFFFF"/>
                <w:sz w:val="18"/>
              </w:rPr>
              <w:t>关键条件</w:t>
            </w:r>
          </w:p>
        </w:tc>
      </w:tr>
      <w:tr w14:paraId="3F9E1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Pr>
          <w:p w14:paraId="0CB0A022">
            <w:pPr>
              <w:spacing w:after="0" w:line="276" w:lineRule="auto"/>
              <w:jc w:val="center"/>
            </w:pPr>
            <w:r>
              <w:rPr>
                <w:rFonts w:ascii="Arial" w:hAnsi="Arial" w:eastAsia="宋体"/>
                <w:b w:val="0"/>
                <w:i w:val="0"/>
                <w:color w:val="1F2937"/>
                <w:sz w:val="17"/>
              </w:rPr>
              <w:t>Mountain Pass/MP Materials</w:t>
            </w:r>
          </w:p>
        </w:tc>
        <w:tc>
          <w:tcPr>
            <w:tcW w:w="900" w:type="dxa"/>
          </w:tcPr>
          <w:p w14:paraId="231F06E3">
            <w:pPr>
              <w:spacing w:after="0" w:line="276" w:lineRule="auto"/>
              <w:jc w:val="left"/>
            </w:pPr>
            <w:r>
              <w:rPr>
                <w:rFonts w:ascii="Arial" w:hAnsi="Arial" w:eastAsia="宋体"/>
                <w:b w:val="0"/>
                <w:i w:val="0"/>
                <w:color w:val="1F2937"/>
                <w:sz w:val="17"/>
              </w:rPr>
              <w:t>美国</w:t>
            </w:r>
          </w:p>
        </w:tc>
        <w:tc>
          <w:tcPr>
            <w:tcW w:w="2300" w:type="dxa"/>
          </w:tcPr>
          <w:p w14:paraId="07A10B43">
            <w:pPr>
              <w:spacing w:after="0" w:line="276" w:lineRule="auto"/>
              <w:jc w:val="left"/>
            </w:pPr>
            <w:r>
              <w:rPr>
                <w:rFonts w:ascii="Arial" w:hAnsi="Arial" w:eastAsia="宋体"/>
                <w:b w:val="0"/>
                <w:i w:val="0"/>
                <w:color w:val="1F2937"/>
                <w:sz w:val="17"/>
              </w:rPr>
              <w:t>稀土矿山—分离—磁体</w:t>
            </w:r>
          </w:p>
        </w:tc>
        <w:tc>
          <w:tcPr>
            <w:tcW w:w="1400" w:type="dxa"/>
          </w:tcPr>
          <w:p w14:paraId="00EFFEE9">
            <w:pPr>
              <w:spacing w:after="0" w:line="276" w:lineRule="auto"/>
              <w:jc w:val="left"/>
            </w:pPr>
            <w:r>
              <w:rPr>
                <w:rFonts w:ascii="Arial" w:hAnsi="Arial" w:eastAsia="宋体"/>
                <w:b w:val="0"/>
                <w:i w:val="0"/>
                <w:color w:val="1F2937"/>
                <w:sz w:val="17"/>
              </w:rPr>
              <w:t>商业生产/扩建</w:t>
            </w:r>
          </w:p>
        </w:tc>
        <w:tc>
          <w:tcPr>
            <w:tcW w:w="2710" w:type="dxa"/>
          </w:tcPr>
          <w:p w14:paraId="13AFCEF5">
            <w:pPr>
              <w:spacing w:after="0" w:line="276" w:lineRule="auto"/>
              <w:jc w:val="left"/>
            </w:pPr>
            <w:r>
              <w:rPr>
                <w:rFonts w:ascii="Arial" w:hAnsi="Arial" w:eastAsia="宋体"/>
                <w:b w:val="0"/>
                <w:i w:val="0"/>
                <w:color w:val="1F2937"/>
                <w:sz w:val="17"/>
              </w:rPr>
              <w:t>政府贷款、价格保护、承购</w:t>
            </w:r>
          </w:p>
        </w:tc>
      </w:tr>
      <w:tr w14:paraId="7D74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3F5F7"/>
          </w:tcPr>
          <w:p w14:paraId="2737C859">
            <w:pPr>
              <w:spacing w:after="0" w:line="276" w:lineRule="auto"/>
              <w:jc w:val="center"/>
            </w:pPr>
            <w:r>
              <w:rPr>
                <w:rFonts w:ascii="Arial" w:hAnsi="Arial" w:eastAsia="宋体"/>
                <w:b w:val="0"/>
                <w:i w:val="0"/>
                <w:color w:val="1F2937"/>
                <w:sz w:val="17"/>
              </w:rPr>
              <w:t>Lynas/Mt Weld—Kalgoorlie—Malaysia</w:t>
            </w:r>
          </w:p>
        </w:tc>
        <w:tc>
          <w:tcPr>
            <w:tcW w:w="900" w:type="dxa"/>
            <w:shd w:val="clear" w:color="auto" w:fill="F3F5F7"/>
          </w:tcPr>
          <w:p w14:paraId="386CE058">
            <w:pPr>
              <w:spacing w:after="0" w:line="276" w:lineRule="auto"/>
              <w:jc w:val="left"/>
            </w:pPr>
            <w:r>
              <w:rPr>
                <w:rFonts w:ascii="Arial" w:hAnsi="Arial" w:eastAsia="宋体"/>
                <w:b w:val="0"/>
                <w:i w:val="0"/>
                <w:color w:val="1F2937"/>
                <w:sz w:val="17"/>
              </w:rPr>
              <w:t>澳/马</w:t>
            </w:r>
          </w:p>
        </w:tc>
        <w:tc>
          <w:tcPr>
            <w:tcW w:w="2300" w:type="dxa"/>
            <w:shd w:val="clear" w:color="auto" w:fill="F3F5F7"/>
          </w:tcPr>
          <w:p w14:paraId="2084588D">
            <w:pPr>
              <w:spacing w:after="0" w:line="276" w:lineRule="auto"/>
              <w:jc w:val="left"/>
            </w:pPr>
            <w:r>
              <w:rPr>
                <w:rFonts w:ascii="Arial" w:hAnsi="Arial" w:eastAsia="宋体"/>
                <w:b w:val="0"/>
                <w:i w:val="0"/>
                <w:color w:val="1F2937"/>
                <w:sz w:val="17"/>
              </w:rPr>
              <w:t>矿山—裂解浸出—分离</w:t>
            </w:r>
          </w:p>
        </w:tc>
        <w:tc>
          <w:tcPr>
            <w:tcW w:w="1400" w:type="dxa"/>
            <w:shd w:val="clear" w:color="auto" w:fill="F3F5F7"/>
          </w:tcPr>
          <w:p w14:paraId="582BA45B">
            <w:pPr>
              <w:spacing w:after="0" w:line="276" w:lineRule="auto"/>
              <w:jc w:val="left"/>
            </w:pPr>
            <w:r>
              <w:rPr>
                <w:rFonts w:ascii="Arial" w:hAnsi="Arial" w:eastAsia="宋体"/>
                <w:b w:val="0"/>
                <w:i w:val="0"/>
                <w:color w:val="1F2937"/>
                <w:sz w:val="17"/>
              </w:rPr>
              <w:t>商业生产/重稀土扩展</w:t>
            </w:r>
          </w:p>
        </w:tc>
        <w:tc>
          <w:tcPr>
            <w:tcW w:w="2710" w:type="dxa"/>
            <w:shd w:val="clear" w:color="auto" w:fill="F3F5F7"/>
          </w:tcPr>
          <w:p w14:paraId="67993F0C">
            <w:pPr>
              <w:spacing w:after="0" w:line="276" w:lineRule="auto"/>
              <w:jc w:val="left"/>
            </w:pPr>
            <w:r>
              <w:rPr>
                <w:rFonts w:ascii="Arial" w:hAnsi="Arial" w:eastAsia="宋体"/>
                <w:b w:val="0"/>
                <w:i w:val="0"/>
                <w:color w:val="1F2937"/>
                <w:sz w:val="17"/>
              </w:rPr>
              <w:t>日本投资与承购</w:t>
            </w:r>
          </w:p>
        </w:tc>
      </w:tr>
      <w:tr w14:paraId="6BAC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Pr>
          <w:p w14:paraId="0688F573">
            <w:pPr>
              <w:spacing w:after="0" w:line="276" w:lineRule="auto"/>
              <w:jc w:val="center"/>
            </w:pPr>
            <w:r>
              <w:rPr>
                <w:rFonts w:ascii="Arial" w:hAnsi="Arial" w:eastAsia="宋体"/>
                <w:b w:val="0"/>
                <w:i w:val="0"/>
                <w:color w:val="1F2937"/>
                <w:sz w:val="17"/>
              </w:rPr>
              <w:t>Caremag Lacq</w:t>
            </w:r>
          </w:p>
        </w:tc>
        <w:tc>
          <w:tcPr>
            <w:tcW w:w="900" w:type="dxa"/>
          </w:tcPr>
          <w:p w14:paraId="4094D52B">
            <w:pPr>
              <w:spacing w:after="0" w:line="276" w:lineRule="auto"/>
              <w:jc w:val="left"/>
            </w:pPr>
            <w:r>
              <w:rPr>
                <w:rFonts w:ascii="Arial" w:hAnsi="Arial" w:eastAsia="宋体"/>
                <w:b w:val="0"/>
                <w:i w:val="0"/>
                <w:color w:val="1F2937"/>
                <w:sz w:val="17"/>
              </w:rPr>
              <w:t>法国</w:t>
            </w:r>
          </w:p>
        </w:tc>
        <w:tc>
          <w:tcPr>
            <w:tcW w:w="2300" w:type="dxa"/>
          </w:tcPr>
          <w:p w14:paraId="169355C9">
            <w:pPr>
              <w:spacing w:after="0" w:line="276" w:lineRule="auto"/>
              <w:jc w:val="left"/>
            </w:pPr>
            <w:r>
              <w:rPr>
                <w:rFonts w:ascii="Arial" w:hAnsi="Arial" w:eastAsia="宋体"/>
                <w:b w:val="0"/>
                <w:i w:val="0"/>
                <w:color w:val="1F2937"/>
                <w:sz w:val="17"/>
              </w:rPr>
              <w:t>回收磁体/原矿—重稀土分离</w:t>
            </w:r>
          </w:p>
        </w:tc>
        <w:tc>
          <w:tcPr>
            <w:tcW w:w="1400" w:type="dxa"/>
          </w:tcPr>
          <w:p w14:paraId="46DA7C2F">
            <w:pPr>
              <w:spacing w:after="0" w:line="276" w:lineRule="auto"/>
              <w:jc w:val="left"/>
            </w:pPr>
            <w:r>
              <w:rPr>
                <w:rFonts w:ascii="Arial" w:hAnsi="Arial" w:eastAsia="宋体"/>
                <w:b w:val="0"/>
                <w:i w:val="0"/>
                <w:color w:val="1F2937"/>
                <w:sz w:val="17"/>
              </w:rPr>
              <w:t>建设推进</w:t>
            </w:r>
          </w:p>
        </w:tc>
        <w:tc>
          <w:tcPr>
            <w:tcW w:w="2710" w:type="dxa"/>
          </w:tcPr>
          <w:p w14:paraId="27F53F7F">
            <w:pPr>
              <w:spacing w:after="0" w:line="276" w:lineRule="auto"/>
              <w:jc w:val="left"/>
            </w:pPr>
            <w:r>
              <w:rPr>
                <w:rFonts w:ascii="Arial" w:hAnsi="Arial" w:eastAsia="宋体"/>
                <w:b w:val="0"/>
                <w:i w:val="0"/>
                <w:color w:val="1F2937"/>
                <w:sz w:val="17"/>
              </w:rPr>
              <w:t>法日政府支持、长期供货</w:t>
            </w:r>
          </w:p>
        </w:tc>
      </w:tr>
      <w:tr w14:paraId="6108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3F5F7"/>
          </w:tcPr>
          <w:p w14:paraId="39EC61C0">
            <w:pPr>
              <w:spacing w:after="0" w:line="276" w:lineRule="auto"/>
              <w:jc w:val="center"/>
            </w:pPr>
            <w:r>
              <w:rPr>
                <w:rFonts w:ascii="Arial" w:hAnsi="Arial" w:eastAsia="宋体"/>
                <w:b w:val="0"/>
                <w:i w:val="0"/>
                <w:color w:val="1F2937"/>
                <w:sz w:val="17"/>
              </w:rPr>
              <w:t>Eneabba</w:t>
            </w:r>
          </w:p>
        </w:tc>
        <w:tc>
          <w:tcPr>
            <w:tcW w:w="900" w:type="dxa"/>
            <w:shd w:val="clear" w:color="auto" w:fill="F3F5F7"/>
          </w:tcPr>
          <w:p w14:paraId="2DFED174">
            <w:pPr>
              <w:spacing w:after="0" w:line="276" w:lineRule="auto"/>
              <w:jc w:val="left"/>
            </w:pPr>
            <w:r>
              <w:rPr>
                <w:rFonts w:ascii="Arial" w:hAnsi="Arial" w:eastAsia="宋体"/>
                <w:b w:val="0"/>
                <w:i w:val="0"/>
                <w:color w:val="1F2937"/>
                <w:sz w:val="17"/>
              </w:rPr>
              <w:t>澳大利亚</w:t>
            </w:r>
          </w:p>
        </w:tc>
        <w:tc>
          <w:tcPr>
            <w:tcW w:w="2300" w:type="dxa"/>
            <w:shd w:val="clear" w:color="auto" w:fill="F3F5F7"/>
          </w:tcPr>
          <w:p w14:paraId="66936EB5">
            <w:pPr>
              <w:spacing w:after="0" w:line="276" w:lineRule="auto"/>
              <w:jc w:val="left"/>
            </w:pPr>
            <w:r>
              <w:rPr>
                <w:rFonts w:ascii="Arial" w:hAnsi="Arial" w:eastAsia="宋体"/>
                <w:b w:val="0"/>
                <w:i w:val="0"/>
                <w:color w:val="1F2937"/>
                <w:sz w:val="17"/>
              </w:rPr>
              <w:t>矿砂副产物—稀土精炼</w:t>
            </w:r>
          </w:p>
        </w:tc>
        <w:tc>
          <w:tcPr>
            <w:tcW w:w="1400" w:type="dxa"/>
            <w:shd w:val="clear" w:color="auto" w:fill="F3F5F7"/>
          </w:tcPr>
          <w:p w14:paraId="4FD8BDD8">
            <w:pPr>
              <w:spacing w:after="0" w:line="276" w:lineRule="auto"/>
              <w:jc w:val="left"/>
            </w:pPr>
            <w:r>
              <w:rPr>
                <w:rFonts w:ascii="Arial" w:hAnsi="Arial" w:eastAsia="宋体"/>
                <w:b w:val="0"/>
                <w:i w:val="0"/>
                <w:color w:val="1F2937"/>
                <w:sz w:val="17"/>
              </w:rPr>
              <w:t>建设/融资</w:t>
            </w:r>
          </w:p>
        </w:tc>
        <w:tc>
          <w:tcPr>
            <w:tcW w:w="2710" w:type="dxa"/>
            <w:shd w:val="clear" w:color="auto" w:fill="F3F5F7"/>
          </w:tcPr>
          <w:p w14:paraId="22FB1E18">
            <w:pPr>
              <w:spacing w:after="0" w:line="276" w:lineRule="auto"/>
              <w:jc w:val="left"/>
            </w:pPr>
            <w:r>
              <w:rPr>
                <w:rFonts w:ascii="Arial" w:hAnsi="Arial" w:eastAsia="宋体"/>
                <w:b w:val="0"/>
                <w:i w:val="0"/>
                <w:color w:val="1F2937"/>
                <w:sz w:val="17"/>
              </w:rPr>
              <w:t>政府融资、战略项目</w:t>
            </w:r>
          </w:p>
        </w:tc>
      </w:tr>
      <w:tr w14:paraId="0244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Pr>
          <w:p w14:paraId="1FC2B594">
            <w:pPr>
              <w:spacing w:after="0" w:line="276" w:lineRule="auto"/>
              <w:jc w:val="center"/>
            </w:pPr>
            <w:r>
              <w:rPr>
                <w:rFonts w:ascii="Arial" w:hAnsi="Arial" w:eastAsia="宋体"/>
                <w:b w:val="0"/>
                <w:i w:val="0"/>
                <w:color w:val="1F2937"/>
                <w:sz w:val="17"/>
              </w:rPr>
              <w:t>Serra Verde</w:t>
            </w:r>
          </w:p>
        </w:tc>
        <w:tc>
          <w:tcPr>
            <w:tcW w:w="900" w:type="dxa"/>
          </w:tcPr>
          <w:p w14:paraId="45153A87">
            <w:pPr>
              <w:spacing w:after="0" w:line="276" w:lineRule="auto"/>
              <w:jc w:val="left"/>
            </w:pPr>
            <w:r>
              <w:rPr>
                <w:rFonts w:ascii="Arial" w:hAnsi="Arial" w:eastAsia="宋体"/>
                <w:b w:val="0"/>
                <w:i w:val="0"/>
                <w:color w:val="1F2937"/>
                <w:sz w:val="17"/>
              </w:rPr>
              <w:t>巴西</w:t>
            </w:r>
          </w:p>
        </w:tc>
        <w:tc>
          <w:tcPr>
            <w:tcW w:w="2300" w:type="dxa"/>
          </w:tcPr>
          <w:p w14:paraId="5A777041">
            <w:pPr>
              <w:spacing w:after="0" w:line="276" w:lineRule="auto"/>
              <w:jc w:val="left"/>
            </w:pPr>
            <w:r>
              <w:rPr>
                <w:rFonts w:ascii="Arial" w:hAnsi="Arial" w:eastAsia="宋体"/>
                <w:b w:val="0"/>
                <w:i w:val="0"/>
                <w:color w:val="1F2937"/>
                <w:sz w:val="17"/>
              </w:rPr>
              <w:t>离子吸附型稀土</w:t>
            </w:r>
          </w:p>
        </w:tc>
        <w:tc>
          <w:tcPr>
            <w:tcW w:w="1400" w:type="dxa"/>
          </w:tcPr>
          <w:p w14:paraId="44254EF3">
            <w:pPr>
              <w:spacing w:after="0" w:line="276" w:lineRule="auto"/>
              <w:jc w:val="left"/>
            </w:pPr>
            <w:r>
              <w:rPr>
                <w:rFonts w:ascii="Arial" w:hAnsi="Arial" w:eastAsia="宋体"/>
                <w:b w:val="0"/>
                <w:i w:val="0"/>
                <w:color w:val="1F2937"/>
                <w:sz w:val="17"/>
              </w:rPr>
              <w:t>商业爬坡</w:t>
            </w:r>
          </w:p>
        </w:tc>
        <w:tc>
          <w:tcPr>
            <w:tcW w:w="2710" w:type="dxa"/>
          </w:tcPr>
          <w:p w14:paraId="54ED76A2">
            <w:pPr>
              <w:spacing w:after="0" w:line="276" w:lineRule="auto"/>
              <w:jc w:val="left"/>
            </w:pPr>
            <w:r>
              <w:rPr>
                <w:rFonts w:ascii="Arial" w:hAnsi="Arial" w:eastAsia="宋体"/>
                <w:b w:val="0"/>
                <w:i w:val="0"/>
                <w:color w:val="1F2937"/>
                <w:sz w:val="17"/>
              </w:rPr>
              <w:t>重稀土潜力、产品稳定性</w:t>
            </w:r>
          </w:p>
        </w:tc>
      </w:tr>
      <w:tr w14:paraId="43A2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3F5F7"/>
          </w:tcPr>
          <w:p w14:paraId="407D3D31">
            <w:pPr>
              <w:spacing w:after="0" w:line="276" w:lineRule="auto"/>
              <w:jc w:val="center"/>
            </w:pPr>
            <w:r>
              <w:rPr>
                <w:rFonts w:ascii="Arial" w:hAnsi="Arial" w:eastAsia="宋体"/>
                <w:b w:val="0"/>
                <w:i w:val="0"/>
                <w:color w:val="1F2937"/>
                <w:sz w:val="17"/>
              </w:rPr>
              <w:t>Sangdong</w:t>
            </w:r>
          </w:p>
        </w:tc>
        <w:tc>
          <w:tcPr>
            <w:tcW w:w="900" w:type="dxa"/>
            <w:shd w:val="clear" w:color="auto" w:fill="F3F5F7"/>
          </w:tcPr>
          <w:p w14:paraId="0620753E">
            <w:pPr>
              <w:spacing w:after="0" w:line="276" w:lineRule="auto"/>
              <w:jc w:val="left"/>
            </w:pPr>
            <w:r>
              <w:rPr>
                <w:rFonts w:ascii="Arial" w:hAnsi="Arial" w:eastAsia="宋体"/>
                <w:b w:val="0"/>
                <w:i w:val="0"/>
                <w:color w:val="1F2937"/>
                <w:sz w:val="17"/>
              </w:rPr>
              <w:t>韩国</w:t>
            </w:r>
          </w:p>
        </w:tc>
        <w:tc>
          <w:tcPr>
            <w:tcW w:w="2300" w:type="dxa"/>
            <w:shd w:val="clear" w:color="auto" w:fill="F3F5F7"/>
          </w:tcPr>
          <w:p w14:paraId="0D0124F8">
            <w:pPr>
              <w:spacing w:after="0" w:line="276" w:lineRule="auto"/>
              <w:jc w:val="left"/>
            </w:pPr>
            <w:r>
              <w:rPr>
                <w:rFonts w:ascii="Arial" w:hAnsi="Arial" w:eastAsia="宋体"/>
                <w:b w:val="0"/>
                <w:i w:val="0"/>
                <w:color w:val="1F2937"/>
                <w:sz w:val="17"/>
              </w:rPr>
              <w:t>钨矿—精矿</w:t>
            </w:r>
          </w:p>
        </w:tc>
        <w:tc>
          <w:tcPr>
            <w:tcW w:w="1400" w:type="dxa"/>
            <w:shd w:val="clear" w:color="auto" w:fill="F3F5F7"/>
          </w:tcPr>
          <w:p w14:paraId="27468718">
            <w:pPr>
              <w:spacing w:after="0" w:line="276" w:lineRule="auto"/>
              <w:jc w:val="left"/>
            </w:pPr>
            <w:r>
              <w:rPr>
                <w:rFonts w:ascii="Arial" w:hAnsi="Arial" w:eastAsia="宋体"/>
                <w:b w:val="0"/>
                <w:i w:val="0"/>
                <w:color w:val="1F2937"/>
                <w:sz w:val="17"/>
              </w:rPr>
              <w:t>重启建设</w:t>
            </w:r>
          </w:p>
        </w:tc>
        <w:tc>
          <w:tcPr>
            <w:tcW w:w="2710" w:type="dxa"/>
            <w:shd w:val="clear" w:color="auto" w:fill="F3F5F7"/>
          </w:tcPr>
          <w:p w14:paraId="110A0D00">
            <w:pPr>
              <w:spacing w:after="0" w:line="276" w:lineRule="auto"/>
              <w:jc w:val="left"/>
            </w:pPr>
            <w:r>
              <w:rPr>
                <w:rFonts w:ascii="Arial" w:hAnsi="Arial" w:eastAsia="宋体"/>
                <w:b w:val="0"/>
                <w:i w:val="0"/>
                <w:color w:val="1F2937"/>
                <w:sz w:val="17"/>
              </w:rPr>
              <w:t>承购、资本开支与爬坡</w:t>
            </w:r>
          </w:p>
        </w:tc>
      </w:tr>
      <w:tr w14:paraId="4589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Pr>
          <w:p w14:paraId="34F35E8B">
            <w:pPr>
              <w:spacing w:after="0" w:line="276" w:lineRule="auto"/>
              <w:jc w:val="center"/>
            </w:pPr>
            <w:r>
              <w:rPr>
                <w:rFonts w:ascii="Arial" w:hAnsi="Arial" w:eastAsia="宋体"/>
                <w:b w:val="0"/>
                <w:i w:val="0"/>
                <w:color w:val="1F2937"/>
                <w:sz w:val="17"/>
              </w:rPr>
              <w:t>北美石墨项目群</w:t>
            </w:r>
          </w:p>
        </w:tc>
        <w:tc>
          <w:tcPr>
            <w:tcW w:w="900" w:type="dxa"/>
          </w:tcPr>
          <w:p w14:paraId="0875DD66">
            <w:pPr>
              <w:spacing w:after="0" w:line="276" w:lineRule="auto"/>
              <w:jc w:val="left"/>
            </w:pPr>
            <w:r>
              <w:rPr>
                <w:rFonts w:ascii="Arial" w:hAnsi="Arial" w:eastAsia="宋体"/>
                <w:b w:val="0"/>
                <w:i w:val="0"/>
                <w:color w:val="1F2937"/>
                <w:sz w:val="17"/>
              </w:rPr>
              <w:t>美/加</w:t>
            </w:r>
          </w:p>
        </w:tc>
        <w:tc>
          <w:tcPr>
            <w:tcW w:w="2300" w:type="dxa"/>
          </w:tcPr>
          <w:p w14:paraId="59BE877E">
            <w:pPr>
              <w:spacing w:after="0" w:line="276" w:lineRule="auto"/>
              <w:jc w:val="left"/>
            </w:pPr>
            <w:r>
              <w:rPr>
                <w:rFonts w:ascii="Arial" w:hAnsi="Arial" w:eastAsia="宋体"/>
                <w:b w:val="0"/>
                <w:i w:val="0"/>
                <w:color w:val="1F2937"/>
                <w:sz w:val="17"/>
              </w:rPr>
              <w:t>矿山—球化—提纯—负极</w:t>
            </w:r>
          </w:p>
        </w:tc>
        <w:tc>
          <w:tcPr>
            <w:tcW w:w="1400" w:type="dxa"/>
          </w:tcPr>
          <w:p w14:paraId="363DA724">
            <w:pPr>
              <w:spacing w:after="0" w:line="276" w:lineRule="auto"/>
              <w:jc w:val="left"/>
            </w:pPr>
            <w:r>
              <w:rPr>
                <w:rFonts w:ascii="Arial" w:hAnsi="Arial" w:eastAsia="宋体"/>
                <w:b w:val="0"/>
                <w:i w:val="0"/>
                <w:color w:val="1F2937"/>
                <w:sz w:val="17"/>
              </w:rPr>
              <w:t>多项目建设</w:t>
            </w:r>
          </w:p>
        </w:tc>
        <w:tc>
          <w:tcPr>
            <w:tcW w:w="2710" w:type="dxa"/>
          </w:tcPr>
          <w:p w14:paraId="79DE169C">
            <w:pPr>
              <w:spacing w:after="0" w:line="276" w:lineRule="auto"/>
              <w:jc w:val="left"/>
            </w:pPr>
            <w:r>
              <w:rPr>
                <w:rFonts w:ascii="Arial" w:hAnsi="Arial" w:eastAsia="宋体"/>
                <w:b w:val="0"/>
                <w:i w:val="0"/>
                <w:color w:val="1F2937"/>
                <w:sz w:val="17"/>
              </w:rPr>
              <w:t>IRA/贷款、客户认证</w:t>
            </w:r>
          </w:p>
        </w:tc>
      </w:tr>
      <w:tr w14:paraId="15A4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3F5F7"/>
          </w:tcPr>
          <w:p w14:paraId="45C444EE">
            <w:pPr>
              <w:spacing w:after="0" w:line="276" w:lineRule="auto"/>
              <w:jc w:val="center"/>
            </w:pPr>
            <w:r>
              <w:rPr>
                <w:rFonts w:ascii="Arial" w:hAnsi="Arial" w:eastAsia="宋体"/>
                <w:b w:val="0"/>
                <w:i w:val="0"/>
                <w:color w:val="1F2937"/>
                <w:sz w:val="17"/>
              </w:rPr>
              <w:t>副产镓锗回收项目</w:t>
            </w:r>
          </w:p>
        </w:tc>
        <w:tc>
          <w:tcPr>
            <w:tcW w:w="900" w:type="dxa"/>
            <w:shd w:val="clear" w:color="auto" w:fill="F3F5F7"/>
          </w:tcPr>
          <w:p w14:paraId="1DC83F30">
            <w:pPr>
              <w:spacing w:after="0" w:line="276" w:lineRule="auto"/>
              <w:jc w:val="left"/>
            </w:pPr>
            <w:r>
              <w:rPr>
                <w:rFonts w:ascii="Arial" w:hAnsi="Arial" w:eastAsia="宋体"/>
                <w:b w:val="0"/>
                <w:i w:val="0"/>
                <w:color w:val="1F2937"/>
                <w:sz w:val="17"/>
              </w:rPr>
              <w:t>美欧日</w:t>
            </w:r>
          </w:p>
        </w:tc>
        <w:tc>
          <w:tcPr>
            <w:tcW w:w="2300" w:type="dxa"/>
            <w:shd w:val="clear" w:color="auto" w:fill="F3F5F7"/>
          </w:tcPr>
          <w:p w14:paraId="797DEB15">
            <w:pPr>
              <w:spacing w:after="0" w:line="276" w:lineRule="auto"/>
              <w:jc w:val="left"/>
            </w:pPr>
            <w:r>
              <w:rPr>
                <w:rFonts w:ascii="Arial" w:hAnsi="Arial" w:eastAsia="宋体"/>
                <w:b w:val="0"/>
                <w:i w:val="0"/>
                <w:color w:val="1F2937"/>
                <w:sz w:val="17"/>
              </w:rPr>
              <w:t>铝土矿/锌冶炼/煤灰—精制</w:t>
            </w:r>
          </w:p>
        </w:tc>
        <w:tc>
          <w:tcPr>
            <w:tcW w:w="1400" w:type="dxa"/>
            <w:shd w:val="clear" w:color="auto" w:fill="F3F5F7"/>
          </w:tcPr>
          <w:p w14:paraId="017202E8">
            <w:pPr>
              <w:spacing w:after="0" w:line="276" w:lineRule="auto"/>
              <w:jc w:val="left"/>
            </w:pPr>
            <w:r>
              <w:rPr>
                <w:rFonts w:ascii="Arial" w:hAnsi="Arial" w:eastAsia="宋体"/>
                <w:b w:val="0"/>
                <w:i w:val="0"/>
                <w:color w:val="1F2937"/>
                <w:sz w:val="17"/>
              </w:rPr>
              <w:t>研发至扩产</w:t>
            </w:r>
          </w:p>
        </w:tc>
        <w:tc>
          <w:tcPr>
            <w:tcW w:w="2710" w:type="dxa"/>
            <w:shd w:val="clear" w:color="auto" w:fill="F3F5F7"/>
          </w:tcPr>
          <w:p w14:paraId="03C069CE">
            <w:pPr>
              <w:spacing w:after="0" w:line="276" w:lineRule="auto"/>
              <w:jc w:val="left"/>
            </w:pPr>
            <w:r>
              <w:rPr>
                <w:rFonts w:ascii="Arial" w:hAnsi="Arial" w:eastAsia="宋体"/>
                <w:b w:val="0"/>
                <w:i w:val="0"/>
                <w:color w:val="1F2937"/>
                <w:sz w:val="17"/>
              </w:rPr>
              <w:t>原料流和纯度经济性</w:t>
            </w:r>
          </w:p>
        </w:tc>
      </w:tr>
    </w:tbl>
    <w:p w14:paraId="53E8DD25">
      <w:pPr>
        <w:spacing w:after="20"/>
      </w:pPr>
    </w:p>
    <w:tbl>
      <w:tblPr>
        <w:tblStyle w:val="32"/>
        <w:tblW w:w="9360" w:type="dxa"/>
        <w:tblInd w:w="120" w:type="dxa"/>
        <w:tblLayout w:type="fixed"/>
        <w:tblCellMar>
          <w:top w:w="0" w:type="dxa"/>
          <w:left w:w="108" w:type="dxa"/>
          <w:bottom w:w="0" w:type="dxa"/>
          <w:right w:w="108" w:type="dxa"/>
        </w:tblCellMar>
      </w:tblPr>
      <w:tblGrid>
        <w:gridCol w:w="9360"/>
      </w:tblGrid>
      <w:tr w14:paraId="4A8D8BDA">
        <w:tblPrEx>
          <w:tblCellMar>
            <w:top w:w="0" w:type="dxa"/>
            <w:left w:w="108" w:type="dxa"/>
            <w:bottom w:w="0" w:type="dxa"/>
            <w:right w:w="108" w:type="dxa"/>
          </w:tblCellMar>
        </w:tblPrEx>
        <w:tc>
          <w:tcPr>
            <w:tcW w:w="9360" w:type="dxa"/>
            <w:shd w:val="clear" w:color="auto" w:fill="EAF1F8"/>
            <w:tcMar>
              <w:top w:w="90" w:type="dxa"/>
              <w:left w:w="120" w:type="dxa"/>
              <w:bottom w:w="90" w:type="dxa"/>
              <w:right w:w="120" w:type="dxa"/>
            </w:tcMar>
            <w:vAlign w:val="center"/>
          </w:tcPr>
          <w:p w14:paraId="00513298">
            <w:pPr>
              <w:spacing w:after="60"/>
            </w:pPr>
            <w:r>
              <w:rPr>
                <w:rFonts w:ascii="Arial" w:hAnsi="Arial" w:eastAsia="微软雅黑"/>
                <w:b/>
                <w:i w:val="0"/>
                <w:color w:val="17365D"/>
                <w:sz w:val="21"/>
              </w:rPr>
              <w:t>项目评估原则</w:t>
            </w:r>
          </w:p>
          <w:p w14:paraId="3A58A2B4">
            <w:pPr>
              <w:spacing w:after="0" w:line="324" w:lineRule="auto"/>
            </w:pPr>
            <w:r>
              <w:rPr>
                <w:rFonts w:ascii="Arial" w:hAnsi="Arial" w:eastAsia="宋体"/>
                <w:b w:val="0"/>
                <w:i w:val="0"/>
                <w:color w:val="1F2937"/>
                <w:sz w:val="20"/>
              </w:rPr>
              <w:t>只有完成融资关闭、建设、试生产、客户认证并形成商业化交付的产能，才应计入可用供应。资源量、设计产能、政府意向和谅解备忘录分别属于不同证据层级。</w:t>
            </w:r>
          </w:p>
        </w:tc>
      </w:tr>
    </w:tbl>
    <w:p w14:paraId="50BA5642">
      <w:pPr>
        <w:spacing w:after="20"/>
      </w:pPr>
    </w:p>
    <w:p w14:paraId="607044E4">
      <w:pPr>
        <w:pStyle w:val="3"/>
      </w:pPr>
      <w:r>
        <w:t>5 加工技术与中游瓶颈：真正的竞争发生在“转化”</w:t>
      </w:r>
    </w:p>
    <w:p w14:paraId="00C53945">
      <w:pPr>
        <w:pStyle w:val="4"/>
      </w:pPr>
      <w:r>
        <w:t>5.1 稀土分离与磁体制造</w:t>
      </w:r>
    </w:p>
    <w:p w14:paraId="66901745">
      <w:pPr>
        <w:spacing w:after="100" w:line="348" w:lineRule="auto"/>
        <w:jc w:val="both"/>
      </w:pPr>
      <w:r>
        <w:rPr>
          <w:rFonts w:ascii="Arial" w:hAnsi="Arial" w:eastAsia="宋体"/>
          <w:b w:val="0"/>
          <w:i w:val="0"/>
          <w:color w:val="1F2937"/>
          <w:sz w:val="21"/>
        </w:rPr>
        <w:t>稀土元素化学性质相近，分离过程需要多级萃取、精确控制杂质和稳定处理放射性副产物。实验室流程可以证明技术可行，却不能证明连续工业运行的回收率、试剂消耗、废水成本和产品一致性。</w:t>
      </w:r>
    </w:p>
    <w:p w14:paraId="0082A7E1">
      <w:pPr>
        <w:spacing w:after="100" w:line="348" w:lineRule="auto"/>
        <w:jc w:val="both"/>
      </w:pPr>
      <w:r>
        <w:rPr>
          <w:rFonts w:ascii="Arial" w:hAnsi="Arial" w:eastAsia="宋体"/>
          <w:b w:val="0"/>
          <w:i w:val="0"/>
          <w:color w:val="1F2937"/>
          <w:sz w:val="21"/>
        </w:rPr>
        <w:t>从氧化物到磁体还要经历金属化、合金、制粉、取向压制、烧结、热处理、晶界扩散、机械加工和镀层。每一步都会引入良率损失和性能波动。中国在磁体制造端的高份额反映的不只是设备数量，还包括供应商集群、工艺经验和下游客户共同改进。</w:t>
      </w:r>
    </w:p>
    <w:p w14:paraId="2C3DE10B">
      <w:pPr>
        <w:pStyle w:val="4"/>
      </w:pPr>
      <w:r>
        <w:t>5.2 电池材料与石墨</w:t>
      </w:r>
    </w:p>
    <w:p w14:paraId="1548B5A4">
      <w:pPr>
        <w:spacing w:after="100" w:line="348" w:lineRule="auto"/>
        <w:jc w:val="both"/>
      </w:pPr>
      <w:r>
        <w:rPr>
          <w:rFonts w:ascii="Arial" w:hAnsi="Arial" w:eastAsia="宋体"/>
          <w:b w:val="0"/>
          <w:i w:val="0"/>
          <w:color w:val="1F2937"/>
          <w:sz w:val="21"/>
        </w:rPr>
        <w:t>电池供应链的脆弱性并不只在电芯。负极材料的球化、提纯、包覆和石墨化，以及正极前驱体和磷酸铁锂材料的一致性，均是决定电池安全、寿命和快充性能的中游环节。IEA指出，许多电池中游细分领域的中国份额达到80%以上，部分前驱体和LFP材料接近高度集中。</w:t>
      </w:r>
    </w:p>
    <w:p w14:paraId="0CEF7BC0">
      <w:pPr>
        <w:spacing w:after="100" w:line="348" w:lineRule="auto"/>
        <w:jc w:val="both"/>
      </w:pPr>
      <w:r>
        <w:rPr>
          <w:rFonts w:ascii="Arial" w:hAnsi="Arial" w:eastAsia="宋体"/>
          <w:b w:val="0"/>
          <w:i w:val="0"/>
          <w:color w:val="1F2937"/>
          <w:sz w:val="21"/>
        </w:rPr>
        <w:t>新建海外电池工厂如果仍依赖中国负极和前驱体，只是把最终组装地迁移，并未改变上游风险。有效多元化必须同步建设材料、设备、工艺服务和质量体系，否则在技术变更或出口许可收紧时仍会暴露。</w:t>
      </w:r>
    </w:p>
    <w:p w14:paraId="6C9ADE46">
      <w:pPr>
        <w:pStyle w:val="4"/>
      </w:pPr>
      <w:r>
        <w:t>5.3 经济性约束：低价周期与新项目融资</w:t>
      </w:r>
    </w:p>
    <w:p w14:paraId="189F3475">
      <w:pPr>
        <w:spacing w:after="100" w:line="348" w:lineRule="auto"/>
        <w:jc w:val="both"/>
      </w:pPr>
      <w:r>
        <w:rPr>
          <w:rFonts w:ascii="Arial" w:hAnsi="Arial" w:eastAsia="宋体"/>
          <w:b w:val="0"/>
          <w:i w:val="0"/>
          <w:color w:val="1F2937"/>
          <w:sz w:val="21"/>
        </w:rPr>
        <w:t>关键矿产项目普遍具有高前期资本、长建设周期和价格波动大的特点。低价会改善下游成本，却压缩新进入者现金流并延迟投资；价格突然上涨又可能刺激过度扩产。政府价格保护、承购和合同价差的兴起，本质上是在弥补“安全价值无法被现货价格充分计价”的市场失灵。</w:t>
      </w:r>
    </w:p>
    <w:p w14:paraId="31C952D5">
      <w:pPr>
        <w:spacing w:after="100" w:line="348" w:lineRule="auto"/>
        <w:jc w:val="both"/>
      </w:pPr>
      <w:r>
        <w:rPr>
          <w:rFonts w:ascii="Arial" w:hAnsi="Arial" w:eastAsia="宋体"/>
          <w:b w:val="0"/>
          <w:i w:val="0"/>
          <w:color w:val="1F2937"/>
          <w:sz w:val="21"/>
        </w:rPr>
        <w:t>但价格支持也会产生纪律问题：项目可能依赖财政补贴而缺乏成本竞争力，下游可能因保底价格承担更高成本，盟友之间还可能争夺同一有限需求。因此政策设计应包含成本下降路径、产量门槛、收益分享和退出机制。</w:t>
      </w:r>
    </w:p>
    <w:p w14:paraId="74FB3AF2">
      <w:pPr>
        <w:pStyle w:val="164"/>
        <w:jc w:val="left"/>
      </w:pPr>
      <w:r>
        <w:t>表5-1  从资源到交付的瓶颈与验证指标</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750"/>
        <w:gridCol w:w="4010"/>
      </w:tblGrid>
      <w:tr w14:paraId="35FF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shd w:val="clear" w:color="auto" w:fill="17365D"/>
            <w:tcMar>
              <w:top w:w="90" w:type="dxa"/>
              <w:left w:w="120" w:type="dxa"/>
              <w:bottom w:w="90" w:type="dxa"/>
              <w:right w:w="120" w:type="dxa"/>
            </w:tcMar>
            <w:vAlign w:val="center"/>
          </w:tcPr>
          <w:p w14:paraId="6DCF7B33">
            <w:pPr>
              <w:spacing w:after="0"/>
              <w:jc w:val="center"/>
            </w:pPr>
            <w:r>
              <w:rPr>
                <w:rFonts w:ascii="Arial" w:hAnsi="Arial" w:eastAsia="微软雅黑"/>
                <w:b/>
                <w:i w:val="0"/>
                <w:color w:val="FFFFFF"/>
                <w:sz w:val="18"/>
              </w:rPr>
              <w:t>环节</w:t>
            </w:r>
          </w:p>
        </w:tc>
        <w:tc>
          <w:tcPr>
            <w:tcW w:w="3750" w:type="dxa"/>
            <w:shd w:val="clear" w:color="auto" w:fill="17365D"/>
            <w:tcMar>
              <w:top w:w="90" w:type="dxa"/>
              <w:left w:w="120" w:type="dxa"/>
              <w:bottom w:w="90" w:type="dxa"/>
              <w:right w:w="120" w:type="dxa"/>
            </w:tcMar>
            <w:vAlign w:val="center"/>
          </w:tcPr>
          <w:p w14:paraId="2B14E048">
            <w:pPr>
              <w:spacing w:after="0"/>
              <w:jc w:val="center"/>
            </w:pPr>
            <w:r>
              <w:rPr>
                <w:rFonts w:ascii="Arial" w:hAnsi="Arial" w:eastAsia="微软雅黑"/>
                <w:b/>
                <w:i w:val="0"/>
                <w:color w:val="FFFFFF"/>
                <w:sz w:val="18"/>
              </w:rPr>
              <w:t>主要瓶颈</w:t>
            </w:r>
          </w:p>
        </w:tc>
        <w:tc>
          <w:tcPr>
            <w:tcW w:w="4010" w:type="dxa"/>
            <w:shd w:val="clear" w:color="auto" w:fill="17365D"/>
            <w:tcMar>
              <w:top w:w="90" w:type="dxa"/>
              <w:left w:w="120" w:type="dxa"/>
              <w:bottom w:w="90" w:type="dxa"/>
              <w:right w:w="120" w:type="dxa"/>
            </w:tcMar>
            <w:vAlign w:val="center"/>
          </w:tcPr>
          <w:p w14:paraId="48592F0A">
            <w:pPr>
              <w:spacing w:after="0"/>
              <w:jc w:val="center"/>
            </w:pPr>
            <w:r>
              <w:rPr>
                <w:rFonts w:ascii="Arial" w:hAnsi="Arial" w:eastAsia="微软雅黑"/>
                <w:b/>
                <w:i w:val="0"/>
                <w:color w:val="FFFFFF"/>
                <w:sz w:val="18"/>
              </w:rPr>
              <w:t>应观察的可验证指标</w:t>
            </w:r>
          </w:p>
        </w:tc>
      </w:tr>
      <w:tr w14:paraId="72C9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493C8486">
            <w:pPr>
              <w:spacing w:after="0" w:line="276" w:lineRule="auto"/>
              <w:jc w:val="center"/>
            </w:pPr>
            <w:r>
              <w:rPr>
                <w:rFonts w:ascii="Arial" w:hAnsi="Arial" w:eastAsia="宋体"/>
                <w:b w:val="0"/>
                <w:i w:val="0"/>
                <w:color w:val="1F2937"/>
                <w:sz w:val="17"/>
              </w:rPr>
              <w:t>资源与采矿</w:t>
            </w:r>
          </w:p>
        </w:tc>
        <w:tc>
          <w:tcPr>
            <w:tcW w:w="3750" w:type="dxa"/>
          </w:tcPr>
          <w:p w14:paraId="52360C05">
            <w:pPr>
              <w:spacing w:after="0" w:line="276" w:lineRule="auto"/>
              <w:jc w:val="left"/>
            </w:pPr>
            <w:r>
              <w:rPr>
                <w:rFonts w:ascii="Arial" w:hAnsi="Arial" w:eastAsia="宋体"/>
                <w:b w:val="0"/>
                <w:i w:val="0"/>
                <w:color w:val="1F2937"/>
                <w:sz w:val="17"/>
              </w:rPr>
              <w:t>品位、矿物学、许可、基础设施</w:t>
            </w:r>
          </w:p>
        </w:tc>
        <w:tc>
          <w:tcPr>
            <w:tcW w:w="4010" w:type="dxa"/>
          </w:tcPr>
          <w:p w14:paraId="01F09F84">
            <w:pPr>
              <w:spacing w:after="0" w:line="276" w:lineRule="auto"/>
              <w:jc w:val="left"/>
            </w:pPr>
            <w:r>
              <w:rPr>
                <w:rFonts w:ascii="Arial" w:hAnsi="Arial" w:eastAsia="宋体"/>
                <w:b w:val="0"/>
                <w:i w:val="0"/>
                <w:color w:val="1F2937"/>
                <w:sz w:val="17"/>
              </w:rPr>
              <w:t>资源量、可采储量、回收率、许可状态</w:t>
            </w:r>
          </w:p>
        </w:tc>
      </w:tr>
      <w:tr w14:paraId="42E5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shd w:val="clear" w:color="auto" w:fill="F3F5F7"/>
          </w:tcPr>
          <w:p w14:paraId="47D8DB35">
            <w:pPr>
              <w:spacing w:after="0" w:line="276" w:lineRule="auto"/>
              <w:jc w:val="center"/>
            </w:pPr>
            <w:r>
              <w:rPr>
                <w:rFonts w:ascii="Arial" w:hAnsi="Arial" w:eastAsia="宋体"/>
                <w:b w:val="0"/>
                <w:i w:val="0"/>
                <w:color w:val="1F2937"/>
                <w:sz w:val="17"/>
              </w:rPr>
              <w:t>选矿与分离</w:t>
            </w:r>
          </w:p>
        </w:tc>
        <w:tc>
          <w:tcPr>
            <w:tcW w:w="3750" w:type="dxa"/>
            <w:shd w:val="clear" w:color="auto" w:fill="F3F5F7"/>
          </w:tcPr>
          <w:p w14:paraId="32154D5D">
            <w:pPr>
              <w:spacing w:after="0" w:line="276" w:lineRule="auto"/>
              <w:jc w:val="left"/>
            </w:pPr>
            <w:r>
              <w:rPr>
                <w:rFonts w:ascii="Arial" w:hAnsi="Arial" w:eastAsia="宋体"/>
                <w:b w:val="0"/>
                <w:i w:val="0"/>
                <w:color w:val="1F2937"/>
                <w:sz w:val="17"/>
              </w:rPr>
              <w:t>流程适配、杂质、放射性、连续运行</w:t>
            </w:r>
          </w:p>
        </w:tc>
        <w:tc>
          <w:tcPr>
            <w:tcW w:w="4010" w:type="dxa"/>
            <w:shd w:val="clear" w:color="auto" w:fill="F3F5F7"/>
          </w:tcPr>
          <w:p w14:paraId="28CF027D">
            <w:pPr>
              <w:spacing w:after="0" w:line="276" w:lineRule="auto"/>
              <w:jc w:val="left"/>
            </w:pPr>
            <w:r>
              <w:rPr>
                <w:rFonts w:ascii="Arial" w:hAnsi="Arial" w:eastAsia="宋体"/>
                <w:b w:val="0"/>
                <w:i w:val="0"/>
                <w:color w:val="1F2937"/>
                <w:sz w:val="17"/>
              </w:rPr>
              <w:t>试车时长、回收率、单位试剂/能耗</w:t>
            </w:r>
          </w:p>
        </w:tc>
      </w:tr>
      <w:tr w14:paraId="13E9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3CCDB527">
            <w:pPr>
              <w:spacing w:after="0" w:line="276" w:lineRule="auto"/>
              <w:jc w:val="center"/>
            </w:pPr>
            <w:r>
              <w:rPr>
                <w:rFonts w:ascii="Arial" w:hAnsi="Arial" w:eastAsia="宋体"/>
                <w:b w:val="0"/>
                <w:i w:val="0"/>
                <w:color w:val="1F2937"/>
                <w:sz w:val="17"/>
              </w:rPr>
              <w:t>高纯材料</w:t>
            </w:r>
          </w:p>
        </w:tc>
        <w:tc>
          <w:tcPr>
            <w:tcW w:w="3750" w:type="dxa"/>
          </w:tcPr>
          <w:p w14:paraId="4DB90908">
            <w:pPr>
              <w:spacing w:after="0" w:line="276" w:lineRule="auto"/>
              <w:jc w:val="left"/>
            </w:pPr>
            <w:r>
              <w:rPr>
                <w:rFonts w:ascii="Arial" w:hAnsi="Arial" w:eastAsia="宋体"/>
                <w:b w:val="0"/>
                <w:i w:val="0"/>
                <w:color w:val="1F2937"/>
                <w:sz w:val="17"/>
              </w:rPr>
              <w:t>纯度、一致性、批间波动</w:t>
            </w:r>
          </w:p>
        </w:tc>
        <w:tc>
          <w:tcPr>
            <w:tcW w:w="4010" w:type="dxa"/>
          </w:tcPr>
          <w:p w14:paraId="4A50E275">
            <w:pPr>
              <w:spacing w:after="0" w:line="276" w:lineRule="auto"/>
              <w:jc w:val="left"/>
            </w:pPr>
            <w:r>
              <w:rPr>
                <w:rFonts w:ascii="Arial" w:hAnsi="Arial" w:eastAsia="宋体"/>
                <w:b w:val="0"/>
                <w:i w:val="0"/>
                <w:color w:val="1F2937"/>
                <w:sz w:val="17"/>
              </w:rPr>
              <w:t>合格率、客户退货率、认证周期</w:t>
            </w:r>
          </w:p>
        </w:tc>
      </w:tr>
      <w:tr w14:paraId="11CA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shd w:val="clear" w:color="auto" w:fill="F3F5F7"/>
          </w:tcPr>
          <w:p w14:paraId="108BC704">
            <w:pPr>
              <w:spacing w:after="0" w:line="276" w:lineRule="auto"/>
              <w:jc w:val="center"/>
            </w:pPr>
            <w:r>
              <w:rPr>
                <w:rFonts w:ascii="Arial" w:hAnsi="Arial" w:eastAsia="宋体"/>
                <w:b w:val="0"/>
                <w:i w:val="0"/>
                <w:color w:val="1F2937"/>
                <w:sz w:val="17"/>
              </w:rPr>
              <w:t>磁体/部件</w:t>
            </w:r>
          </w:p>
        </w:tc>
        <w:tc>
          <w:tcPr>
            <w:tcW w:w="3750" w:type="dxa"/>
            <w:shd w:val="clear" w:color="auto" w:fill="F3F5F7"/>
          </w:tcPr>
          <w:p w14:paraId="3A1EEBF4">
            <w:pPr>
              <w:spacing w:after="0" w:line="276" w:lineRule="auto"/>
              <w:jc w:val="left"/>
            </w:pPr>
            <w:r>
              <w:rPr>
                <w:rFonts w:ascii="Arial" w:hAnsi="Arial" w:eastAsia="宋体"/>
                <w:b w:val="0"/>
                <w:i w:val="0"/>
                <w:color w:val="1F2937"/>
                <w:sz w:val="17"/>
              </w:rPr>
              <w:t>制粉、烧结、镀层、性能稳定</w:t>
            </w:r>
          </w:p>
        </w:tc>
        <w:tc>
          <w:tcPr>
            <w:tcW w:w="4010" w:type="dxa"/>
            <w:shd w:val="clear" w:color="auto" w:fill="F3F5F7"/>
          </w:tcPr>
          <w:p w14:paraId="0413A106">
            <w:pPr>
              <w:spacing w:after="0" w:line="276" w:lineRule="auto"/>
              <w:jc w:val="left"/>
            </w:pPr>
            <w:r>
              <w:rPr>
                <w:rFonts w:ascii="Arial" w:hAnsi="Arial" w:eastAsia="宋体"/>
                <w:b w:val="0"/>
                <w:i w:val="0"/>
                <w:color w:val="1F2937"/>
                <w:sz w:val="17"/>
              </w:rPr>
              <w:t>磁性能、良率、批量交付</w:t>
            </w:r>
          </w:p>
        </w:tc>
      </w:tr>
      <w:tr w14:paraId="5BD3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Pr>
          <w:p w14:paraId="6A6C98BD">
            <w:pPr>
              <w:spacing w:after="0" w:line="276" w:lineRule="auto"/>
              <w:jc w:val="center"/>
            </w:pPr>
            <w:r>
              <w:rPr>
                <w:rFonts w:ascii="Arial" w:hAnsi="Arial" w:eastAsia="宋体"/>
                <w:b w:val="0"/>
                <w:i w:val="0"/>
                <w:color w:val="1F2937"/>
                <w:sz w:val="17"/>
              </w:rPr>
              <w:t>商业融资</w:t>
            </w:r>
          </w:p>
        </w:tc>
        <w:tc>
          <w:tcPr>
            <w:tcW w:w="3750" w:type="dxa"/>
          </w:tcPr>
          <w:p w14:paraId="42F097A5">
            <w:pPr>
              <w:spacing w:after="0" w:line="276" w:lineRule="auto"/>
              <w:jc w:val="left"/>
            </w:pPr>
            <w:r>
              <w:rPr>
                <w:rFonts w:ascii="Arial" w:hAnsi="Arial" w:eastAsia="宋体"/>
                <w:b w:val="0"/>
                <w:i w:val="0"/>
                <w:color w:val="1F2937"/>
                <w:sz w:val="17"/>
              </w:rPr>
              <w:t>价格波动、承购、资本开支</w:t>
            </w:r>
          </w:p>
        </w:tc>
        <w:tc>
          <w:tcPr>
            <w:tcW w:w="4010" w:type="dxa"/>
          </w:tcPr>
          <w:p w14:paraId="114FF21D">
            <w:pPr>
              <w:spacing w:after="0" w:line="276" w:lineRule="auto"/>
              <w:jc w:val="left"/>
            </w:pPr>
            <w:r>
              <w:rPr>
                <w:rFonts w:ascii="Arial" w:hAnsi="Arial" w:eastAsia="宋体"/>
                <w:b w:val="0"/>
                <w:i w:val="0"/>
                <w:color w:val="1F2937"/>
                <w:sz w:val="17"/>
              </w:rPr>
              <w:t>融资关闭、承购覆盖率、现金成本</w:t>
            </w:r>
          </w:p>
        </w:tc>
      </w:tr>
      <w:tr w14:paraId="7EBD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shd w:val="clear" w:color="auto" w:fill="F3F5F7"/>
          </w:tcPr>
          <w:p w14:paraId="21FC448D">
            <w:pPr>
              <w:spacing w:after="0" w:line="276" w:lineRule="auto"/>
              <w:jc w:val="center"/>
            </w:pPr>
            <w:r>
              <w:rPr>
                <w:rFonts w:ascii="Arial" w:hAnsi="Arial" w:eastAsia="宋体"/>
                <w:b w:val="0"/>
                <w:i w:val="0"/>
                <w:color w:val="1F2937"/>
                <w:sz w:val="17"/>
              </w:rPr>
              <w:t>物流与合规</w:t>
            </w:r>
          </w:p>
        </w:tc>
        <w:tc>
          <w:tcPr>
            <w:tcW w:w="3750" w:type="dxa"/>
            <w:shd w:val="clear" w:color="auto" w:fill="F3F5F7"/>
          </w:tcPr>
          <w:p w14:paraId="12029013">
            <w:pPr>
              <w:spacing w:after="0" w:line="276" w:lineRule="auto"/>
              <w:jc w:val="left"/>
            </w:pPr>
            <w:r>
              <w:rPr>
                <w:rFonts w:ascii="Arial" w:hAnsi="Arial" w:eastAsia="宋体"/>
                <w:b w:val="0"/>
                <w:i w:val="0"/>
                <w:color w:val="1F2937"/>
                <w:sz w:val="17"/>
              </w:rPr>
              <w:t>许可证、危险品、路线、最终用途</w:t>
            </w:r>
          </w:p>
        </w:tc>
        <w:tc>
          <w:tcPr>
            <w:tcW w:w="4010" w:type="dxa"/>
            <w:shd w:val="clear" w:color="auto" w:fill="F3F5F7"/>
          </w:tcPr>
          <w:p w14:paraId="4D5FD813">
            <w:pPr>
              <w:spacing w:after="0" w:line="276" w:lineRule="auto"/>
              <w:jc w:val="left"/>
            </w:pPr>
            <w:r>
              <w:rPr>
                <w:rFonts w:ascii="Arial" w:hAnsi="Arial" w:eastAsia="宋体"/>
                <w:b w:val="0"/>
                <w:i w:val="0"/>
                <w:color w:val="1F2937"/>
                <w:sz w:val="17"/>
              </w:rPr>
              <w:t>审批时长、路线冗余、单证完整率</w:t>
            </w:r>
          </w:p>
        </w:tc>
      </w:tr>
    </w:tbl>
    <w:p w14:paraId="300BAF6C">
      <w:pPr>
        <w:spacing w:after="20"/>
      </w:pPr>
    </w:p>
    <w:p w14:paraId="1971E091">
      <w:pPr>
        <w:pStyle w:val="3"/>
      </w:pPr>
      <w:r>
        <w:t>6 替代、减量与回收：三条路径对应不同时间尺度</w:t>
      </w:r>
    </w:p>
    <w:p w14:paraId="23486790">
      <w:pPr>
        <w:pStyle w:val="4"/>
      </w:pPr>
      <w:r>
        <w:t>6.1 产品替代不能只比较材料性能</w:t>
      </w:r>
    </w:p>
    <w:p w14:paraId="49954D99">
      <w:pPr>
        <w:spacing w:after="100" w:line="348" w:lineRule="auto"/>
        <w:jc w:val="both"/>
      </w:pPr>
      <w:r>
        <w:rPr>
          <w:rFonts w:ascii="Arial" w:hAnsi="Arial" w:eastAsia="宋体"/>
          <w:b w:val="0"/>
          <w:i w:val="0"/>
          <w:color w:val="1F2937"/>
          <w:sz w:val="21"/>
        </w:rPr>
        <w:t>无稀土电机、铁氧体磁体、铁氮磁体和其他新材料可以降低特定场景的稀土需求，但必须比较系统级指标：功率密度、体积、效率、温度稳定性、控制系统复杂度、制造成本和认证周期。材料层面的成功不必然转化为整车、风机或国防系统的可替代性。</w:t>
      </w:r>
    </w:p>
    <w:p w14:paraId="7E2A52BE">
      <w:pPr>
        <w:spacing w:after="100" w:line="348" w:lineRule="auto"/>
        <w:jc w:val="both"/>
      </w:pPr>
      <w:r>
        <w:rPr>
          <w:rFonts w:ascii="Arial" w:hAnsi="Arial" w:eastAsia="宋体"/>
          <w:b w:val="0"/>
          <w:i w:val="0"/>
          <w:color w:val="1F2937"/>
          <w:sz w:val="21"/>
        </w:rPr>
        <w:t>短期最现实的技术策略通常是减量而非完全替代，例如通过晶界扩散减少镝铽用量、优化磁路设计、提高回收磁体占比和延长设备寿命。完全替代需要重新设计产品和供应链，适合新平台，不适合在存量产品上仓促切换。</w:t>
      </w:r>
    </w:p>
    <w:p w14:paraId="4DD18D92">
      <w:pPr>
        <w:pStyle w:val="4"/>
      </w:pPr>
      <w:r>
        <w:t>6.2 回收是“近端矿山”，但受原料和规格约束</w:t>
      </w:r>
    </w:p>
    <w:p w14:paraId="48BEAB09">
      <w:pPr>
        <w:spacing w:after="100" w:line="348" w:lineRule="auto"/>
        <w:jc w:val="both"/>
      </w:pPr>
      <w:r>
        <w:rPr>
          <w:rFonts w:ascii="Arial" w:hAnsi="Arial" w:eastAsia="宋体"/>
          <w:b w:val="0"/>
          <w:i w:val="0"/>
          <w:color w:val="1F2937"/>
          <w:sz w:val="21"/>
        </w:rPr>
        <w:t>IEA认为，扩大回收可以在满足各国气候承诺的情景下，到2050年减少25%—40%的新采矿需求；但回收并不会消除新增矿山和精炼投资。回收价值在于缩短供应链、降低进口暴露并形成应急缓冲。</w:t>
      </w:r>
      <w:r>
        <w:footnoteReference w:id="31"/>
      </w:r>
    </w:p>
    <w:p w14:paraId="6E68C9AD">
      <w:pPr>
        <w:spacing w:after="100" w:line="348" w:lineRule="auto"/>
        <w:jc w:val="both"/>
      </w:pPr>
      <w:r>
        <w:rPr>
          <w:rFonts w:ascii="Arial" w:hAnsi="Arial" w:eastAsia="宋体"/>
          <w:b w:val="0"/>
          <w:i w:val="0"/>
          <w:color w:val="1F2937"/>
          <w:sz w:val="21"/>
        </w:rPr>
        <w:t>回收项目的约束包括废料收集、产品拆解、成分混杂、商业秘密、运输规则和再生材料认证。生产废料在短期最易回收，报废电机和消费电子需要更复杂的拆解体系，新能源汽车电池则受寿命周期影响，真正的大规模退役原料要滞后于销售高峰。</w:t>
      </w:r>
    </w:p>
    <w:p w14:paraId="6EB7D345">
      <w:pPr>
        <w:pStyle w:val="164"/>
        <w:jc w:val="left"/>
      </w:pPr>
      <w:r>
        <w:t>表6-1  替代与韧性工具的时间尺度</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3600"/>
        <w:gridCol w:w="2100"/>
        <w:gridCol w:w="2460"/>
      </w:tblGrid>
      <w:tr w14:paraId="4D06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0" w:type="dxa"/>
            <w:shd w:val="clear" w:color="auto" w:fill="17365D"/>
            <w:tcMar>
              <w:top w:w="90" w:type="dxa"/>
              <w:left w:w="120" w:type="dxa"/>
              <w:bottom w:w="90" w:type="dxa"/>
              <w:right w:w="120" w:type="dxa"/>
            </w:tcMar>
            <w:vAlign w:val="center"/>
          </w:tcPr>
          <w:p w14:paraId="11CB002D">
            <w:pPr>
              <w:spacing w:after="0"/>
              <w:jc w:val="center"/>
            </w:pPr>
            <w:r>
              <w:rPr>
                <w:rFonts w:ascii="Arial" w:hAnsi="Arial" w:eastAsia="微软雅黑"/>
                <w:b/>
                <w:i w:val="0"/>
                <w:color w:val="FFFFFF"/>
                <w:sz w:val="18"/>
              </w:rPr>
              <w:t>时间尺度</w:t>
            </w:r>
          </w:p>
        </w:tc>
        <w:tc>
          <w:tcPr>
            <w:tcW w:w="3600" w:type="dxa"/>
            <w:shd w:val="clear" w:color="auto" w:fill="17365D"/>
            <w:tcMar>
              <w:top w:w="90" w:type="dxa"/>
              <w:left w:w="120" w:type="dxa"/>
              <w:bottom w:w="90" w:type="dxa"/>
              <w:right w:w="120" w:type="dxa"/>
            </w:tcMar>
            <w:vAlign w:val="center"/>
          </w:tcPr>
          <w:p w14:paraId="4AAA9D36">
            <w:pPr>
              <w:spacing w:after="0"/>
              <w:jc w:val="center"/>
            </w:pPr>
            <w:r>
              <w:rPr>
                <w:rFonts w:ascii="Arial" w:hAnsi="Arial" w:eastAsia="微软雅黑"/>
                <w:b/>
                <w:i w:val="0"/>
                <w:color w:val="FFFFFF"/>
                <w:sz w:val="18"/>
              </w:rPr>
              <w:t>主要工具</w:t>
            </w:r>
          </w:p>
        </w:tc>
        <w:tc>
          <w:tcPr>
            <w:tcW w:w="2100" w:type="dxa"/>
            <w:shd w:val="clear" w:color="auto" w:fill="17365D"/>
            <w:tcMar>
              <w:top w:w="90" w:type="dxa"/>
              <w:left w:w="120" w:type="dxa"/>
              <w:bottom w:w="90" w:type="dxa"/>
              <w:right w:w="120" w:type="dxa"/>
            </w:tcMar>
            <w:vAlign w:val="center"/>
          </w:tcPr>
          <w:p w14:paraId="45D6261A">
            <w:pPr>
              <w:spacing w:after="0"/>
              <w:jc w:val="center"/>
            </w:pPr>
            <w:r>
              <w:rPr>
                <w:rFonts w:ascii="Arial" w:hAnsi="Arial" w:eastAsia="微软雅黑"/>
                <w:b/>
                <w:i w:val="0"/>
                <w:color w:val="FFFFFF"/>
                <w:sz w:val="18"/>
              </w:rPr>
              <w:t>作用</w:t>
            </w:r>
          </w:p>
        </w:tc>
        <w:tc>
          <w:tcPr>
            <w:tcW w:w="2460" w:type="dxa"/>
            <w:shd w:val="clear" w:color="auto" w:fill="17365D"/>
            <w:tcMar>
              <w:top w:w="90" w:type="dxa"/>
              <w:left w:w="120" w:type="dxa"/>
              <w:bottom w:w="90" w:type="dxa"/>
              <w:right w:w="120" w:type="dxa"/>
            </w:tcMar>
            <w:vAlign w:val="center"/>
          </w:tcPr>
          <w:p w14:paraId="45F2B665">
            <w:pPr>
              <w:spacing w:after="0"/>
              <w:jc w:val="center"/>
            </w:pPr>
            <w:r>
              <w:rPr>
                <w:rFonts w:ascii="Arial" w:hAnsi="Arial" w:eastAsia="微软雅黑"/>
                <w:b/>
                <w:i w:val="0"/>
                <w:color w:val="FFFFFF"/>
                <w:sz w:val="18"/>
              </w:rPr>
              <w:t>关键限制</w:t>
            </w:r>
          </w:p>
        </w:tc>
      </w:tr>
      <w:tr w14:paraId="1A452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7820664F">
            <w:pPr>
              <w:spacing w:after="0" w:line="276" w:lineRule="auto"/>
              <w:jc w:val="center"/>
            </w:pPr>
            <w:r>
              <w:rPr>
                <w:rFonts w:ascii="Arial" w:hAnsi="Arial" w:eastAsia="宋体"/>
                <w:b w:val="0"/>
                <w:i w:val="0"/>
                <w:color w:val="1F2937"/>
                <w:sz w:val="17"/>
              </w:rPr>
              <w:t>0—2年</w:t>
            </w:r>
          </w:p>
        </w:tc>
        <w:tc>
          <w:tcPr>
            <w:tcW w:w="3600" w:type="dxa"/>
          </w:tcPr>
          <w:p w14:paraId="74D38C41">
            <w:pPr>
              <w:spacing w:after="0" w:line="276" w:lineRule="auto"/>
              <w:jc w:val="left"/>
            </w:pPr>
            <w:r>
              <w:rPr>
                <w:rFonts w:ascii="Arial" w:hAnsi="Arial" w:eastAsia="宋体"/>
                <w:b w:val="0"/>
                <w:i w:val="0"/>
                <w:color w:val="1F2937"/>
                <w:sz w:val="17"/>
              </w:rPr>
              <w:t>库存、许可协调、双源认证、生产废料回收</w:t>
            </w:r>
          </w:p>
        </w:tc>
        <w:tc>
          <w:tcPr>
            <w:tcW w:w="2100" w:type="dxa"/>
          </w:tcPr>
          <w:p w14:paraId="01402EE3">
            <w:pPr>
              <w:spacing w:after="0" w:line="276" w:lineRule="auto"/>
              <w:jc w:val="left"/>
            </w:pPr>
            <w:r>
              <w:rPr>
                <w:rFonts w:ascii="Arial" w:hAnsi="Arial" w:eastAsia="宋体"/>
                <w:b w:val="0"/>
                <w:i w:val="0"/>
                <w:color w:val="1F2937"/>
                <w:sz w:val="17"/>
              </w:rPr>
              <w:t>快速缓冲</w:t>
            </w:r>
          </w:p>
        </w:tc>
        <w:tc>
          <w:tcPr>
            <w:tcW w:w="2460" w:type="dxa"/>
          </w:tcPr>
          <w:p w14:paraId="469785D6">
            <w:pPr>
              <w:spacing w:after="0" w:line="276" w:lineRule="auto"/>
              <w:jc w:val="left"/>
            </w:pPr>
            <w:r>
              <w:rPr>
                <w:rFonts w:ascii="Arial" w:hAnsi="Arial" w:eastAsia="宋体"/>
                <w:b w:val="0"/>
                <w:i w:val="0"/>
                <w:color w:val="1F2937"/>
                <w:sz w:val="17"/>
              </w:rPr>
              <w:t>库存成本、规格不匹配</w:t>
            </w:r>
          </w:p>
        </w:tc>
      </w:tr>
      <w:tr w14:paraId="783C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shd w:val="clear" w:color="auto" w:fill="F3F5F7"/>
          </w:tcPr>
          <w:p w14:paraId="27499813">
            <w:pPr>
              <w:spacing w:after="0" w:line="276" w:lineRule="auto"/>
              <w:jc w:val="center"/>
            </w:pPr>
            <w:r>
              <w:rPr>
                <w:rFonts w:ascii="Arial" w:hAnsi="Arial" w:eastAsia="宋体"/>
                <w:b w:val="0"/>
                <w:i w:val="0"/>
                <w:color w:val="1F2937"/>
                <w:sz w:val="17"/>
              </w:rPr>
              <w:t>2—5年</w:t>
            </w:r>
          </w:p>
        </w:tc>
        <w:tc>
          <w:tcPr>
            <w:tcW w:w="3600" w:type="dxa"/>
            <w:shd w:val="clear" w:color="auto" w:fill="F3F5F7"/>
          </w:tcPr>
          <w:p w14:paraId="1BBAE727">
            <w:pPr>
              <w:spacing w:after="0" w:line="276" w:lineRule="auto"/>
              <w:jc w:val="left"/>
            </w:pPr>
            <w:r>
              <w:rPr>
                <w:rFonts w:ascii="Arial" w:hAnsi="Arial" w:eastAsia="宋体"/>
                <w:b w:val="0"/>
                <w:i w:val="0"/>
                <w:color w:val="1F2937"/>
                <w:sz w:val="17"/>
              </w:rPr>
              <w:t>回收扩产、材料减量、盟友分离/精炼爬坡</w:t>
            </w:r>
          </w:p>
        </w:tc>
        <w:tc>
          <w:tcPr>
            <w:tcW w:w="2100" w:type="dxa"/>
            <w:shd w:val="clear" w:color="auto" w:fill="F3F5F7"/>
          </w:tcPr>
          <w:p w14:paraId="0F188273">
            <w:pPr>
              <w:spacing w:after="0" w:line="276" w:lineRule="auto"/>
              <w:jc w:val="left"/>
            </w:pPr>
            <w:r>
              <w:rPr>
                <w:rFonts w:ascii="Arial" w:hAnsi="Arial" w:eastAsia="宋体"/>
                <w:b w:val="0"/>
                <w:i w:val="0"/>
                <w:color w:val="1F2937"/>
                <w:sz w:val="17"/>
              </w:rPr>
              <w:t>增加可切换供给</w:t>
            </w:r>
          </w:p>
        </w:tc>
        <w:tc>
          <w:tcPr>
            <w:tcW w:w="2460" w:type="dxa"/>
            <w:shd w:val="clear" w:color="auto" w:fill="F3F5F7"/>
          </w:tcPr>
          <w:p w14:paraId="4D6CF569">
            <w:pPr>
              <w:spacing w:after="0" w:line="276" w:lineRule="auto"/>
              <w:jc w:val="left"/>
            </w:pPr>
            <w:r>
              <w:rPr>
                <w:rFonts w:ascii="Arial" w:hAnsi="Arial" w:eastAsia="宋体"/>
                <w:b w:val="0"/>
                <w:i w:val="0"/>
                <w:color w:val="1F2937"/>
                <w:sz w:val="17"/>
              </w:rPr>
              <w:t>原料量、良率、认证</w:t>
            </w:r>
          </w:p>
        </w:tc>
      </w:tr>
      <w:tr w14:paraId="0902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038C8C0B">
            <w:pPr>
              <w:spacing w:after="0" w:line="276" w:lineRule="auto"/>
              <w:jc w:val="center"/>
            </w:pPr>
            <w:r>
              <w:rPr>
                <w:rFonts w:ascii="Arial" w:hAnsi="Arial" w:eastAsia="宋体"/>
                <w:b w:val="0"/>
                <w:i w:val="0"/>
                <w:color w:val="1F2937"/>
                <w:sz w:val="17"/>
              </w:rPr>
              <w:t>5年以上</w:t>
            </w:r>
          </w:p>
        </w:tc>
        <w:tc>
          <w:tcPr>
            <w:tcW w:w="3600" w:type="dxa"/>
          </w:tcPr>
          <w:p w14:paraId="555AF456">
            <w:pPr>
              <w:spacing w:after="0" w:line="276" w:lineRule="auto"/>
              <w:jc w:val="left"/>
            </w:pPr>
            <w:r>
              <w:rPr>
                <w:rFonts w:ascii="Arial" w:hAnsi="Arial" w:eastAsia="宋体"/>
                <w:b w:val="0"/>
                <w:i w:val="0"/>
                <w:color w:val="1F2937"/>
                <w:sz w:val="17"/>
              </w:rPr>
              <w:t>新矿山、全新材料体系、产品重设计</w:t>
            </w:r>
          </w:p>
        </w:tc>
        <w:tc>
          <w:tcPr>
            <w:tcW w:w="2100" w:type="dxa"/>
          </w:tcPr>
          <w:p w14:paraId="7D43831C">
            <w:pPr>
              <w:spacing w:after="0" w:line="276" w:lineRule="auto"/>
              <w:jc w:val="left"/>
            </w:pPr>
            <w:r>
              <w:rPr>
                <w:rFonts w:ascii="Arial" w:hAnsi="Arial" w:eastAsia="宋体"/>
                <w:b w:val="0"/>
                <w:i w:val="0"/>
                <w:color w:val="1F2937"/>
                <w:sz w:val="17"/>
              </w:rPr>
              <w:t>结构性降低依赖</w:t>
            </w:r>
          </w:p>
        </w:tc>
        <w:tc>
          <w:tcPr>
            <w:tcW w:w="2460" w:type="dxa"/>
          </w:tcPr>
          <w:p w14:paraId="10DD1B5A">
            <w:pPr>
              <w:spacing w:after="0" w:line="276" w:lineRule="auto"/>
              <w:jc w:val="left"/>
            </w:pPr>
            <w:r>
              <w:rPr>
                <w:rFonts w:ascii="Arial" w:hAnsi="Arial" w:eastAsia="宋体"/>
                <w:b w:val="0"/>
                <w:i w:val="0"/>
                <w:color w:val="1F2937"/>
                <w:sz w:val="17"/>
              </w:rPr>
              <w:t>资本、技术和市场接受</w:t>
            </w:r>
          </w:p>
        </w:tc>
      </w:tr>
    </w:tbl>
    <w:p w14:paraId="6818506B">
      <w:pPr>
        <w:spacing w:after="20"/>
      </w:pPr>
    </w:p>
    <w:p w14:paraId="0E52C6AE">
      <w:pPr>
        <w:pStyle w:val="3"/>
      </w:pPr>
      <w:r>
        <w:t>7 多边合作：从供应链联盟走向标准化市场</w:t>
      </w:r>
    </w:p>
    <w:p w14:paraId="33B30B28">
      <w:pPr>
        <w:pStyle w:val="4"/>
      </w:pPr>
      <w:r>
        <w:t>7.1 G7：把环境和劳工标准转化为市场条件</w:t>
      </w:r>
    </w:p>
    <w:p w14:paraId="5C561F90">
      <w:pPr>
        <w:spacing w:after="100" w:line="348" w:lineRule="auto"/>
        <w:jc w:val="both"/>
      </w:pPr>
      <w:r>
        <w:rPr>
          <w:rFonts w:ascii="Arial" w:hAnsi="Arial" w:eastAsia="宋体"/>
          <w:b w:val="0"/>
          <w:i w:val="0"/>
          <w:color w:val="1F2937"/>
          <w:sz w:val="21"/>
        </w:rPr>
        <w:t>G7《关键矿产行动计划》提出标准化市场、资本动员和创新三条主线，强调负责任开采的真实成本、可追溯性、当地价值创造和开发金融机构协作。其政策含义是：盟友试图通过标准、融资和承购形成区别于纯现货市场的“安全供应市场”。</w:t>
      </w:r>
      <w:r>
        <w:footnoteReference w:id="32"/>
      </w:r>
    </w:p>
    <w:p w14:paraId="13E1E922">
      <w:pPr>
        <w:pStyle w:val="4"/>
      </w:pPr>
      <w:r>
        <w:t>7.2 Quad：从倡议转向可量化资本工具</w:t>
      </w:r>
    </w:p>
    <w:p w14:paraId="3D3C816B">
      <w:pPr>
        <w:spacing w:after="100" w:line="348" w:lineRule="auto"/>
        <w:jc w:val="both"/>
      </w:pPr>
      <w:r>
        <w:rPr>
          <w:rFonts w:ascii="Arial" w:hAnsi="Arial" w:eastAsia="宋体"/>
          <w:b w:val="0"/>
          <w:i w:val="0"/>
          <w:color w:val="1F2937"/>
          <w:sz w:val="21"/>
        </w:rPr>
        <w:t>2026年Quad框架提出动员最高200亿美元政府与私人支持，覆盖采矿、加工和回收，并列举担保、贷款、股权、保险、补贴、承购和其他商业安排。框架同时关注许可、投资审查、地质调查、价格机制和非市场政策。</w:t>
      </w:r>
      <w:r>
        <w:footnoteReference w:id="33"/>
      </w:r>
    </w:p>
    <w:p w14:paraId="2C52A771">
      <w:pPr>
        <w:pStyle w:val="4"/>
      </w:pPr>
      <w:r>
        <w:t>7.3 联盟的四个执行门槛</w:t>
      </w:r>
    </w:p>
    <w:p w14:paraId="0719D17A">
      <w:pPr>
        <w:pStyle w:val="14"/>
        <w:spacing w:after="60" w:line="312" w:lineRule="auto"/>
        <w:ind w:left="490" w:hanging="288"/>
      </w:pPr>
      <w:r>
        <w:rPr>
          <w:rFonts w:ascii="Arial" w:hAnsi="Arial" w:eastAsia="宋体"/>
          <w:b w:val="0"/>
          <w:i w:val="0"/>
          <w:color w:val="1F2937"/>
          <w:sz w:val="21"/>
        </w:rPr>
        <w:t>规格互认：成员国必须对产品纯度、环境标准、原产地和可追溯数据形成兼容规则。</w:t>
      </w:r>
    </w:p>
    <w:p w14:paraId="793DF526">
      <w:pPr>
        <w:pStyle w:val="14"/>
        <w:spacing w:after="60" w:line="312" w:lineRule="auto"/>
        <w:ind w:left="490" w:hanging="288"/>
      </w:pPr>
      <w:r>
        <w:rPr>
          <w:rFonts w:ascii="Arial" w:hAnsi="Arial" w:eastAsia="宋体"/>
          <w:b w:val="0"/>
          <w:i w:val="0"/>
          <w:color w:val="1F2937"/>
          <w:sz w:val="21"/>
        </w:rPr>
        <w:t>融资协同：开发金融机构需要明确风险分担，避免项目在多个审批体系中重复尽调。</w:t>
      </w:r>
    </w:p>
    <w:p w14:paraId="3703E1C9">
      <w:pPr>
        <w:pStyle w:val="14"/>
        <w:spacing w:after="60" w:line="312" w:lineRule="auto"/>
        <w:ind w:left="490" w:hanging="288"/>
      </w:pPr>
      <w:r>
        <w:rPr>
          <w:rFonts w:ascii="Arial" w:hAnsi="Arial" w:eastAsia="宋体"/>
          <w:b w:val="0"/>
          <w:i w:val="0"/>
          <w:color w:val="1F2937"/>
          <w:sz w:val="21"/>
        </w:rPr>
        <w:t>承购闭环：矿山、加工厂和下游用户的数量、价格和期限必须匹配。</w:t>
      </w:r>
    </w:p>
    <w:p w14:paraId="1162DFBD">
      <w:pPr>
        <w:pStyle w:val="14"/>
        <w:spacing w:after="60" w:line="312" w:lineRule="auto"/>
        <w:ind w:left="490" w:hanging="288"/>
      </w:pPr>
      <w:r>
        <w:rPr>
          <w:rFonts w:ascii="Arial" w:hAnsi="Arial" w:eastAsia="宋体"/>
          <w:b w:val="0"/>
          <w:i w:val="0"/>
          <w:color w:val="1F2937"/>
          <w:sz w:val="21"/>
        </w:rPr>
        <w:t>物流冗余：港口、危险品运输、保险和紧急调拨安排必须能在冲击时运行。</w:t>
      </w:r>
    </w:p>
    <w:p w14:paraId="1C6F540B">
      <w:pPr>
        <w:spacing w:after="100" w:line="348" w:lineRule="auto"/>
        <w:jc w:val="both"/>
      </w:pPr>
      <w:r>
        <w:rPr>
          <w:rFonts w:ascii="Arial" w:hAnsi="Arial" w:eastAsia="宋体"/>
          <w:b w:val="0"/>
          <w:i w:val="0"/>
          <w:color w:val="1F2937"/>
          <w:sz w:val="21"/>
        </w:rPr>
        <w:t>加拿大主导的关键矿产韧性与生产联盟进一步强调以主权工具加速项目、应对市场集中和操纵。它反映了联盟合作正在从外交声明转向项目筛选与市场干预。</w:t>
      </w:r>
      <w:r>
        <w:footnoteReference w:id="34"/>
      </w:r>
    </w:p>
    <w:tbl>
      <w:tblPr>
        <w:tblStyle w:val="32"/>
        <w:tblW w:w="9360" w:type="dxa"/>
        <w:tblInd w:w="120" w:type="dxa"/>
        <w:tblLayout w:type="fixed"/>
        <w:tblCellMar>
          <w:top w:w="0" w:type="dxa"/>
          <w:left w:w="108" w:type="dxa"/>
          <w:bottom w:w="0" w:type="dxa"/>
          <w:right w:w="108" w:type="dxa"/>
        </w:tblCellMar>
      </w:tblPr>
      <w:tblGrid>
        <w:gridCol w:w="9360"/>
      </w:tblGrid>
      <w:tr w14:paraId="774C0178">
        <w:tblPrEx>
          <w:tblCellMar>
            <w:top w:w="0" w:type="dxa"/>
            <w:left w:w="108" w:type="dxa"/>
            <w:bottom w:w="0" w:type="dxa"/>
            <w:right w:w="108" w:type="dxa"/>
          </w:tblCellMar>
        </w:tblPrEx>
        <w:tc>
          <w:tcPr>
            <w:tcW w:w="9360" w:type="dxa"/>
            <w:shd w:val="clear" w:color="auto" w:fill="EAF1F8"/>
            <w:tcMar>
              <w:top w:w="90" w:type="dxa"/>
              <w:left w:w="120" w:type="dxa"/>
              <w:bottom w:w="90" w:type="dxa"/>
              <w:right w:w="120" w:type="dxa"/>
            </w:tcMar>
            <w:vAlign w:val="center"/>
          </w:tcPr>
          <w:p w14:paraId="6A8D87AA">
            <w:pPr>
              <w:spacing w:after="60"/>
            </w:pPr>
            <w:r>
              <w:rPr>
                <w:rFonts w:ascii="Arial" w:hAnsi="Arial" w:eastAsia="微软雅黑"/>
                <w:b/>
                <w:i w:val="0"/>
                <w:color w:val="17365D"/>
                <w:sz w:val="21"/>
              </w:rPr>
              <w:t>独立判断：联盟数量不是韧性指标</w:t>
            </w:r>
          </w:p>
          <w:p w14:paraId="4CA7585C">
            <w:pPr>
              <w:spacing w:after="0" w:line="324" w:lineRule="auto"/>
            </w:pPr>
            <w:r>
              <w:rPr>
                <w:rFonts w:ascii="Arial" w:hAnsi="Arial" w:eastAsia="宋体"/>
                <w:b w:val="0"/>
                <w:i w:val="0"/>
                <w:color w:val="1F2937"/>
                <w:sz w:val="20"/>
              </w:rPr>
              <w:t>如果多个联盟仍支持同一批矿山、依赖同一分离技术、争夺同一承购客户，名义合作网络会产生重复计算。应以新增合格产能、物流替代路径和可执行承购量衡量联盟成效。</w:t>
            </w:r>
          </w:p>
        </w:tc>
      </w:tr>
    </w:tbl>
    <w:p w14:paraId="6FD547E1">
      <w:pPr>
        <w:spacing w:after="20"/>
      </w:pPr>
    </w:p>
    <w:p w14:paraId="06013E39">
      <w:pPr>
        <w:pStyle w:val="3"/>
      </w:pPr>
      <w:r>
        <w:t>8 企业供应链重组：从采购多元化到资本共担</w:t>
      </w:r>
    </w:p>
    <w:p w14:paraId="1D6B6DDF">
      <w:pPr>
        <w:pStyle w:val="4"/>
      </w:pPr>
      <w:r>
        <w:t>8.1 企业行为的四个层级</w:t>
      </w:r>
    </w:p>
    <w:p w14:paraId="5A35C8C9">
      <w:pPr>
        <w:spacing w:after="100" w:line="348" w:lineRule="auto"/>
        <w:jc w:val="both"/>
      </w:pPr>
      <w:r>
        <w:rPr>
          <w:rFonts w:ascii="Arial" w:hAnsi="Arial" w:eastAsia="宋体"/>
          <w:b w:val="0"/>
          <w:i w:val="0"/>
          <w:color w:val="1F2937"/>
          <w:sz w:val="21"/>
        </w:rPr>
        <w:t>第一层是库存和订单调整，速度快但成本高；第二层是双源认证和供应商替换，需要技术与质量验证；第三层是长期承购、预付款和股权投资，企业开始承担上游项目风险；第四层是产品重新设计和材料替代，改变需求结构但周期最长。</w:t>
      </w:r>
    </w:p>
    <w:p w14:paraId="0349281A">
      <w:pPr>
        <w:spacing w:after="100" w:line="348" w:lineRule="auto"/>
        <w:jc w:val="both"/>
      </w:pPr>
      <w:r>
        <w:rPr>
          <w:rFonts w:ascii="Arial" w:hAnsi="Arial" w:eastAsia="宋体"/>
          <w:b w:val="0"/>
          <w:i w:val="0"/>
          <w:color w:val="1F2937"/>
          <w:sz w:val="21"/>
        </w:rPr>
        <w:t>企业不应把“供应商国别”作为唯一风险字段。同一企业可能在不同国家拥有矿山、分离、仓储和销售实体；同一货物也可能经过多次转运。更有解释力的画像应包括实际控制、生产地、加工地、收款主体、合同承担者、最终用户和许可证责任人。</w:t>
      </w:r>
    </w:p>
    <w:p w14:paraId="4FD01A9E">
      <w:pPr>
        <w:pStyle w:val="4"/>
      </w:pPr>
      <w:r>
        <w:t>8.2 政府资本改变企业边界</w:t>
      </w:r>
    </w:p>
    <w:p w14:paraId="2698D318">
      <w:pPr>
        <w:spacing w:after="100" w:line="348" w:lineRule="auto"/>
        <w:jc w:val="both"/>
      </w:pPr>
      <w:r>
        <w:rPr>
          <w:rFonts w:ascii="Arial" w:hAnsi="Arial" w:eastAsia="宋体"/>
          <w:b w:val="0"/>
          <w:i w:val="0"/>
          <w:color w:val="1F2937"/>
          <w:sz w:val="21"/>
        </w:rPr>
        <w:t>MP Materials案例表明，政府贷款、价格保护和长期承购可以同时改变企业的融资成本、销售去向和扩产节奏。企业由普通商品生产商转变为承担国家安全任务的政策载体，政府则从补贴者转为价格和需求风险的共同承担者。</w:t>
      </w:r>
    </w:p>
    <w:p w14:paraId="4B71956F">
      <w:pPr>
        <w:spacing w:after="100" w:line="348" w:lineRule="auto"/>
        <w:jc w:val="both"/>
      </w:pPr>
      <w:r>
        <w:rPr>
          <w:rFonts w:ascii="Arial" w:hAnsi="Arial" w:eastAsia="宋体"/>
          <w:b w:val="0"/>
          <w:i w:val="0"/>
          <w:color w:val="1F2937"/>
          <w:sz w:val="21"/>
        </w:rPr>
        <w:t>这种模式对竞争政策和贸易规则提出新问题：受支持产品可能长期高于国际现货价格，下游企业需要决定是否支付安全溢价；政府还需防止保底机制掩盖成本失控。评价项目时，应同时披露财政承诺、产量义务、承购期限和超额收益分享。</w:t>
      </w:r>
    </w:p>
    <w:p w14:paraId="3D46B76D">
      <w:pPr>
        <w:pStyle w:val="164"/>
        <w:jc w:val="left"/>
      </w:pPr>
      <w:r>
        <w:t>表8-1  企业供应链重组工具与评价指标</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3000"/>
        <w:gridCol w:w="2300"/>
        <w:gridCol w:w="2760"/>
      </w:tblGrid>
      <w:tr w14:paraId="666E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00" w:type="dxa"/>
            <w:shd w:val="clear" w:color="auto" w:fill="17365D"/>
            <w:tcMar>
              <w:top w:w="90" w:type="dxa"/>
              <w:left w:w="120" w:type="dxa"/>
              <w:bottom w:w="90" w:type="dxa"/>
              <w:right w:w="120" w:type="dxa"/>
            </w:tcMar>
            <w:vAlign w:val="center"/>
          </w:tcPr>
          <w:p w14:paraId="298C66C1">
            <w:pPr>
              <w:spacing w:after="0"/>
              <w:jc w:val="center"/>
            </w:pPr>
            <w:r>
              <w:rPr>
                <w:rFonts w:ascii="Arial" w:hAnsi="Arial" w:eastAsia="微软雅黑"/>
                <w:b/>
                <w:i w:val="0"/>
                <w:color w:val="FFFFFF"/>
                <w:sz w:val="18"/>
              </w:rPr>
              <w:t>企业层面</w:t>
            </w:r>
          </w:p>
        </w:tc>
        <w:tc>
          <w:tcPr>
            <w:tcW w:w="3000" w:type="dxa"/>
            <w:shd w:val="clear" w:color="auto" w:fill="17365D"/>
            <w:tcMar>
              <w:top w:w="90" w:type="dxa"/>
              <w:left w:w="120" w:type="dxa"/>
              <w:bottom w:w="90" w:type="dxa"/>
              <w:right w:w="120" w:type="dxa"/>
            </w:tcMar>
            <w:vAlign w:val="center"/>
          </w:tcPr>
          <w:p w14:paraId="4952438D">
            <w:pPr>
              <w:spacing w:after="0"/>
              <w:jc w:val="center"/>
            </w:pPr>
            <w:r>
              <w:rPr>
                <w:rFonts w:ascii="Arial" w:hAnsi="Arial" w:eastAsia="微软雅黑"/>
                <w:b/>
                <w:i w:val="0"/>
                <w:color w:val="FFFFFF"/>
                <w:sz w:val="18"/>
              </w:rPr>
              <w:t>典型动作</w:t>
            </w:r>
          </w:p>
        </w:tc>
        <w:tc>
          <w:tcPr>
            <w:tcW w:w="2300" w:type="dxa"/>
            <w:shd w:val="clear" w:color="auto" w:fill="17365D"/>
            <w:tcMar>
              <w:top w:w="90" w:type="dxa"/>
              <w:left w:w="120" w:type="dxa"/>
              <w:bottom w:w="90" w:type="dxa"/>
              <w:right w:w="120" w:type="dxa"/>
            </w:tcMar>
            <w:vAlign w:val="center"/>
          </w:tcPr>
          <w:p w14:paraId="42606CCD">
            <w:pPr>
              <w:spacing w:after="0"/>
              <w:jc w:val="center"/>
            </w:pPr>
            <w:r>
              <w:rPr>
                <w:rFonts w:ascii="Arial" w:hAnsi="Arial" w:eastAsia="微软雅黑"/>
                <w:b/>
                <w:i w:val="0"/>
                <w:color w:val="FFFFFF"/>
                <w:sz w:val="18"/>
              </w:rPr>
              <w:t>目的</w:t>
            </w:r>
          </w:p>
        </w:tc>
        <w:tc>
          <w:tcPr>
            <w:tcW w:w="2760" w:type="dxa"/>
            <w:shd w:val="clear" w:color="auto" w:fill="17365D"/>
            <w:tcMar>
              <w:top w:w="90" w:type="dxa"/>
              <w:left w:w="120" w:type="dxa"/>
              <w:bottom w:w="90" w:type="dxa"/>
              <w:right w:w="120" w:type="dxa"/>
            </w:tcMar>
            <w:vAlign w:val="center"/>
          </w:tcPr>
          <w:p w14:paraId="4F3FF789">
            <w:pPr>
              <w:spacing w:after="0"/>
              <w:jc w:val="center"/>
            </w:pPr>
            <w:r>
              <w:rPr>
                <w:rFonts w:ascii="Arial" w:hAnsi="Arial" w:eastAsia="微软雅黑"/>
                <w:b/>
                <w:i w:val="0"/>
                <w:color w:val="FFFFFF"/>
                <w:sz w:val="18"/>
              </w:rPr>
              <w:t>关键绩效指标</w:t>
            </w:r>
          </w:p>
        </w:tc>
      </w:tr>
      <w:tr w14:paraId="1A00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468C25C">
            <w:pPr>
              <w:spacing w:after="0" w:line="276" w:lineRule="auto"/>
              <w:jc w:val="center"/>
            </w:pPr>
            <w:r>
              <w:rPr>
                <w:rFonts w:ascii="Arial" w:hAnsi="Arial" w:eastAsia="宋体"/>
                <w:b w:val="0"/>
                <w:i w:val="0"/>
                <w:color w:val="1F2937"/>
                <w:sz w:val="17"/>
              </w:rPr>
              <w:t>采购</w:t>
            </w:r>
          </w:p>
        </w:tc>
        <w:tc>
          <w:tcPr>
            <w:tcW w:w="3000" w:type="dxa"/>
          </w:tcPr>
          <w:p w14:paraId="1929E841">
            <w:pPr>
              <w:spacing w:after="0" w:line="276" w:lineRule="auto"/>
              <w:jc w:val="left"/>
            </w:pPr>
            <w:r>
              <w:rPr>
                <w:rFonts w:ascii="Arial" w:hAnsi="Arial" w:eastAsia="宋体"/>
                <w:b w:val="0"/>
                <w:i w:val="0"/>
                <w:color w:val="1F2937"/>
                <w:sz w:val="17"/>
              </w:rPr>
              <w:t>双源/多源、库存、替代规格</w:t>
            </w:r>
          </w:p>
        </w:tc>
        <w:tc>
          <w:tcPr>
            <w:tcW w:w="2300" w:type="dxa"/>
          </w:tcPr>
          <w:p w14:paraId="4FA0B8A6">
            <w:pPr>
              <w:spacing w:after="0" w:line="276" w:lineRule="auto"/>
              <w:jc w:val="left"/>
            </w:pPr>
            <w:r>
              <w:rPr>
                <w:rFonts w:ascii="Arial" w:hAnsi="Arial" w:eastAsia="宋体"/>
                <w:b w:val="0"/>
                <w:i w:val="0"/>
                <w:color w:val="1F2937"/>
                <w:sz w:val="17"/>
              </w:rPr>
              <w:t>供应连续性</w:t>
            </w:r>
          </w:p>
        </w:tc>
        <w:tc>
          <w:tcPr>
            <w:tcW w:w="2760" w:type="dxa"/>
          </w:tcPr>
          <w:p w14:paraId="6DCB4EDC">
            <w:pPr>
              <w:spacing w:after="0" w:line="276" w:lineRule="auto"/>
              <w:jc w:val="left"/>
            </w:pPr>
            <w:r>
              <w:rPr>
                <w:rFonts w:ascii="Arial" w:hAnsi="Arial" w:eastAsia="宋体"/>
                <w:b w:val="0"/>
                <w:i w:val="0"/>
                <w:color w:val="1F2937"/>
                <w:sz w:val="17"/>
              </w:rPr>
              <w:t>库存天数、合格供应商数</w:t>
            </w:r>
          </w:p>
        </w:tc>
      </w:tr>
      <w:tr w14:paraId="0EA7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shd w:val="clear" w:color="auto" w:fill="F3F5F7"/>
          </w:tcPr>
          <w:p w14:paraId="328CFF7A">
            <w:pPr>
              <w:spacing w:after="0" w:line="276" w:lineRule="auto"/>
              <w:jc w:val="center"/>
            </w:pPr>
            <w:r>
              <w:rPr>
                <w:rFonts w:ascii="Arial" w:hAnsi="Arial" w:eastAsia="宋体"/>
                <w:b w:val="0"/>
                <w:i w:val="0"/>
                <w:color w:val="1F2937"/>
                <w:sz w:val="17"/>
              </w:rPr>
              <w:t>合同</w:t>
            </w:r>
          </w:p>
        </w:tc>
        <w:tc>
          <w:tcPr>
            <w:tcW w:w="3000" w:type="dxa"/>
            <w:shd w:val="clear" w:color="auto" w:fill="F3F5F7"/>
          </w:tcPr>
          <w:p w14:paraId="0A4EAE12">
            <w:pPr>
              <w:spacing w:after="0" w:line="276" w:lineRule="auto"/>
              <w:jc w:val="left"/>
            </w:pPr>
            <w:r>
              <w:rPr>
                <w:rFonts w:ascii="Arial" w:hAnsi="Arial" w:eastAsia="宋体"/>
                <w:b w:val="0"/>
                <w:i w:val="0"/>
                <w:color w:val="1F2937"/>
                <w:sz w:val="17"/>
              </w:rPr>
              <w:t>长期承购、价格公式、最低量</w:t>
            </w:r>
          </w:p>
        </w:tc>
        <w:tc>
          <w:tcPr>
            <w:tcW w:w="2300" w:type="dxa"/>
            <w:shd w:val="clear" w:color="auto" w:fill="F3F5F7"/>
          </w:tcPr>
          <w:p w14:paraId="1AA82529">
            <w:pPr>
              <w:spacing w:after="0" w:line="276" w:lineRule="auto"/>
              <w:jc w:val="left"/>
            </w:pPr>
            <w:r>
              <w:rPr>
                <w:rFonts w:ascii="Arial" w:hAnsi="Arial" w:eastAsia="宋体"/>
                <w:b w:val="0"/>
                <w:i w:val="0"/>
                <w:color w:val="1F2937"/>
                <w:sz w:val="17"/>
              </w:rPr>
              <w:t>需求可融资性</w:t>
            </w:r>
          </w:p>
        </w:tc>
        <w:tc>
          <w:tcPr>
            <w:tcW w:w="2760" w:type="dxa"/>
            <w:shd w:val="clear" w:color="auto" w:fill="F3F5F7"/>
          </w:tcPr>
          <w:p w14:paraId="3C8E7C10">
            <w:pPr>
              <w:spacing w:after="0" w:line="276" w:lineRule="auto"/>
              <w:jc w:val="left"/>
            </w:pPr>
            <w:r>
              <w:rPr>
                <w:rFonts w:ascii="Arial" w:hAnsi="Arial" w:eastAsia="宋体"/>
                <w:b w:val="0"/>
                <w:i w:val="0"/>
                <w:color w:val="1F2937"/>
                <w:sz w:val="17"/>
              </w:rPr>
              <w:t>承购覆盖率、终止条款</w:t>
            </w:r>
          </w:p>
        </w:tc>
      </w:tr>
      <w:tr w14:paraId="094B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53BE0F2F">
            <w:pPr>
              <w:spacing w:after="0" w:line="276" w:lineRule="auto"/>
              <w:jc w:val="center"/>
            </w:pPr>
            <w:r>
              <w:rPr>
                <w:rFonts w:ascii="Arial" w:hAnsi="Arial" w:eastAsia="宋体"/>
                <w:b w:val="0"/>
                <w:i w:val="0"/>
                <w:color w:val="1F2937"/>
                <w:sz w:val="17"/>
              </w:rPr>
              <w:t>资本</w:t>
            </w:r>
          </w:p>
        </w:tc>
        <w:tc>
          <w:tcPr>
            <w:tcW w:w="3000" w:type="dxa"/>
          </w:tcPr>
          <w:p w14:paraId="45EE755A">
            <w:pPr>
              <w:spacing w:after="0" w:line="276" w:lineRule="auto"/>
              <w:jc w:val="left"/>
            </w:pPr>
            <w:r>
              <w:rPr>
                <w:rFonts w:ascii="Arial" w:hAnsi="Arial" w:eastAsia="宋体"/>
                <w:b w:val="0"/>
                <w:i w:val="0"/>
                <w:color w:val="1F2937"/>
                <w:sz w:val="17"/>
              </w:rPr>
              <w:t>股权、预付款、共同投资</w:t>
            </w:r>
          </w:p>
        </w:tc>
        <w:tc>
          <w:tcPr>
            <w:tcW w:w="2300" w:type="dxa"/>
          </w:tcPr>
          <w:p w14:paraId="31414115">
            <w:pPr>
              <w:spacing w:after="0" w:line="276" w:lineRule="auto"/>
              <w:jc w:val="left"/>
            </w:pPr>
            <w:r>
              <w:rPr>
                <w:rFonts w:ascii="Arial" w:hAnsi="Arial" w:eastAsia="宋体"/>
                <w:b w:val="0"/>
                <w:i w:val="0"/>
                <w:color w:val="1F2937"/>
                <w:sz w:val="17"/>
              </w:rPr>
              <w:t>项目控制与优先供应</w:t>
            </w:r>
          </w:p>
        </w:tc>
        <w:tc>
          <w:tcPr>
            <w:tcW w:w="2760" w:type="dxa"/>
          </w:tcPr>
          <w:p w14:paraId="5D40A7F8">
            <w:pPr>
              <w:spacing w:after="0" w:line="276" w:lineRule="auto"/>
              <w:jc w:val="left"/>
            </w:pPr>
            <w:r>
              <w:rPr>
                <w:rFonts w:ascii="Arial" w:hAnsi="Arial" w:eastAsia="宋体"/>
                <w:b w:val="0"/>
                <w:i w:val="0"/>
                <w:color w:val="1F2937"/>
                <w:sz w:val="17"/>
              </w:rPr>
              <w:t>资金到位、治理权、份额</w:t>
            </w:r>
          </w:p>
        </w:tc>
      </w:tr>
      <w:tr w14:paraId="1C7B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shd w:val="clear" w:color="auto" w:fill="F3F5F7"/>
          </w:tcPr>
          <w:p w14:paraId="64F53703">
            <w:pPr>
              <w:spacing w:after="0" w:line="276" w:lineRule="auto"/>
              <w:jc w:val="center"/>
            </w:pPr>
            <w:r>
              <w:rPr>
                <w:rFonts w:ascii="Arial" w:hAnsi="Arial" w:eastAsia="宋体"/>
                <w:b w:val="0"/>
                <w:i w:val="0"/>
                <w:color w:val="1F2937"/>
                <w:sz w:val="17"/>
              </w:rPr>
              <w:t>技术</w:t>
            </w:r>
          </w:p>
        </w:tc>
        <w:tc>
          <w:tcPr>
            <w:tcW w:w="3000" w:type="dxa"/>
            <w:shd w:val="clear" w:color="auto" w:fill="F3F5F7"/>
          </w:tcPr>
          <w:p w14:paraId="2B5B949F">
            <w:pPr>
              <w:spacing w:after="0" w:line="276" w:lineRule="auto"/>
              <w:jc w:val="left"/>
            </w:pPr>
            <w:r>
              <w:rPr>
                <w:rFonts w:ascii="Arial" w:hAnsi="Arial" w:eastAsia="宋体"/>
                <w:b w:val="0"/>
                <w:i w:val="0"/>
                <w:color w:val="1F2937"/>
                <w:sz w:val="17"/>
              </w:rPr>
              <w:t>减量、替代、产品重设计</w:t>
            </w:r>
          </w:p>
        </w:tc>
        <w:tc>
          <w:tcPr>
            <w:tcW w:w="2300" w:type="dxa"/>
            <w:shd w:val="clear" w:color="auto" w:fill="F3F5F7"/>
          </w:tcPr>
          <w:p w14:paraId="109F9051">
            <w:pPr>
              <w:spacing w:after="0" w:line="276" w:lineRule="auto"/>
              <w:jc w:val="left"/>
            </w:pPr>
            <w:r>
              <w:rPr>
                <w:rFonts w:ascii="Arial" w:hAnsi="Arial" w:eastAsia="宋体"/>
                <w:b w:val="0"/>
                <w:i w:val="0"/>
                <w:color w:val="1F2937"/>
                <w:sz w:val="17"/>
              </w:rPr>
              <w:t>结构性降低需求</w:t>
            </w:r>
          </w:p>
        </w:tc>
        <w:tc>
          <w:tcPr>
            <w:tcW w:w="2760" w:type="dxa"/>
            <w:shd w:val="clear" w:color="auto" w:fill="F3F5F7"/>
          </w:tcPr>
          <w:p w14:paraId="7A95DE74">
            <w:pPr>
              <w:spacing w:after="0" w:line="276" w:lineRule="auto"/>
              <w:jc w:val="left"/>
            </w:pPr>
            <w:r>
              <w:rPr>
                <w:rFonts w:ascii="Arial" w:hAnsi="Arial" w:eastAsia="宋体"/>
                <w:b w:val="0"/>
                <w:i w:val="0"/>
                <w:color w:val="1F2937"/>
                <w:sz w:val="17"/>
              </w:rPr>
              <w:t>性能、认证、单位用量</w:t>
            </w:r>
          </w:p>
        </w:tc>
      </w:tr>
      <w:tr w14:paraId="6C64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Pr>
          <w:p w14:paraId="211D5471">
            <w:pPr>
              <w:spacing w:after="0" w:line="276" w:lineRule="auto"/>
              <w:jc w:val="center"/>
            </w:pPr>
            <w:r>
              <w:rPr>
                <w:rFonts w:ascii="Arial" w:hAnsi="Arial" w:eastAsia="宋体"/>
                <w:b w:val="0"/>
                <w:i w:val="0"/>
                <w:color w:val="1F2937"/>
                <w:sz w:val="17"/>
              </w:rPr>
              <w:t>合规</w:t>
            </w:r>
          </w:p>
        </w:tc>
        <w:tc>
          <w:tcPr>
            <w:tcW w:w="3000" w:type="dxa"/>
          </w:tcPr>
          <w:p w14:paraId="6D4ACC84">
            <w:pPr>
              <w:spacing w:after="0" w:line="276" w:lineRule="auto"/>
              <w:jc w:val="left"/>
            </w:pPr>
            <w:r>
              <w:rPr>
                <w:rFonts w:ascii="Arial" w:hAnsi="Arial" w:eastAsia="宋体"/>
                <w:b w:val="0"/>
                <w:i w:val="0"/>
                <w:color w:val="1F2937"/>
                <w:sz w:val="17"/>
              </w:rPr>
              <w:t>分类、许可、最终用户、追溯</w:t>
            </w:r>
          </w:p>
        </w:tc>
        <w:tc>
          <w:tcPr>
            <w:tcW w:w="2300" w:type="dxa"/>
          </w:tcPr>
          <w:p w14:paraId="2375A8B3">
            <w:pPr>
              <w:spacing w:after="0" w:line="276" w:lineRule="auto"/>
              <w:jc w:val="left"/>
            </w:pPr>
            <w:r>
              <w:rPr>
                <w:rFonts w:ascii="Arial" w:hAnsi="Arial" w:eastAsia="宋体"/>
                <w:b w:val="0"/>
                <w:i w:val="0"/>
                <w:color w:val="1F2937"/>
                <w:sz w:val="17"/>
              </w:rPr>
              <w:t>降低执法与交付风险</w:t>
            </w:r>
          </w:p>
        </w:tc>
        <w:tc>
          <w:tcPr>
            <w:tcW w:w="2760" w:type="dxa"/>
          </w:tcPr>
          <w:p w14:paraId="23E64AEA">
            <w:pPr>
              <w:spacing w:after="0" w:line="276" w:lineRule="auto"/>
              <w:jc w:val="left"/>
            </w:pPr>
            <w:r>
              <w:rPr>
                <w:rFonts w:ascii="Arial" w:hAnsi="Arial" w:eastAsia="宋体"/>
                <w:b w:val="0"/>
                <w:i w:val="0"/>
                <w:color w:val="1F2937"/>
                <w:sz w:val="17"/>
              </w:rPr>
              <w:t>单证完整率、异常闭环</w:t>
            </w:r>
          </w:p>
        </w:tc>
      </w:tr>
    </w:tbl>
    <w:p w14:paraId="56E2789F">
      <w:pPr>
        <w:spacing w:after="20"/>
      </w:pPr>
    </w:p>
    <w:p w14:paraId="77A9C76B">
      <w:pPr>
        <w:pStyle w:val="3"/>
      </w:pPr>
      <w:r>
        <w:t>9 市场影响：从单一价格叙事转向多变量传导</w:t>
      </w:r>
    </w:p>
    <w:p w14:paraId="47142187">
      <w:pPr>
        <w:pStyle w:val="4"/>
      </w:pPr>
      <w:r>
        <w:t>9.1 价格、数量和交期必须分开观察</w:t>
      </w:r>
    </w:p>
    <w:p w14:paraId="02885974">
      <w:pPr>
        <w:spacing w:after="100" w:line="348" w:lineRule="auto"/>
        <w:jc w:val="both"/>
      </w:pPr>
      <w:r>
        <w:rPr>
          <w:rFonts w:ascii="Arial" w:hAnsi="Arial" w:eastAsia="宋体"/>
          <w:b w:val="0"/>
          <w:i w:val="0"/>
          <w:color w:val="1F2937"/>
          <w:sz w:val="21"/>
        </w:rPr>
        <w:t>出口管制可能同时改变出口量、审批时间、库存、区域价差和买方结构，但这些变量也受需求周期、汇率、企业去库存和新增供给影响。专业评估应建立公告前基线、对照产品和事件窗口，不能把公告后所有变化都归因于政策。</w:t>
      </w:r>
    </w:p>
    <w:p w14:paraId="39A37502">
      <w:pPr>
        <w:spacing w:after="100" w:line="348" w:lineRule="auto"/>
        <w:jc w:val="both"/>
      </w:pPr>
      <w:r>
        <w:rPr>
          <w:rFonts w:ascii="Arial" w:hAnsi="Arial" w:eastAsia="宋体"/>
          <w:b w:val="0"/>
          <w:i w:val="0"/>
          <w:color w:val="1F2937"/>
          <w:sz w:val="21"/>
        </w:rPr>
        <w:t>IEA数据显示，2024年锂需求增长接近30%，镍、钴、石墨和稀土需求增长约6%—8%，但大规模新增供应使多种电池金属价格下降。这说明“战略重要性上升”可以与“现货价格下跌”同时发生，低价甚至可能增加中长期供应集中风险。</w:t>
      </w:r>
    </w:p>
    <w:p w14:paraId="2F4B390B">
      <w:pPr>
        <w:spacing w:after="100" w:line="348" w:lineRule="auto"/>
        <w:jc w:val="both"/>
      </w:pPr>
      <w:r>
        <w:rPr>
          <w:rFonts w:ascii="Arial" w:hAnsi="Arial" w:eastAsia="宋体"/>
          <w:b w:val="0"/>
          <w:i w:val="0"/>
          <w:color w:val="1F2937"/>
          <w:sz w:val="21"/>
        </w:rPr>
        <w:t>在稀土领域，2025年出口许可冲击使部分进口市场价格显著高于中国市场，并造成汽车企业阶段性供应困难；但随后许可证发放和出口恢复说明，市场影响取决于许可节奏而非简单禁运。</w:t>
      </w:r>
      <w:r>
        <w:footnoteReference w:id="35"/>
      </w:r>
    </w:p>
    <w:p w14:paraId="2431F399">
      <w:pPr>
        <w:pStyle w:val="4"/>
      </w:pPr>
      <w:r>
        <w:t>9.2 建议采用四组量化指标</w:t>
      </w:r>
    </w:p>
    <w:p w14:paraId="6D2E0D5C">
      <w:pPr>
        <w:pStyle w:val="164"/>
        <w:jc w:val="left"/>
      </w:pPr>
      <w:r>
        <w:t>表9-1  关键矿产政策影响量化框架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900"/>
        <w:gridCol w:w="2760"/>
      </w:tblGrid>
      <w:tr w14:paraId="743E1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0" w:type="dxa"/>
            <w:shd w:val="clear" w:color="auto" w:fill="17365D"/>
            <w:tcMar>
              <w:top w:w="90" w:type="dxa"/>
              <w:left w:w="120" w:type="dxa"/>
              <w:bottom w:w="90" w:type="dxa"/>
              <w:right w:w="120" w:type="dxa"/>
            </w:tcMar>
            <w:vAlign w:val="center"/>
          </w:tcPr>
          <w:p w14:paraId="454F5E28">
            <w:pPr>
              <w:spacing w:after="0"/>
              <w:jc w:val="center"/>
            </w:pPr>
            <w:r>
              <w:rPr>
                <w:rFonts w:ascii="Arial" w:hAnsi="Arial" w:eastAsia="微软雅黑"/>
                <w:b/>
                <w:i w:val="0"/>
                <w:color w:val="FFFFFF"/>
                <w:sz w:val="18"/>
              </w:rPr>
              <w:t>指标组</w:t>
            </w:r>
          </w:p>
        </w:tc>
        <w:tc>
          <w:tcPr>
            <w:tcW w:w="4900" w:type="dxa"/>
            <w:shd w:val="clear" w:color="auto" w:fill="17365D"/>
            <w:tcMar>
              <w:top w:w="90" w:type="dxa"/>
              <w:left w:w="120" w:type="dxa"/>
              <w:bottom w:w="90" w:type="dxa"/>
              <w:right w:w="120" w:type="dxa"/>
            </w:tcMar>
            <w:vAlign w:val="center"/>
          </w:tcPr>
          <w:p w14:paraId="2C9F54CA">
            <w:pPr>
              <w:spacing w:after="0"/>
              <w:jc w:val="center"/>
            </w:pPr>
            <w:r>
              <w:rPr>
                <w:rFonts w:ascii="Arial" w:hAnsi="Arial" w:eastAsia="微软雅黑"/>
                <w:b/>
                <w:i w:val="0"/>
                <w:color w:val="FFFFFF"/>
                <w:sz w:val="18"/>
              </w:rPr>
              <w:t>建议字段</w:t>
            </w:r>
          </w:p>
        </w:tc>
        <w:tc>
          <w:tcPr>
            <w:tcW w:w="2760" w:type="dxa"/>
            <w:shd w:val="clear" w:color="auto" w:fill="17365D"/>
            <w:tcMar>
              <w:top w:w="90" w:type="dxa"/>
              <w:left w:w="120" w:type="dxa"/>
              <w:bottom w:w="90" w:type="dxa"/>
              <w:right w:w="120" w:type="dxa"/>
            </w:tcMar>
            <w:vAlign w:val="center"/>
          </w:tcPr>
          <w:p w14:paraId="4907FD74">
            <w:pPr>
              <w:spacing w:after="0"/>
              <w:jc w:val="center"/>
            </w:pPr>
            <w:r>
              <w:rPr>
                <w:rFonts w:ascii="Arial" w:hAnsi="Arial" w:eastAsia="微软雅黑"/>
                <w:b/>
                <w:i w:val="0"/>
                <w:color w:val="FFFFFF"/>
                <w:sz w:val="18"/>
              </w:rPr>
              <w:t>解释目标</w:t>
            </w:r>
          </w:p>
        </w:tc>
      </w:tr>
      <w:tr w14:paraId="459C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54F44CB9">
            <w:pPr>
              <w:spacing w:after="0" w:line="276" w:lineRule="auto"/>
              <w:jc w:val="center"/>
            </w:pPr>
            <w:r>
              <w:rPr>
                <w:rFonts w:ascii="Arial" w:hAnsi="Arial" w:eastAsia="宋体"/>
                <w:b w:val="0"/>
                <w:i w:val="0"/>
                <w:color w:val="1F2937"/>
                <w:sz w:val="17"/>
              </w:rPr>
              <w:t>监管可得性</w:t>
            </w:r>
          </w:p>
        </w:tc>
        <w:tc>
          <w:tcPr>
            <w:tcW w:w="4900" w:type="dxa"/>
          </w:tcPr>
          <w:p w14:paraId="755C259A">
            <w:pPr>
              <w:spacing w:after="0" w:line="276" w:lineRule="auto"/>
              <w:jc w:val="left"/>
            </w:pPr>
            <w:r>
              <w:rPr>
                <w:rFonts w:ascii="Arial" w:hAnsi="Arial" w:eastAsia="宋体"/>
                <w:b w:val="0"/>
                <w:i w:val="0"/>
                <w:color w:val="1F2937"/>
                <w:sz w:val="17"/>
              </w:rPr>
              <w:t>有效政策组、许可证申请/批准、审批时长、补正次数</w:t>
            </w:r>
          </w:p>
        </w:tc>
        <w:tc>
          <w:tcPr>
            <w:tcW w:w="2760" w:type="dxa"/>
          </w:tcPr>
          <w:p w14:paraId="2BC76EBB">
            <w:pPr>
              <w:spacing w:after="0" w:line="276" w:lineRule="auto"/>
              <w:jc w:val="left"/>
            </w:pPr>
            <w:r>
              <w:rPr>
                <w:rFonts w:ascii="Arial" w:hAnsi="Arial" w:eastAsia="宋体"/>
                <w:b w:val="0"/>
                <w:i w:val="0"/>
                <w:color w:val="1F2937"/>
                <w:sz w:val="17"/>
              </w:rPr>
              <w:t>判断行政摩擦</w:t>
            </w:r>
          </w:p>
        </w:tc>
      </w:tr>
      <w:tr w14:paraId="0C9E4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3F5F7"/>
          </w:tcPr>
          <w:p w14:paraId="12F3C3B8">
            <w:pPr>
              <w:spacing w:after="0" w:line="276" w:lineRule="auto"/>
              <w:jc w:val="center"/>
            </w:pPr>
            <w:r>
              <w:rPr>
                <w:rFonts w:ascii="Arial" w:hAnsi="Arial" w:eastAsia="宋体"/>
                <w:b w:val="0"/>
                <w:i w:val="0"/>
                <w:color w:val="1F2937"/>
                <w:sz w:val="17"/>
              </w:rPr>
              <w:t>物理可得性</w:t>
            </w:r>
          </w:p>
        </w:tc>
        <w:tc>
          <w:tcPr>
            <w:tcW w:w="4900" w:type="dxa"/>
            <w:shd w:val="clear" w:color="auto" w:fill="F3F5F7"/>
          </w:tcPr>
          <w:p w14:paraId="015C6D82">
            <w:pPr>
              <w:spacing w:after="0" w:line="276" w:lineRule="auto"/>
              <w:jc w:val="left"/>
            </w:pPr>
            <w:r>
              <w:rPr>
                <w:rFonts w:ascii="Arial" w:hAnsi="Arial" w:eastAsia="宋体"/>
                <w:b w:val="0"/>
                <w:i w:val="0"/>
                <w:color w:val="1F2937"/>
                <w:sz w:val="17"/>
              </w:rPr>
              <w:t>出口量、库存天数、交付周期、路线冗余</w:t>
            </w:r>
          </w:p>
        </w:tc>
        <w:tc>
          <w:tcPr>
            <w:tcW w:w="2760" w:type="dxa"/>
            <w:shd w:val="clear" w:color="auto" w:fill="F3F5F7"/>
          </w:tcPr>
          <w:p w14:paraId="715688B1">
            <w:pPr>
              <w:spacing w:after="0" w:line="276" w:lineRule="auto"/>
              <w:jc w:val="left"/>
            </w:pPr>
            <w:r>
              <w:rPr>
                <w:rFonts w:ascii="Arial" w:hAnsi="Arial" w:eastAsia="宋体"/>
                <w:b w:val="0"/>
                <w:i w:val="0"/>
                <w:color w:val="1F2937"/>
                <w:sz w:val="17"/>
              </w:rPr>
              <w:t>判断短缺程度</w:t>
            </w:r>
          </w:p>
        </w:tc>
      </w:tr>
      <w:tr w14:paraId="044E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Pr>
          <w:p w14:paraId="57F10F61">
            <w:pPr>
              <w:spacing w:after="0" w:line="276" w:lineRule="auto"/>
              <w:jc w:val="center"/>
            </w:pPr>
            <w:r>
              <w:rPr>
                <w:rFonts w:ascii="Arial" w:hAnsi="Arial" w:eastAsia="宋体"/>
                <w:b w:val="0"/>
                <w:i w:val="0"/>
                <w:color w:val="1F2937"/>
                <w:sz w:val="17"/>
              </w:rPr>
              <w:t>价格与成本</w:t>
            </w:r>
          </w:p>
        </w:tc>
        <w:tc>
          <w:tcPr>
            <w:tcW w:w="4900" w:type="dxa"/>
          </w:tcPr>
          <w:p w14:paraId="72BFFD03">
            <w:pPr>
              <w:spacing w:after="0" w:line="276" w:lineRule="auto"/>
              <w:jc w:val="left"/>
            </w:pPr>
            <w:r>
              <w:rPr>
                <w:rFonts w:ascii="Arial" w:hAnsi="Arial" w:eastAsia="宋体"/>
                <w:b w:val="0"/>
                <w:i w:val="0"/>
                <w:color w:val="1F2937"/>
                <w:sz w:val="17"/>
              </w:rPr>
              <w:t>区域价差、合同/现货差、保险与运输成本</w:t>
            </w:r>
          </w:p>
        </w:tc>
        <w:tc>
          <w:tcPr>
            <w:tcW w:w="2760" w:type="dxa"/>
          </w:tcPr>
          <w:p w14:paraId="79A6C323">
            <w:pPr>
              <w:spacing w:after="0" w:line="276" w:lineRule="auto"/>
              <w:jc w:val="left"/>
            </w:pPr>
            <w:r>
              <w:rPr>
                <w:rFonts w:ascii="Arial" w:hAnsi="Arial" w:eastAsia="宋体"/>
                <w:b w:val="0"/>
                <w:i w:val="0"/>
                <w:color w:val="1F2937"/>
                <w:sz w:val="17"/>
              </w:rPr>
              <w:t>判断安全溢价</w:t>
            </w:r>
          </w:p>
        </w:tc>
      </w:tr>
      <w:tr w14:paraId="582D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3F5F7"/>
          </w:tcPr>
          <w:p w14:paraId="5DD19FD7">
            <w:pPr>
              <w:spacing w:after="0" w:line="276" w:lineRule="auto"/>
              <w:jc w:val="center"/>
            </w:pPr>
            <w:r>
              <w:rPr>
                <w:rFonts w:ascii="Arial" w:hAnsi="Arial" w:eastAsia="宋体"/>
                <w:b w:val="0"/>
                <w:i w:val="0"/>
                <w:color w:val="1F2937"/>
                <w:sz w:val="17"/>
              </w:rPr>
              <w:t>结构调整</w:t>
            </w:r>
          </w:p>
        </w:tc>
        <w:tc>
          <w:tcPr>
            <w:tcW w:w="4900" w:type="dxa"/>
            <w:shd w:val="clear" w:color="auto" w:fill="F3F5F7"/>
          </w:tcPr>
          <w:p w14:paraId="0E79CB14">
            <w:pPr>
              <w:spacing w:after="0" w:line="276" w:lineRule="auto"/>
              <w:jc w:val="left"/>
            </w:pPr>
            <w:r>
              <w:rPr>
                <w:rFonts w:ascii="Arial" w:hAnsi="Arial" w:eastAsia="宋体"/>
                <w:b w:val="0"/>
                <w:i w:val="0"/>
                <w:color w:val="1F2937"/>
                <w:sz w:val="17"/>
              </w:rPr>
              <w:t>买方集中度、第三国份额、替代材料认证、项目交付</w:t>
            </w:r>
          </w:p>
        </w:tc>
        <w:tc>
          <w:tcPr>
            <w:tcW w:w="2760" w:type="dxa"/>
            <w:shd w:val="clear" w:color="auto" w:fill="F3F5F7"/>
          </w:tcPr>
          <w:p w14:paraId="420BCB36">
            <w:pPr>
              <w:spacing w:after="0" w:line="276" w:lineRule="auto"/>
              <w:jc w:val="left"/>
            </w:pPr>
            <w:r>
              <w:rPr>
                <w:rFonts w:ascii="Arial" w:hAnsi="Arial" w:eastAsia="宋体"/>
                <w:b w:val="0"/>
                <w:i w:val="0"/>
                <w:color w:val="1F2937"/>
                <w:sz w:val="17"/>
              </w:rPr>
              <w:t>判断长期重构</w:t>
            </w:r>
          </w:p>
        </w:tc>
      </w:tr>
    </w:tbl>
    <w:p w14:paraId="5A55D5C7">
      <w:pPr>
        <w:spacing w:after="20"/>
      </w:pPr>
    </w:p>
    <w:p w14:paraId="6614A6E7">
      <w:pPr>
        <w:spacing w:after="100" w:line="348" w:lineRule="auto"/>
        <w:jc w:val="both"/>
      </w:pPr>
      <w:r>
        <w:rPr>
          <w:rFonts w:ascii="Arial" w:hAnsi="Arial" w:eastAsia="宋体"/>
          <w:b w:val="0"/>
          <w:i w:val="0"/>
          <w:color w:val="1F2937"/>
          <w:sz w:val="21"/>
        </w:rPr>
        <w:t>对贸易流变化，应先处理税号口径、转口重复、同票多行、重量与金额异常、自由贸易区再出口和企业名称标准化。只有在目的国、货描、价格、路线和主体同时变化时，才适合进一步研判转运或规避风险。</w:t>
      </w:r>
    </w:p>
    <w:p w14:paraId="46BAC985">
      <w:pPr>
        <w:pStyle w:val="3"/>
      </w:pPr>
      <w:r>
        <w:t>10 法律争端与企业合规：规则冲突不会自动消失</w:t>
      </w:r>
    </w:p>
    <w:p w14:paraId="18440DFA">
      <w:pPr>
        <w:pStyle w:val="4"/>
      </w:pPr>
      <w:r>
        <w:t>10.1 中国出口合规的操作重点</w:t>
      </w:r>
    </w:p>
    <w:p w14:paraId="0A89A9FB">
      <w:pPr>
        <w:spacing w:after="100" w:line="348" w:lineRule="auto"/>
        <w:jc w:val="both"/>
      </w:pPr>
      <w:r>
        <w:rPr>
          <w:rFonts w:ascii="Arial" w:hAnsi="Arial" w:eastAsia="宋体"/>
          <w:b w:val="0"/>
          <w:i w:val="0"/>
          <w:color w:val="1F2937"/>
          <w:sz w:val="21"/>
        </w:rPr>
        <w:t>企业首先需要判断货物、软件、技术或服务是否属于清单或临时管制物项；其次核对目的地、最终用户和最终用途；再次检查许可证的物项、数量、有效期、口岸和买方是否与实际出口一致；最后保存技术说明、检测报告、合同、付款和运输证据。</w:t>
      </w:r>
    </w:p>
    <w:p w14:paraId="5B4BA500">
      <w:pPr>
        <w:spacing w:after="100" w:line="348" w:lineRule="auto"/>
        <w:jc w:val="both"/>
      </w:pPr>
      <w:r>
        <w:rPr>
          <w:rFonts w:ascii="Arial" w:hAnsi="Arial" w:eastAsia="宋体"/>
          <w:b w:val="0"/>
          <w:i w:val="0"/>
          <w:color w:val="1F2937"/>
          <w:sz w:val="21"/>
        </w:rPr>
        <w:t>对参数接近管制阈值的产品，企业不应仅依赖税号或商品名称，应建立产品主数据、实验室检测和版本控制。技术服务、云端访问和远程维护也可能构成跨境提供，需纳入内部授权和日志审计。</w:t>
      </w:r>
    </w:p>
    <w:p w14:paraId="14E790C8">
      <w:pPr>
        <w:pStyle w:val="4"/>
      </w:pPr>
      <w:r>
        <w:t>10.2 WTO与国家安全边界</w:t>
      </w:r>
    </w:p>
    <w:p w14:paraId="017CF4BD">
      <w:pPr>
        <w:spacing w:after="100" w:line="348" w:lineRule="auto"/>
        <w:jc w:val="both"/>
      </w:pPr>
      <w:r>
        <w:rPr>
          <w:rFonts w:ascii="Arial" w:hAnsi="Arial" w:eastAsia="宋体"/>
          <w:b w:val="0"/>
          <w:i w:val="0"/>
          <w:color w:val="1F2937"/>
          <w:sz w:val="21"/>
        </w:rPr>
        <w:t>WTO在此前稀土、钨和钼出口限制争端中审查了出口税、配额及其抗辩，但当前以国家安全和两用物项许可为核心的制度具有不同法律结构。历史裁决仍能说明，措施设计、适用一致性和证据记录会影响国际争端风险。</w:t>
      </w:r>
      <w:r>
        <w:footnoteReference w:id="36"/>
      </w:r>
    </w:p>
    <w:p w14:paraId="3555449C">
      <w:pPr>
        <w:spacing w:after="100" w:line="348" w:lineRule="auto"/>
        <w:jc w:val="both"/>
      </w:pPr>
      <w:r>
        <w:rPr>
          <w:rFonts w:ascii="Arial" w:hAnsi="Arial" w:eastAsia="宋体"/>
          <w:b w:val="0"/>
          <w:i w:val="0"/>
          <w:color w:val="1F2937"/>
          <w:sz w:val="21"/>
        </w:rPr>
        <w:t>对跨国企业而言，真正困难的是多个法域同时要求最终用途调查、制裁筛查、数据保存和供应链尽调。合规体系需要把规则冲突升级到法律部门，而不能由采购或报关人员单独决定。</w:t>
      </w:r>
    </w:p>
    <w:p w14:paraId="052A7F99">
      <w:pPr>
        <w:pStyle w:val="4"/>
      </w:pPr>
      <w:r>
        <w:t>10.3 执法证据边界</w:t>
      </w:r>
    </w:p>
    <w:p w14:paraId="51DADE44">
      <w:pPr>
        <w:spacing w:after="100" w:line="348" w:lineRule="auto"/>
        <w:jc w:val="both"/>
      </w:pPr>
      <w:r>
        <w:rPr>
          <w:rFonts w:ascii="Arial" w:hAnsi="Arial" w:eastAsia="宋体"/>
          <w:b w:val="0"/>
          <w:i w:val="0"/>
          <w:color w:val="1F2937"/>
          <w:sz w:val="21"/>
        </w:rPr>
        <w:t>公开贸易数据库、船舶轨迹、企业关联和图片识别适合发现线索，但不应直接用于违法定性。完整证据通常需要原始提运单、报关单、合同、发票、付款、许可证、装箱记录、实验室检测和最终用户证明相互印证。</w:t>
      </w:r>
    </w:p>
    <w:p w14:paraId="7FA453BB">
      <w:pPr>
        <w:pStyle w:val="3"/>
      </w:pPr>
      <w:r>
        <w:t>11 新兴供应国：资源民族主义与本地增值并行</w:t>
      </w:r>
    </w:p>
    <w:p w14:paraId="55B927FD">
      <w:pPr>
        <w:pStyle w:val="4"/>
      </w:pPr>
      <w:r>
        <w:t>11.1 资源国追求价值留存</w:t>
      </w:r>
    </w:p>
    <w:p w14:paraId="3AAE79FC">
      <w:pPr>
        <w:spacing w:after="100" w:line="348" w:lineRule="auto"/>
        <w:jc w:val="both"/>
      </w:pPr>
      <w:r>
        <w:rPr>
          <w:rFonts w:ascii="Arial" w:hAnsi="Arial" w:eastAsia="宋体"/>
          <w:b w:val="0"/>
          <w:i w:val="0"/>
          <w:color w:val="1F2937"/>
          <w:sz w:val="21"/>
        </w:rPr>
        <w:t>资源国越来越倾向通过出口限制、本地加工、国家参股、税收和基础设施条件提高国内价值留存。对进口经济体而言，这既提供了中国以外资源，也可能形成新的政策风险。供应链多元化不能只把依赖从一个国家转移到另一个国家。</w:t>
      </w:r>
    </w:p>
    <w:p w14:paraId="2E7B2CBE">
      <w:pPr>
        <w:spacing w:after="100" w:line="348" w:lineRule="auto"/>
        <w:jc w:val="both"/>
      </w:pPr>
      <w:r>
        <w:rPr>
          <w:rFonts w:ascii="Arial" w:hAnsi="Arial" w:eastAsia="宋体"/>
          <w:b w:val="0"/>
          <w:i w:val="0"/>
          <w:color w:val="1F2937"/>
          <w:sz w:val="21"/>
        </w:rPr>
        <w:t>澳大利亚和加拿大拥有较成熟的监管、资本市场和盟友网络，更容易获得政策融资；印度具有市场规模和产业政策优势；非洲和拉美项目则往往需要同步建设电力、道路、港口和社区关系。不同国家的风险应按项目基础设施和治理条件分解，而非使用统一“国家风险分”。</w:t>
      </w:r>
    </w:p>
    <w:p w14:paraId="15CBA287">
      <w:pPr>
        <w:pStyle w:val="4"/>
      </w:pPr>
      <w:r>
        <w:t>11.2 中游本地化是谈判核心</w:t>
      </w:r>
    </w:p>
    <w:p w14:paraId="5F029FFA">
      <w:pPr>
        <w:spacing w:after="100" w:line="348" w:lineRule="auto"/>
        <w:jc w:val="both"/>
      </w:pPr>
      <w:r>
        <w:rPr>
          <w:rFonts w:ascii="Arial" w:hAnsi="Arial" w:eastAsia="宋体"/>
          <w:b w:val="0"/>
          <w:i w:val="0"/>
          <w:color w:val="1F2937"/>
          <w:sz w:val="21"/>
        </w:rPr>
        <w:t>未来项目谈判的重点将从矿权和税率，转向本地加工比例、技术转移、就业、环境治理和产品承购。进口国希望获得稳定供应，资源国希望保留更高附加值，两者之间需要通过长期合同和基础设施融资形成交换。</w:t>
      </w:r>
    </w:p>
    <w:p w14:paraId="7AA1BAF6">
      <w:pPr>
        <w:spacing w:after="100" w:line="348" w:lineRule="auto"/>
        <w:jc w:val="both"/>
      </w:pPr>
      <w:r>
        <w:rPr>
          <w:rFonts w:ascii="Arial" w:hAnsi="Arial" w:eastAsia="宋体"/>
          <w:b w:val="0"/>
          <w:i w:val="0"/>
          <w:color w:val="1F2937"/>
          <w:sz w:val="21"/>
        </w:rPr>
        <w:t>这也意味着，资源外交若只承诺购买原矿，可能不再足以获得项目支持；相反，能够提供加工技术、人才、融资和市场准入的合作方更具吸引力。</w:t>
      </w:r>
    </w:p>
    <w:p w14:paraId="0B641D6B">
      <w:pPr>
        <w:pStyle w:val="3"/>
      </w:pPr>
      <w:r>
        <w:t>12 国防与先进制造：需求小、规格高、替代慢</w:t>
      </w:r>
    </w:p>
    <w:p w14:paraId="6ACE0D14">
      <w:pPr>
        <w:pStyle w:val="4"/>
      </w:pPr>
      <w:r>
        <w:t>12.1 国防供应链的特殊性</w:t>
      </w:r>
    </w:p>
    <w:p w14:paraId="3B28129B">
      <w:pPr>
        <w:spacing w:after="100" w:line="348" w:lineRule="auto"/>
        <w:jc w:val="both"/>
      </w:pPr>
      <w:r>
        <w:rPr>
          <w:rFonts w:ascii="Arial" w:hAnsi="Arial" w:eastAsia="宋体"/>
          <w:b w:val="0"/>
          <w:i w:val="0"/>
          <w:color w:val="1F2937"/>
          <w:sz w:val="21"/>
        </w:rPr>
        <w:t>国防应用往往占总矿产需求的比例不高，却要求高纯度、极端温度性能、长期可靠性和保密认证。商业市场中存在的材料不一定能直接用于雷达、导引、航空发动机、夜视、弹药和精密控制系统。</w:t>
      </w:r>
    </w:p>
    <w:p w14:paraId="110F402D">
      <w:pPr>
        <w:spacing w:after="100" w:line="348" w:lineRule="auto"/>
        <w:jc w:val="both"/>
      </w:pPr>
      <w:r>
        <w:rPr>
          <w:rFonts w:ascii="Arial" w:hAnsi="Arial" w:eastAsia="宋体"/>
          <w:b w:val="0"/>
          <w:i w:val="0"/>
          <w:color w:val="1F2937"/>
          <w:sz w:val="21"/>
        </w:rPr>
        <w:t>供应风险因此集中在少量特种规格和单一合格供应商，而不是总吨位。国防评估应建立“系统—部件—材料—规格—供应商”映射，并区分可替代、需再认证和不可替代物项。</w:t>
      </w:r>
    </w:p>
    <w:p w14:paraId="5DC9EEDD">
      <w:pPr>
        <w:pStyle w:val="4"/>
      </w:pPr>
      <w:r>
        <w:t>12.2 储备与产能的边界</w:t>
      </w:r>
    </w:p>
    <w:p w14:paraId="3D2E910A">
      <w:pPr>
        <w:spacing w:after="100" w:line="348" w:lineRule="auto"/>
        <w:jc w:val="both"/>
      </w:pPr>
      <w:r>
        <w:rPr>
          <w:rFonts w:ascii="Arial" w:hAnsi="Arial" w:eastAsia="宋体"/>
          <w:b w:val="0"/>
          <w:i w:val="0"/>
          <w:color w:val="1F2937"/>
          <w:sz w:val="21"/>
        </w:rPr>
        <w:t>战略储备适合应对短期中断，但材料可能氧化、降级或因产品设计变更而失去适用性。储备政策必须明确形态、规格、轮换、保管、释放条件和优先用户，不能只公布金额。</w:t>
      </w:r>
    </w:p>
    <w:p w14:paraId="347B53A8">
      <w:pPr>
        <w:spacing w:after="100" w:line="348" w:lineRule="auto"/>
        <w:jc w:val="both"/>
      </w:pPr>
      <w:r>
        <w:rPr>
          <w:rFonts w:ascii="Arial" w:hAnsi="Arial" w:eastAsia="宋体"/>
          <w:b w:val="0"/>
          <w:i w:val="0"/>
          <w:color w:val="1F2937"/>
          <w:sz w:val="21"/>
        </w:rPr>
        <w:t>对极小批量、高价值材料，政府承购和最低采购量可能比大规模库存更有效；对广泛工业使用的磁体和石墨，则需要商业产能与多行业需求共同支撑。</w:t>
      </w:r>
    </w:p>
    <w:tbl>
      <w:tblPr>
        <w:tblStyle w:val="32"/>
        <w:tblW w:w="9360" w:type="dxa"/>
        <w:tblInd w:w="120" w:type="dxa"/>
        <w:tblLayout w:type="fixed"/>
        <w:tblCellMar>
          <w:top w:w="0" w:type="dxa"/>
          <w:left w:w="108" w:type="dxa"/>
          <w:bottom w:w="0" w:type="dxa"/>
          <w:right w:w="108" w:type="dxa"/>
        </w:tblCellMar>
      </w:tblPr>
      <w:tblGrid>
        <w:gridCol w:w="9360"/>
      </w:tblGrid>
      <w:tr w14:paraId="52738938">
        <w:tblPrEx>
          <w:tblCellMar>
            <w:top w:w="0" w:type="dxa"/>
            <w:left w:w="108" w:type="dxa"/>
            <w:bottom w:w="0" w:type="dxa"/>
            <w:right w:w="108" w:type="dxa"/>
          </w:tblCellMar>
        </w:tblPrEx>
        <w:tc>
          <w:tcPr>
            <w:tcW w:w="9360" w:type="dxa"/>
            <w:shd w:val="clear" w:color="auto" w:fill="EAF1F8"/>
            <w:tcMar>
              <w:top w:w="90" w:type="dxa"/>
              <w:left w:w="120" w:type="dxa"/>
              <w:bottom w:w="90" w:type="dxa"/>
              <w:right w:w="120" w:type="dxa"/>
            </w:tcMar>
            <w:vAlign w:val="center"/>
          </w:tcPr>
          <w:p w14:paraId="61394E42">
            <w:pPr>
              <w:spacing w:after="60"/>
            </w:pPr>
            <w:r>
              <w:rPr>
                <w:rFonts w:ascii="Arial" w:hAnsi="Arial" w:eastAsia="微软雅黑"/>
                <w:b/>
                <w:i w:val="0"/>
                <w:color w:val="17365D"/>
                <w:sz w:val="21"/>
              </w:rPr>
              <w:t>独立判断：国防需求的关键不是“量大”，而是“无法在需要时快速替换”</w:t>
            </w:r>
          </w:p>
          <w:p w14:paraId="260F6587">
            <w:pPr>
              <w:spacing w:after="0" w:line="324" w:lineRule="auto"/>
            </w:pPr>
            <w:r>
              <w:rPr>
                <w:rFonts w:ascii="Arial" w:hAnsi="Arial" w:eastAsia="宋体"/>
                <w:b w:val="0"/>
                <w:i w:val="0"/>
                <w:color w:val="1F2937"/>
                <w:sz w:val="20"/>
              </w:rPr>
              <w:t>国防材料风险应采用最长认证周期、最少合格供应商和最窄技术容差来排序，而不是只看年度进口金额。</w:t>
            </w:r>
          </w:p>
        </w:tc>
      </w:tr>
    </w:tbl>
    <w:p w14:paraId="04A69A2B">
      <w:pPr>
        <w:spacing w:after="20"/>
      </w:pPr>
    </w:p>
    <w:p w14:paraId="353DF9CA">
      <w:pPr>
        <w:pStyle w:val="3"/>
      </w:pPr>
      <w:r>
        <w:t>13 2030情景分析：不预测单一路径，识别可观测触发器</w:t>
      </w:r>
    </w:p>
    <w:p w14:paraId="677B8FE3">
      <w:pPr>
        <w:pStyle w:val="164"/>
        <w:jc w:val="left"/>
      </w:pPr>
      <w:bookmarkStart w:id="0" w:name="_GoBack"/>
      <w:bookmarkEnd w:id="0"/>
      <w:r>
        <w:t>表13-1  2026—2030关键矿产</w:t>
      </w:r>
      <w:r>
        <w:rPr>
          <w:rFonts w:hint="eastAsia"/>
          <w:lang w:val="en-US" w:eastAsia="zh-CN"/>
        </w:rPr>
        <w:t>五</w:t>
      </w:r>
      <w:r>
        <w:t>种情景</w:t>
      </w:r>
    </w:p>
    <w:tbl>
      <w:tblPr>
        <w:tblStyle w:val="3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6"/>
        <w:gridCol w:w="2258"/>
      </w:tblGrid>
      <w:tr w14:paraId="20CD4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E496676">
            <w:pPr>
              <w:widowControl w:val="0"/>
              <w:spacing w:before="0" w:after="0" w:line="240" w:lineRule="auto"/>
              <w:rPr>
                <w:rFonts w:cs="宋体"/>
                <w:szCs w:val="21"/>
              </w:rPr>
            </w:pPr>
            <w:r>
              <w:rPr>
                <w:rFonts w:ascii="黑体" w:hAnsi="黑体" w:eastAsia="黑体" w:cs="黑体"/>
                <w:b/>
                <w:bCs/>
                <w:i w:val="0"/>
                <w:iCs w:val="0"/>
                <w:color w:val="000000"/>
                <w:sz w:val="21"/>
                <w:szCs w:val="21"/>
              </w:rPr>
              <w:t>S0</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863967F">
            <w:pPr>
              <w:widowControl w:val="0"/>
              <w:spacing w:before="0" w:after="0" w:line="240" w:lineRule="auto"/>
              <w:rPr>
                <w:rFonts w:cs="宋体"/>
                <w:szCs w:val="21"/>
              </w:rPr>
            </w:pPr>
            <w:r>
              <w:rPr>
                <w:rFonts w:ascii="宋体" w:hAnsi="宋体" w:eastAsia="宋体" w:cs="宋体"/>
                <w:b w:val="0"/>
                <w:bCs w:val="0"/>
                <w:i w:val="0"/>
                <w:iCs w:val="0"/>
                <w:color w:val="000000"/>
                <w:sz w:val="21"/>
                <w:szCs w:val="21"/>
              </w:rPr>
              <w:t>制度性博弈常态（基准）</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EFADEC0">
            <w:pPr>
              <w:widowControl w:val="0"/>
              <w:spacing w:before="0" w:after="0" w:line="240" w:lineRule="auto"/>
              <w:rPr>
                <w:rFonts w:cs="宋体"/>
                <w:szCs w:val="21"/>
              </w:rPr>
            </w:pPr>
            <w:r>
              <w:rPr>
                <w:rFonts w:ascii="黑体" w:hAnsi="黑体" w:eastAsia="黑体" w:cs="黑体"/>
                <w:b/>
                <w:bCs/>
                <w:i w:val="0"/>
                <w:iCs w:val="0"/>
                <w:color w:val="000000"/>
                <w:sz w:val="21"/>
                <w:szCs w:val="21"/>
              </w:rPr>
              <w:t>45%</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313DAC7">
            <w:pPr>
              <w:widowControl w:val="0"/>
              <w:spacing w:before="0" w:after="0" w:line="240" w:lineRule="auto"/>
              <w:rPr>
                <w:rFonts w:cs="宋体"/>
                <w:szCs w:val="21"/>
              </w:rPr>
            </w:pPr>
            <w:r>
              <w:rPr>
                <w:rFonts w:ascii="宋体" w:hAnsi="宋体" w:eastAsia="宋体" w:cs="宋体"/>
                <w:b w:val="0"/>
                <w:bCs w:val="0"/>
                <w:i w:val="0"/>
                <w:iCs w:val="0"/>
                <w:color w:val="000000"/>
                <w:sz w:val="21"/>
                <w:szCs w:val="21"/>
              </w:rPr>
              <w:t>管制清单年度微调、盟友替代链部分成型、摩擦常态化但无全面脱钩</w:t>
            </w:r>
          </w:p>
        </w:tc>
      </w:tr>
      <w:tr w14:paraId="01605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F71FC6D">
            <w:pPr>
              <w:widowControl w:val="0"/>
              <w:spacing w:before="0" w:after="0" w:line="240" w:lineRule="auto"/>
              <w:rPr>
                <w:rFonts w:cs="宋体"/>
                <w:szCs w:val="21"/>
              </w:rPr>
            </w:pPr>
            <w:r>
              <w:rPr>
                <w:rFonts w:ascii="黑体" w:hAnsi="黑体" w:eastAsia="黑体" w:cs="黑体"/>
                <w:b/>
                <w:bCs/>
                <w:i w:val="0"/>
                <w:iCs w:val="0"/>
                <w:color w:val="000000"/>
                <w:sz w:val="21"/>
                <w:szCs w:val="21"/>
              </w:rPr>
              <w:t>S1</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358BDB0">
            <w:pPr>
              <w:widowControl w:val="0"/>
              <w:spacing w:before="0" w:after="0" w:line="240" w:lineRule="auto"/>
              <w:rPr>
                <w:rFonts w:cs="宋体"/>
                <w:szCs w:val="21"/>
              </w:rPr>
            </w:pPr>
            <w:r>
              <w:rPr>
                <w:rFonts w:ascii="宋体" w:hAnsi="宋体" w:eastAsia="宋体" w:cs="宋体"/>
                <w:b w:val="0"/>
                <w:bCs w:val="0"/>
                <w:i w:val="0"/>
                <w:iCs w:val="0"/>
                <w:color w:val="000000"/>
                <w:sz w:val="21"/>
                <w:szCs w:val="21"/>
              </w:rPr>
              <w:t>螺旋升级·定向断供</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69DF9B2">
            <w:pPr>
              <w:widowControl w:val="0"/>
              <w:spacing w:before="0" w:after="0" w:line="240" w:lineRule="auto"/>
              <w:rPr>
                <w:rFonts w:cs="宋体"/>
                <w:szCs w:val="21"/>
              </w:rPr>
            </w:pPr>
            <w:r>
              <w:rPr>
                <w:rFonts w:ascii="黑体" w:hAnsi="黑体" w:eastAsia="黑体" w:cs="黑体"/>
                <w:b/>
                <w:bCs/>
                <w:i w:val="0"/>
                <w:iCs w:val="0"/>
                <w:color w:val="000000"/>
                <w:sz w:val="21"/>
                <w:szCs w:val="21"/>
              </w:rPr>
              <w:t>25%</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D38E0C6">
            <w:pPr>
              <w:widowControl w:val="0"/>
              <w:spacing w:before="0" w:after="0" w:line="240" w:lineRule="auto"/>
              <w:rPr>
                <w:rFonts w:cs="宋体"/>
                <w:szCs w:val="21"/>
              </w:rPr>
            </w:pPr>
            <w:r>
              <w:rPr>
                <w:rFonts w:ascii="宋体" w:hAnsi="宋体" w:eastAsia="宋体" w:cs="宋体"/>
                <w:b w:val="0"/>
                <w:bCs w:val="0"/>
                <w:i w:val="0"/>
                <w:iCs w:val="0"/>
                <w:color w:val="000000"/>
                <w:sz w:val="21"/>
                <w:szCs w:val="21"/>
              </w:rPr>
              <w:t>地缘冲突触发"以矿制链"，对特定国家特定物项精准断供+域外管辖执法</w:t>
            </w:r>
          </w:p>
        </w:tc>
      </w:tr>
      <w:tr w14:paraId="33500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E726AB5">
            <w:pPr>
              <w:widowControl w:val="0"/>
              <w:spacing w:before="0" w:after="0" w:line="240" w:lineRule="auto"/>
              <w:rPr>
                <w:rFonts w:cs="宋体"/>
                <w:szCs w:val="21"/>
              </w:rPr>
            </w:pPr>
            <w:r>
              <w:rPr>
                <w:rFonts w:ascii="黑体" w:hAnsi="黑体" w:eastAsia="黑体" w:cs="黑体"/>
                <w:b/>
                <w:bCs/>
                <w:i w:val="0"/>
                <w:iCs w:val="0"/>
                <w:color w:val="000000"/>
                <w:sz w:val="21"/>
                <w:szCs w:val="21"/>
              </w:rPr>
              <w:t>S2</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97772DA">
            <w:pPr>
              <w:widowControl w:val="0"/>
              <w:spacing w:before="0" w:after="0" w:line="240" w:lineRule="auto"/>
              <w:rPr>
                <w:rFonts w:cs="宋体"/>
                <w:szCs w:val="21"/>
              </w:rPr>
            </w:pPr>
            <w:r>
              <w:rPr>
                <w:rFonts w:ascii="宋体" w:hAnsi="宋体" w:eastAsia="宋体" w:cs="宋体"/>
                <w:b w:val="0"/>
                <w:bCs w:val="0"/>
                <w:i w:val="0"/>
                <w:iCs w:val="0"/>
                <w:color w:val="000000"/>
                <w:sz w:val="21"/>
                <w:szCs w:val="21"/>
              </w:rPr>
              <w:t>阵营化·平行体系</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CE500BE">
            <w:pPr>
              <w:widowControl w:val="0"/>
              <w:spacing w:before="0" w:after="0" w:line="240" w:lineRule="auto"/>
              <w:rPr>
                <w:rFonts w:cs="宋体"/>
                <w:szCs w:val="21"/>
              </w:rPr>
            </w:pPr>
            <w:r>
              <w:rPr>
                <w:rFonts w:ascii="黑体" w:hAnsi="黑体" w:eastAsia="黑体" w:cs="黑体"/>
                <w:b/>
                <w:bCs/>
                <w:i w:val="0"/>
                <w:iCs w:val="0"/>
                <w:color w:val="000000"/>
                <w:sz w:val="21"/>
                <w:szCs w:val="21"/>
              </w:rPr>
              <w:t>18%</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8FA98E9">
            <w:pPr>
              <w:widowControl w:val="0"/>
              <w:spacing w:before="0" w:after="0" w:line="240" w:lineRule="auto"/>
              <w:rPr>
                <w:rFonts w:cs="宋体"/>
                <w:szCs w:val="21"/>
              </w:rPr>
            </w:pPr>
            <w:r>
              <w:rPr>
                <w:rFonts w:ascii="宋体" w:hAnsi="宋体" w:eastAsia="宋体" w:cs="宋体"/>
                <w:b w:val="0"/>
                <w:bCs w:val="0"/>
                <w:i w:val="0"/>
                <w:iCs w:val="0"/>
                <w:color w:val="000000"/>
                <w:sz w:val="21"/>
                <w:szCs w:val="21"/>
              </w:rPr>
              <w:t>中美各建排他性矿产集团，第三方被迫选边，海关成"经济北约"前线</w:t>
            </w:r>
          </w:p>
        </w:tc>
      </w:tr>
      <w:tr w14:paraId="2B2E2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4063C61">
            <w:pPr>
              <w:widowControl w:val="0"/>
              <w:spacing w:before="0" w:after="0" w:line="240" w:lineRule="auto"/>
              <w:rPr>
                <w:rFonts w:cs="宋体"/>
                <w:szCs w:val="21"/>
              </w:rPr>
            </w:pPr>
            <w:r>
              <w:rPr>
                <w:rFonts w:ascii="黑体" w:hAnsi="黑体" w:eastAsia="黑体" w:cs="黑体"/>
                <w:b/>
                <w:bCs/>
                <w:i w:val="0"/>
                <w:iCs w:val="0"/>
                <w:color w:val="000000"/>
                <w:sz w:val="21"/>
                <w:szCs w:val="21"/>
              </w:rPr>
              <w:t>S3</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124B78B">
            <w:pPr>
              <w:widowControl w:val="0"/>
              <w:spacing w:before="0" w:after="0" w:line="240" w:lineRule="auto"/>
              <w:rPr>
                <w:rFonts w:cs="宋体"/>
                <w:szCs w:val="21"/>
              </w:rPr>
            </w:pPr>
            <w:r>
              <w:rPr>
                <w:rFonts w:ascii="宋体" w:hAnsi="宋体" w:eastAsia="宋体" w:cs="宋体"/>
                <w:b w:val="0"/>
                <w:bCs w:val="0"/>
                <w:i w:val="0"/>
                <w:iCs w:val="0"/>
                <w:color w:val="000000"/>
                <w:sz w:val="21"/>
                <w:szCs w:val="21"/>
              </w:rPr>
              <w:t>缓和·规则共治</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FB46A6B">
            <w:pPr>
              <w:widowControl w:val="0"/>
              <w:spacing w:before="0" w:after="0" w:line="240" w:lineRule="auto"/>
              <w:rPr>
                <w:rFonts w:cs="宋体"/>
                <w:szCs w:val="21"/>
              </w:rPr>
            </w:pPr>
            <w:r>
              <w:rPr>
                <w:rFonts w:ascii="黑体" w:hAnsi="黑体" w:eastAsia="黑体" w:cs="黑体"/>
                <w:b/>
                <w:bCs/>
                <w:i w:val="0"/>
                <w:iCs w:val="0"/>
                <w:color w:val="000000"/>
                <w:sz w:val="21"/>
                <w:szCs w:val="21"/>
              </w:rPr>
              <w:t>8%</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47877F3">
            <w:pPr>
              <w:widowControl w:val="0"/>
              <w:spacing w:before="0" w:after="0" w:line="240" w:lineRule="auto"/>
              <w:rPr>
                <w:rFonts w:cs="宋体"/>
                <w:szCs w:val="21"/>
              </w:rPr>
            </w:pPr>
            <w:r>
              <w:rPr>
                <w:rFonts w:ascii="宋体" w:hAnsi="宋体" w:eastAsia="宋体" w:cs="宋体"/>
                <w:b w:val="0"/>
                <w:bCs w:val="0"/>
                <w:i w:val="0"/>
                <w:iCs w:val="0"/>
                <w:color w:val="000000"/>
                <w:sz w:val="21"/>
                <w:szCs w:val="21"/>
              </w:rPr>
              <w:t>危机倒逼谈判，建立"矿产北约式"对话与配额缓冲机制</w:t>
            </w:r>
          </w:p>
        </w:tc>
      </w:tr>
      <w:tr w14:paraId="1151C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3A9E6DB">
            <w:pPr>
              <w:widowControl w:val="0"/>
              <w:spacing w:before="0" w:after="0" w:line="240" w:lineRule="auto"/>
              <w:rPr>
                <w:rFonts w:cs="宋体"/>
                <w:szCs w:val="21"/>
              </w:rPr>
            </w:pPr>
            <w:r>
              <w:rPr>
                <w:rFonts w:ascii="黑体" w:hAnsi="黑体" w:eastAsia="黑体" w:cs="黑体"/>
                <w:b/>
                <w:bCs/>
                <w:i w:val="0"/>
                <w:iCs w:val="0"/>
                <w:color w:val="000000"/>
                <w:sz w:val="21"/>
                <w:szCs w:val="21"/>
              </w:rPr>
              <w:t>S4</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B0D053B">
            <w:pPr>
              <w:widowControl w:val="0"/>
              <w:spacing w:before="0" w:after="0" w:line="240" w:lineRule="auto"/>
              <w:rPr>
                <w:rFonts w:cs="宋体"/>
                <w:szCs w:val="21"/>
              </w:rPr>
            </w:pPr>
            <w:r>
              <w:rPr>
                <w:rFonts w:ascii="宋体" w:hAnsi="宋体" w:eastAsia="宋体" w:cs="宋体"/>
                <w:b w:val="0"/>
                <w:bCs w:val="0"/>
                <w:i w:val="0"/>
                <w:iCs w:val="0"/>
                <w:color w:val="000000"/>
                <w:sz w:val="21"/>
                <w:szCs w:val="21"/>
              </w:rPr>
              <w:t>技术替代·需求塌方</w:t>
            </w:r>
          </w:p>
        </w:tc>
        <w:tc>
          <w:tcPr>
            <w:tcW w:w="2256"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387E49B">
            <w:pPr>
              <w:widowControl w:val="0"/>
              <w:spacing w:before="0" w:after="0" w:line="240" w:lineRule="auto"/>
              <w:rPr>
                <w:rFonts w:cs="宋体"/>
                <w:szCs w:val="21"/>
              </w:rPr>
            </w:pPr>
            <w:r>
              <w:rPr>
                <w:rFonts w:ascii="黑体" w:hAnsi="黑体" w:eastAsia="黑体" w:cs="黑体"/>
                <w:b/>
                <w:bCs/>
                <w:i w:val="0"/>
                <w:iCs w:val="0"/>
                <w:color w:val="000000"/>
                <w:sz w:val="21"/>
                <w:szCs w:val="21"/>
              </w:rPr>
              <w:t>4%</w:t>
            </w:r>
          </w:p>
        </w:tc>
        <w:tc>
          <w:tcPr>
            <w:tcW w:w="225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14ED960">
            <w:pPr>
              <w:widowControl w:val="0"/>
              <w:spacing w:before="0" w:after="0" w:line="240" w:lineRule="auto"/>
              <w:rPr>
                <w:rFonts w:cs="宋体"/>
                <w:szCs w:val="21"/>
              </w:rPr>
            </w:pPr>
            <w:r>
              <w:rPr>
                <w:rFonts w:ascii="宋体" w:hAnsi="宋体" w:eastAsia="宋体" w:cs="宋体"/>
                <w:b w:val="0"/>
                <w:bCs w:val="0"/>
                <w:i w:val="0"/>
                <w:iCs w:val="0"/>
                <w:color w:val="000000"/>
                <w:sz w:val="21"/>
                <w:szCs w:val="21"/>
              </w:rPr>
              <w:t>回收/合成/减量化突破，管制红利衰减，博弈重心转移</w:t>
            </w:r>
          </w:p>
        </w:tc>
      </w:tr>
    </w:tbl>
    <w:p w14:paraId="66FFB40A">
      <w:pPr>
        <w:widowControl w:val="0"/>
        <w:spacing w:before="0" w:after="120" w:line="240" w:lineRule="auto"/>
        <w:rPr>
          <w:rFonts w:cs="宋体"/>
          <w:szCs w:val="21"/>
        </w:rPr>
      </w:pPr>
    </w:p>
    <w:p w14:paraId="41DCF5CF">
      <w:pPr>
        <w:widowControl w:val="0"/>
        <w:spacing w:before="0" w:after="120" w:line="240" w:lineRule="auto"/>
        <w:rPr>
          <w:rFonts w:cs="宋体"/>
          <w:szCs w:val="21"/>
        </w:rPr>
      </w:pPr>
      <w:r>
        <w:rPr>
          <w:rFonts w:ascii="宋体" w:hAnsi="宋体" w:eastAsia="宋体" w:cs="宋体"/>
          <w:b w:val="0"/>
          <w:bCs w:val="0"/>
          <w:i w:val="0"/>
          <w:iCs w:val="0"/>
          <w:color w:val="000000"/>
          <w:sz w:val="21"/>
          <w:szCs w:val="21"/>
        </w:rPr>
        <w:t>*概率合计 100%；S0 为默认路径，S1–S4 为偏离。*</w:t>
      </w:r>
    </w:p>
    <w:p w14:paraId="5C23513C">
      <w:pPr>
        <w:spacing w:before="280" w:after="140"/>
        <w:outlineLvl w:val="0"/>
        <w:rPr>
          <w:rFonts w:ascii="黑体" w:hAnsi="黑体" w:eastAsia="黑体" w:cs="黑体"/>
          <w:b/>
          <w:bCs/>
          <w:color w:val="1F4E79"/>
          <w:sz w:val="28"/>
          <w:szCs w:val="28"/>
        </w:rPr>
      </w:pPr>
      <w:r>
        <w:rPr>
          <w:rFonts w:ascii="宋体" w:hAnsi="宋体" w:eastAsia="宋体" w:cs="宋体"/>
          <w:b w:val="0"/>
          <w:bCs w:val="0"/>
          <w:i w:val="0"/>
          <w:iCs w:val="0"/>
          <w:color w:val="000000"/>
          <w:sz w:val="21"/>
          <w:szCs w:val="21"/>
        </w:rPr>
        <w:t>三、各情景详述</w:t>
      </w:r>
    </w:p>
    <w:p w14:paraId="7F2C23DB">
      <w:pPr>
        <w:spacing w:before="200" w:after="120"/>
        <w:outlineLvl w:val="1"/>
        <w:rPr>
          <w:rFonts w:ascii="黑体" w:hAnsi="黑体" w:eastAsia="黑体" w:cs="黑体"/>
          <w:b/>
          <w:bCs/>
          <w:color w:val="2E5E8C"/>
          <w:sz w:val="24"/>
          <w:szCs w:val="24"/>
        </w:rPr>
      </w:pPr>
      <w:r>
        <w:rPr>
          <w:rFonts w:ascii="宋体" w:hAnsi="宋体" w:eastAsia="宋体" w:cs="宋体"/>
          <w:b w:val="0"/>
          <w:bCs w:val="0"/>
          <w:i w:val="0"/>
          <w:iCs w:val="0"/>
          <w:color w:val="000000"/>
          <w:sz w:val="21"/>
          <w:szCs w:val="21"/>
        </w:rPr>
        <w:t>S0 基准：制度性博弈常态（概率 45%）</w:t>
      </w:r>
    </w:p>
    <w:p w14:paraId="38543D26">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形态</w:t>
      </w:r>
      <w:r>
        <w:rPr>
          <w:rFonts w:ascii="宋体" w:hAnsi="宋体" w:eastAsia="宋体" w:cs="宋体"/>
          <w:b w:val="0"/>
          <w:bCs w:val="0"/>
          <w:i w:val="0"/>
          <w:iCs w:val="0"/>
          <w:color w:val="000000"/>
          <w:sz w:val="21"/>
          <w:szCs w:val="21"/>
        </w:rPr>
        <w:t>：中国建立"年度清单滚动扩围 + 许可证分级 + 追溯稽查"的常态化机制；美日欧形成"本土开采+盟友加工+联合储备"的替代链，但 2030 年前</w:t>
      </w:r>
      <w:r>
        <w:rPr>
          <w:rFonts w:ascii="黑体" w:hAnsi="黑体" w:eastAsia="黑体" w:cs="黑体"/>
          <w:b/>
          <w:bCs/>
          <w:i w:val="0"/>
          <w:iCs w:val="0"/>
          <w:color w:val="000000"/>
          <w:sz w:val="21"/>
          <w:szCs w:val="21"/>
        </w:rPr>
        <w:t>难以在稀土永磁、钨深加工上完全去中国化</w:t>
      </w:r>
      <w:r>
        <w:rPr>
          <w:rFonts w:ascii="宋体" w:hAnsi="宋体" w:eastAsia="宋体" w:cs="宋体"/>
          <w:b w:val="0"/>
          <w:bCs w:val="0"/>
          <w:i w:val="0"/>
          <w:iCs w:val="0"/>
          <w:color w:val="000000"/>
          <w:sz w:val="21"/>
          <w:szCs w:val="21"/>
        </w:rPr>
        <w:t>。</w:t>
      </w:r>
    </w:p>
    <w:p w14:paraId="53013BE1">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管制手法</w:t>
      </w:r>
      <w:r>
        <w:rPr>
          <w:rFonts w:ascii="宋体" w:hAnsi="宋体" w:eastAsia="宋体" w:cs="宋体"/>
          <w:b w:val="0"/>
          <w:bCs w:val="0"/>
          <w:i w:val="0"/>
          <w:iCs w:val="0"/>
          <w:color w:val="000000"/>
          <w:sz w:val="21"/>
          <w:szCs w:val="21"/>
        </w:rPr>
        <w:t>：从"禁运"转向"配额+用途审查+终用户穿透"，即"不是不卖，是看卖给谁、用来干啥"。</w:t>
      </w:r>
    </w:p>
    <w:p w14:paraId="4D6E2C33">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反制形态</w:t>
      </w:r>
      <w:r>
        <w:rPr>
          <w:rFonts w:ascii="宋体" w:hAnsi="宋体" w:eastAsia="宋体" w:cs="宋体"/>
          <w:b w:val="0"/>
          <w:bCs w:val="0"/>
          <w:i w:val="0"/>
          <w:iCs w:val="0"/>
          <w:color w:val="000000"/>
          <w:sz w:val="21"/>
          <w:szCs w:val="21"/>
        </w:rPr>
        <w:t>：对等列入不可靠实体、限制特定美企在华采购、对盟友"合规企业"开通绿色通道（分化策略）。</w:t>
      </w:r>
    </w:p>
    <w:p w14:paraId="4C1899A6">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海关含义</w:t>
      </w:r>
      <w:r>
        <w:rPr>
          <w:rFonts w:ascii="宋体" w:hAnsi="宋体" w:eastAsia="宋体" w:cs="宋体"/>
          <w:b w:val="0"/>
          <w:bCs w:val="0"/>
          <w:i w:val="0"/>
          <w:iCs w:val="0"/>
          <w:color w:val="000000"/>
          <w:sz w:val="21"/>
          <w:szCs w:val="21"/>
        </w:rPr>
        <w:t>：监管长期化、精细化；伪报品名/第三国绕道仍是高频风险；需建设"许可证状态+终用户信息+物流链"的穿透式风控。</w:t>
      </w:r>
    </w:p>
    <w:p w14:paraId="21B351B7">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触发条件</w:t>
      </w:r>
      <w:r>
        <w:rPr>
          <w:rFonts w:ascii="宋体" w:hAnsi="宋体" w:eastAsia="宋体" w:cs="宋体"/>
          <w:b w:val="0"/>
          <w:bCs w:val="0"/>
          <w:i w:val="0"/>
          <w:iCs w:val="0"/>
          <w:color w:val="000000"/>
          <w:sz w:val="21"/>
          <w:szCs w:val="21"/>
        </w:rPr>
        <w:t>：无重大地缘冲突、双方维持"竞合"基调。</w:t>
      </w:r>
    </w:p>
    <w:p w14:paraId="6444A6A9">
      <w:pPr>
        <w:spacing w:before="200" w:after="120"/>
        <w:outlineLvl w:val="1"/>
        <w:rPr>
          <w:rFonts w:ascii="黑体" w:hAnsi="黑体" w:eastAsia="黑体" w:cs="黑体"/>
          <w:b/>
          <w:bCs/>
          <w:color w:val="2E5E8C"/>
          <w:sz w:val="24"/>
          <w:szCs w:val="24"/>
        </w:rPr>
      </w:pPr>
      <w:r>
        <w:rPr>
          <w:rFonts w:ascii="宋体" w:hAnsi="宋体" w:eastAsia="宋体" w:cs="宋体"/>
          <w:b w:val="0"/>
          <w:bCs w:val="0"/>
          <w:i w:val="0"/>
          <w:iCs w:val="0"/>
          <w:color w:val="000000"/>
          <w:sz w:val="21"/>
          <w:szCs w:val="21"/>
        </w:rPr>
        <w:t>S1 螺旋升级·定向断供（概率 25%）</w:t>
      </w:r>
    </w:p>
    <w:p w14:paraId="5576C5A9">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形态</w:t>
      </w:r>
      <w:r>
        <w:rPr>
          <w:rFonts w:ascii="宋体" w:hAnsi="宋体" w:eastAsia="宋体" w:cs="宋体"/>
          <w:b w:val="0"/>
          <w:bCs w:val="0"/>
          <w:i w:val="0"/>
          <w:iCs w:val="0"/>
          <w:color w:val="000000"/>
          <w:sz w:val="21"/>
          <w:szCs w:val="21"/>
        </w:rPr>
        <w:t>：台海/南海/科技制裁某事件触发中国对</w:t>
      </w:r>
      <w:r>
        <w:rPr>
          <w:rFonts w:ascii="黑体" w:hAnsi="黑体" w:eastAsia="黑体" w:cs="黑体"/>
          <w:b/>
          <w:bCs/>
          <w:i w:val="0"/>
          <w:iCs w:val="0"/>
          <w:color w:val="000000"/>
          <w:sz w:val="21"/>
          <w:szCs w:val="21"/>
        </w:rPr>
        <w:t>特定国家</w:t>
      </w:r>
      <w:r>
        <w:rPr>
          <w:rFonts w:ascii="宋体" w:hAnsi="宋体" w:eastAsia="宋体" w:cs="宋体"/>
          <w:b w:val="0"/>
          <w:bCs w:val="0"/>
          <w:i w:val="0"/>
          <w:iCs w:val="0"/>
          <w:color w:val="000000"/>
          <w:sz w:val="21"/>
          <w:szCs w:val="21"/>
        </w:rPr>
        <w:t>（如日本、美国）特定物项（如高纯钨、中重稀土、镓锗）实施"原则上不予许可"，并启动</w:t>
      </w:r>
      <w:r>
        <w:rPr>
          <w:rFonts w:ascii="黑体" w:hAnsi="黑体" w:eastAsia="黑体" w:cs="黑体"/>
          <w:b/>
          <w:bCs/>
          <w:i w:val="0"/>
          <w:iCs w:val="0"/>
          <w:color w:val="000000"/>
          <w:sz w:val="21"/>
          <w:szCs w:val="21"/>
        </w:rPr>
        <w:t>域外管辖</w:t>
      </w:r>
      <w:r>
        <w:rPr>
          <w:rFonts w:ascii="宋体" w:hAnsi="宋体" w:eastAsia="宋体" w:cs="宋体"/>
          <w:b w:val="0"/>
          <w:bCs w:val="0"/>
          <w:i w:val="0"/>
          <w:iCs w:val="0"/>
          <w:color w:val="000000"/>
          <w:sz w:val="21"/>
          <w:szCs w:val="21"/>
        </w:rPr>
        <w:t>追责第三国转运。</w:t>
      </w:r>
    </w:p>
    <w:p w14:paraId="2832BC70">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管制手法</w:t>
      </w:r>
      <w:r>
        <w:rPr>
          <w:rFonts w:ascii="宋体" w:hAnsi="宋体" w:eastAsia="宋体" w:cs="宋体"/>
          <w:b w:val="0"/>
          <w:bCs w:val="0"/>
          <w:i w:val="0"/>
          <w:iCs w:val="0"/>
          <w:color w:val="000000"/>
          <w:sz w:val="21"/>
          <w:szCs w:val="21"/>
        </w:rPr>
        <w:t>：复制 2025 对美 46 号公告（暂停—恢复）的"脉冲式"精准打击；对韩/日等中转国施压，要求其承诺不转口（呼应前期"韩转日"叙事）。</w:t>
      </w:r>
    </w:p>
    <w:p w14:paraId="2CCA5F35">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反制形态</w:t>
      </w:r>
      <w:r>
        <w:rPr>
          <w:rFonts w:ascii="宋体" w:hAnsi="宋体" w:eastAsia="宋体" w:cs="宋体"/>
          <w:b w:val="0"/>
          <w:bCs w:val="0"/>
          <w:i w:val="0"/>
          <w:iCs w:val="0"/>
          <w:color w:val="000000"/>
          <w:sz w:val="21"/>
          <w:szCs w:val="21"/>
        </w:rPr>
        <w:t>：美日启动储备投放、加速盟友产能；西方对中国光伏/电池/电动车发起对等矿产壁垒；WTO 诉讼常态化但执行薄弱。</w:t>
      </w:r>
    </w:p>
    <w:p w14:paraId="015C45CD">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海关含义</w:t>
      </w:r>
      <w:r>
        <w:rPr>
          <w:rFonts w:ascii="宋体" w:hAnsi="宋体" w:eastAsia="宋体" w:cs="宋体"/>
          <w:b w:val="0"/>
          <w:bCs w:val="0"/>
          <w:i w:val="0"/>
          <w:iCs w:val="0"/>
          <w:color w:val="000000"/>
          <w:sz w:val="21"/>
          <w:szCs w:val="21"/>
        </w:rPr>
        <w:t>：</w:t>
      </w:r>
      <w:r>
        <w:rPr>
          <w:rFonts w:ascii="黑体" w:hAnsi="黑体" w:eastAsia="黑体" w:cs="黑体"/>
          <w:b/>
          <w:bCs/>
          <w:i w:val="0"/>
          <w:iCs w:val="0"/>
          <w:color w:val="000000"/>
          <w:sz w:val="21"/>
          <w:szCs w:val="21"/>
        </w:rPr>
        <w:t>短期内查发量暴增</w:t>
      </w:r>
      <w:r>
        <w:rPr>
          <w:rFonts w:ascii="宋体" w:hAnsi="宋体" w:eastAsia="宋体" w:cs="宋体"/>
          <w:b w:val="0"/>
          <w:bCs w:val="0"/>
          <w:i w:val="0"/>
          <w:iCs w:val="0"/>
          <w:color w:val="000000"/>
          <w:sz w:val="21"/>
          <w:szCs w:val="21"/>
        </w:rPr>
        <w:t>，绕道（经东盟、墨西哥）与伪报（以"合金/制品/样品"伪装）手法升级；需预设"突发管制+追溯既往申报3年"的应急核查预案。</w:t>
      </w:r>
    </w:p>
    <w:p w14:paraId="7C126737">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触发条件</w:t>
      </w:r>
      <w:r>
        <w:rPr>
          <w:rFonts w:ascii="宋体" w:hAnsi="宋体" w:eastAsia="宋体" w:cs="宋体"/>
          <w:b w:val="0"/>
          <w:bCs w:val="0"/>
          <w:i w:val="0"/>
          <w:iCs w:val="0"/>
          <w:color w:val="000000"/>
          <w:sz w:val="21"/>
          <w:szCs w:val="21"/>
        </w:rPr>
        <w:t>：重大地缘危机或科技"脱钩"临界点。</w:t>
      </w:r>
    </w:p>
    <w:p w14:paraId="4D1B6595">
      <w:pPr>
        <w:spacing w:before="200" w:after="120"/>
        <w:outlineLvl w:val="1"/>
        <w:rPr>
          <w:rFonts w:ascii="黑体" w:hAnsi="黑体" w:eastAsia="黑体" w:cs="黑体"/>
          <w:b/>
          <w:bCs/>
          <w:color w:val="2E5E8C"/>
          <w:sz w:val="24"/>
          <w:szCs w:val="24"/>
        </w:rPr>
      </w:pPr>
      <w:r>
        <w:rPr>
          <w:rFonts w:ascii="宋体" w:hAnsi="宋体" w:eastAsia="宋体" w:cs="宋体"/>
          <w:b w:val="0"/>
          <w:bCs w:val="0"/>
          <w:i w:val="0"/>
          <w:iCs w:val="0"/>
          <w:color w:val="000000"/>
          <w:sz w:val="21"/>
          <w:szCs w:val="21"/>
        </w:rPr>
        <w:t>S2 阵营化·平行体系（概率 18%）</w:t>
      </w:r>
    </w:p>
    <w:p w14:paraId="39B6F71D">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形态</w:t>
      </w:r>
      <w:r>
        <w:rPr>
          <w:rFonts w:ascii="宋体" w:hAnsi="宋体" w:eastAsia="宋体" w:cs="宋体"/>
          <w:b w:val="0"/>
          <w:bCs w:val="0"/>
          <w:i w:val="0"/>
          <w:iCs w:val="0"/>
          <w:color w:val="000000"/>
          <w:sz w:val="21"/>
          <w:szCs w:val="21"/>
        </w:rPr>
        <w:t>：中美各建排他性矿产集团（中方：资源国+全球南方；美方：G7+伙伴国），第三方被迫选边；多边贸易规则失效，</w:t>
      </w:r>
      <w:r>
        <w:rPr>
          <w:rFonts w:ascii="黑体" w:hAnsi="黑体" w:eastAsia="黑体" w:cs="黑体"/>
          <w:b/>
          <w:bCs/>
          <w:i w:val="0"/>
          <w:iCs w:val="0"/>
          <w:color w:val="000000"/>
          <w:sz w:val="21"/>
          <w:szCs w:val="21"/>
        </w:rPr>
        <w:t>矿产成为"经济北约"核心资产</w:t>
      </w:r>
      <w:r>
        <w:rPr>
          <w:rFonts w:ascii="宋体" w:hAnsi="宋体" w:eastAsia="宋体" w:cs="宋体"/>
          <w:b w:val="0"/>
          <w:bCs w:val="0"/>
          <w:i w:val="0"/>
          <w:iCs w:val="0"/>
          <w:color w:val="000000"/>
          <w:sz w:val="21"/>
          <w:szCs w:val="21"/>
        </w:rPr>
        <w:t>。</w:t>
      </w:r>
    </w:p>
    <w:p w14:paraId="08068DBC">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管制手法</w:t>
      </w:r>
      <w:r>
        <w:rPr>
          <w:rFonts w:ascii="宋体" w:hAnsi="宋体" w:eastAsia="宋体" w:cs="宋体"/>
          <w:b w:val="0"/>
          <w:bCs w:val="0"/>
          <w:i w:val="0"/>
          <w:iCs w:val="0"/>
          <w:color w:val="000000"/>
          <w:sz w:val="21"/>
          <w:szCs w:val="21"/>
        </w:rPr>
        <w:t>：管制与反制完全"阵营内豁免、阵营外封锁"；中国对阵营外实施最严许可，对"友好发展中国家"以资源换基建。</w:t>
      </w:r>
    </w:p>
    <w:p w14:paraId="18554123">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反制形态</w:t>
      </w:r>
      <w:r>
        <w:rPr>
          <w:rFonts w:ascii="宋体" w:hAnsi="宋体" w:eastAsia="宋体" w:cs="宋体"/>
          <w:b w:val="0"/>
          <w:bCs w:val="0"/>
          <w:i w:val="0"/>
          <w:iCs w:val="0"/>
          <w:color w:val="000000"/>
          <w:sz w:val="21"/>
          <w:szCs w:val="21"/>
        </w:rPr>
        <w:t>：西方对中国企业实施"矿产来源尽职调查"强制法案（类比强迫劳动法案），以"人权/强迫劳动"为由封堵中国矿产；形成"你管制、我立法禁"的镜像对抗。</w:t>
      </w:r>
    </w:p>
    <w:p w14:paraId="4010EB18">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海关含义</w:t>
      </w:r>
      <w:r>
        <w:rPr>
          <w:rFonts w:ascii="宋体" w:hAnsi="宋体" w:eastAsia="宋体" w:cs="宋体"/>
          <w:b w:val="0"/>
          <w:bCs w:val="0"/>
          <w:i w:val="0"/>
          <w:iCs w:val="0"/>
          <w:color w:val="000000"/>
          <w:sz w:val="21"/>
          <w:szCs w:val="21"/>
        </w:rPr>
        <w:t>：海关从"贸易监管"转为"战略前线"，需与国安、商务、外交协同；第三国绕道成为系统风险，集装箱/提单溯源、终用户穿透成为核心能力。</w:t>
      </w:r>
    </w:p>
    <w:p w14:paraId="41E57AE4">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触发条件</w:t>
      </w:r>
      <w:r>
        <w:rPr>
          <w:rFonts w:ascii="宋体" w:hAnsi="宋体" w:eastAsia="宋体" w:cs="宋体"/>
          <w:b w:val="0"/>
          <w:bCs w:val="0"/>
          <w:i w:val="0"/>
          <w:iCs w:val="0"/>
          <w:color w:val="000000"/>
          <w:sz w:val="21"/>
          <w:szCs w:val="21"/>
        </w:rPr>
        <w:t>：脱钩论主导、多边机制崩溃。</w:t>
      </w:r>
    </w:p>
    <w:p w14:paraId="13DF7CFA">
      <w:pPr>
        <w:spacing w:before="200" w:after="120"/>
        <w:outlineLvl w:val="1"/>
        <w:rPr>
          <w:rFonts w:ascii="黑体" w:hAnsi="黑体" w:eastAsia="黑体" w:cs="黑体"/>
          <w:b/>
          <w:bCs/>
          <w:color w:val="2E5E8C"/>
          <w:sz w:val="24"/>
          <w:szCs w:val="24"/>
        </w:rPr>
      </w:pPr>
      <w:r>
        <w:rPr>
          <w:rFonts w:ascii="宋体" w:hAnsi="宋体" w:eastAsia="宋体" w:cs="宋体"/>
          <w:b w:val="0"/>
          <w:bCs w:val="0"/>
          <w:i w:val="0"/>
          <w:iCs w:val="0"/>
          <w:color w:val="000000"/>
          <w:sz w:val="21"/>
          <w:szCs w:val="21"/>
        </w:rPr>
        <w:t>S3 缓和·规则共治（概率 8%）</w:t>
      </w:r>
    </w:p>
    <w:p w14:paraId="776F54FC">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形态</w:t>
      </w:r>
      <w:r>
        <w:rPr>
          <w:rFonts w:ascii="宋体" w:hAnsi="宋体" w:eastAsia="宋体" w:cs="宋体"/>
          <w:b w:val="0"/>
          <w:bCs w:val="0"/>
          <w:i w:val="0"/>
          <w:iCs w:val="0"/>
          <w:color w:val="000000"/>
          <w:sz w:val="21"/>
          <w:szCs w:val="21"/>
        </w:rPr>
        <w:t>：某次供给危机（如新能源/军工断料）倒逼中美欧建立"关键矿产稳定对话"，设定配额、价格区间与危机缓冲。</w:t>
      </w:r>
    </w:p>
    <w:p w14:paraId="7FB28DCA">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管制手法</w:t>
      </w:r>
      <w:r>
        <w:rPr>
          <w:rFonts w:ascii="宋体" w:hAnsi="宋体" w:eastAsia="宋体" w:cs="宋体"/>
          <w:b w:val="0"/>
          <w:bCs w:val="0"/>
          <w:i w:val="0"/>
          <w:iCs w:val="0"/>
          <w:color w:val="000000"/>
          <w:sz w:val="21"/>
          <w:szCs w:val="21"/>
        </w:rPr>
        <w:t>：从"武器化"回归"管理化"，清单收敛，许可证互认试点。</w:t>
      </w:r>
    </w:p>
    <w:p w14:paraId="49221B39">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反制形态</w:t>
      </w:r>
      <w:r>
        <w:rPr>
          <w:rFonts w:ascii="宋体" w:hAnsi="宋体" w:eastAsia="宋体" w:cs="宋体"/>
          <w:b w:val="0"/>
          <w:bCs w:val="0"/>
          <w:i w:val="0"/>
          <w:iCs w:val="0"/>
          <w:color w:val="000000"/>
          <w:sz w:val="21"/>
          <w:szCs w:val="21"/>
        </w:rPr>
        <w:t>：相互解除部分对等限制，建立"矿产北约式"透明机制。</w:t>
      </w:r>
    </w:p>
    <w:p w14:paraId="39BA8C77">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海关含义</w:t>
      </w:r>
      <w:r>
        <w:rPr>
          <w:rFonts w:ascii="宋体" w:hAnsi="宋体" w:eastAsia="宋体" w:cs="宋体"/>
          <w:b w:val="0"/>
          <w:bCs w:val="0"/>
          <w:i w:val="0"/>
          <w:iCs w:val="0"/>
          <w:color w:val="000000"/>
          <w:sz w:val="21"/>
          <w:szCs w:val="21"/>
        </w:rPr>
        <w:t>：监管回归合规导向，重点转为"防欺诈"而非"防流出"。</w:t>
      </w:r>
    </w:p>
    <w:p w14:paraId="305B4231">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触发条件</w:t>
      </w:r>
      <w:r>
        <w:rPr>
          <w:rFonts w:ascii="宋体" w:hAnsi="宋体" w:eastAsia="宋体" w:cs="宋体"/>
          <w:b w:val="0"/>
          <w:bCs w:val="0"/>
          <w:i w:val="0"/>
          <w:iCs w:val="0"/>
          <w:color w:val="000000"/>
          <w:sz w:val="21"/>
          <w:szCs w:val="21"/>
        </w:rPr>
        <w:t>：双方均承受不住通胀/产业断链代价，政治意愿转向。</w:t>
      </w:r>
    </w:p>
    <w:p w14:paraId="60360F2B">
      <w:pPr>
        <w:spacing w:before="200" w:after="120"/>
        <w:outlineLvl w:val="1"/>
        <w:rPr>
          <w:rFonts w:ascii="黑体" w:hAnsi="黑体" w:eastAsia="黑体" w:cs="黑体"/>
          <w:b/>
          <w:bCs/>
          <w:color w:val="2E5E8C"/>
          <w:sz w:val="24"/>
          <w:szCs w:val="24"/>
        </w:rPr>
      </w:pPr>
      <w:r>
        <w:rPr>
          <w:rFonts w:ascii="宋体" w:hAnsi="宋体" w:eastAsia="宋体" w:cs="宋体"/>
          <w:b w:val="0"/>
          <w:bCs w:val="0"/>
          <w:i w:val="0"/>
          <w:iCs w:val="0"/>
          <w:color w:val="000000"/>
          <w:sz w:val="21"/>
          <w:szCs w:val="21"/>
        </w:rPr>
        <w:t>S4 技术替代·需求塌方（概率 4%）</w:t>
      </w:r>
    </w:p>
    <w:p w14:paraId="0F54C879">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形态</w:t>
      </w:r>
      <w:r>
        <w:rPr>
          <w:rFonts w:ascii="宋体" w:hAnsi="宋体" w:eastAsia="宋体" w:cs="宋体"/>
          <w:b w:val="0"/>
          <w:bCs w:val="0"/>
          <w:i w:val="0"/>
          <w:iCs w:val="0"/>
          <w:color w:val="000000"/>
          <w:sz w:val="21"/>
          <w:szCs w:val="21"/>
        </w:rPr>
        <w:t>：城市矿山（回收）、合成材料、减量化设计在 2030 前取得突破，</w:t>
      </w:r>
      <w:r>
        <w:rPr>
          <w:rFonts w:ascii="黑体" w:hAnsi="黑体" w:eastAsia="黑体" w:cs="黑体"/>
          <w:b/>
          <w:bCs/>
          <w:i w:val="0"/>
          <w:iCs w:val="0"/>
          <w:color w:val="000000"/>
          <w:sz w:val="21"/>
          <w:szCs w:val="21"/>
        </w:rPr>
        <w:t>中国加工垄断红利衰减</w:t>
      </w:r>
      <w:r>
        <w:rPr>
          <w:rFonts w:ascii="宋体" w:hAnsi="宋体" w:eastAsia="宋体" w:cs="宋体"/>
          <w:b w:val="0"/>
          <w:bCs w:val="0"/>
          <w:i w:val="0"/>
          <w:iCs w:val="0"/>
          <w:color w:val="000000"/>
          <w:sz w:val="21"/>
          <w:szCs w:val="21"/>
        </w:rPr>
        <w:t>；管制博弈重心转移至"标准与回收技术"而非"原矿"。</w:t>
      </w:r>
    </w:p>
    <w:p w14:paraId="1EC035B0">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管制手法</w:t>
      </w:r>
      <w:r>
        <w:rPr>
          <w:rFonts w:ascii="宋体" w:hAnsi="宋体" w:eastAsia="宋体" w:cs="宋体"/>
          <w:b w:val="0"/>
          <w:bCs w:val="0"/>
          <w:i w:val="0"/>
          <w:iCs w:val="0"/>
          <w:color w:val="000000"/>
          <w:sz w:val="21"/>
          <w:szCs w:val="21"/>
        </w:rPr>
        <w:t>：原矿管制边际效用下降，重心转向"回收料/再生料"与"加工技术"出口管制（呼应 26号公告对再生钨的监管空白补全）。</w:t>
      </w:r>
    </w:p>
    <w:p w14:paraId="439F2355">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反制形态</w:t>
      </w:r>
      <w:r>
        <w:rPr>
          <w:rFonts w:ascii="宋体" w:hAnsi="宋体" w:eastAsia="宋体" w:cs="宋体"/>
          <w:b w:val="0"/>
          <w:bCs w:val="0"/>
          <w:i w:val="0"/>
          <w:iCs w:val="0"/>
          <w:color w:val="000000"/>
          <w:sz w:val="21"/>
          <w:szCs w:val="21"/>
        </w:rPr>
        <w:t>：西方以"绿色标准"反制中国冶炼产能（碳关税+负责任矿产）。</w:t>
      </w:r>
    </w:p>
    <w:p w14:paraId="6D8C0FDE">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海关含义</w:t>
      </w:r>
      <w:r>
        <w:rPr>
          <w:rFonts w:ascii="宋体" w:hAnsi="宋体" w:eastAsia="宋体" w:cs="宋体"/>
          <w:b w:val="0"/>
          <w:bCs w:val="0"/>
          <w:i w:val="0"/>
          <w:iCs w:val="0"/>
          <w:color w:val="000000"/>
          <w:sz w:val="21"/>
          <w:szCs w:val="21"/>
        </w:rPr>
        <w:t>：监管对象从"原矿/粉体"扩展到"废料的合法回流与再生品"，再生钨、再生稀土成为新盲区。</w:t>
      </w:r>
    </w:p>
    <w:p w14:paraId="2DDDC625">
      <w:pPr>
        <w:numPr>
          <w:ilvl w:val="0"/>
          <w:numId w:val="7"/>
        </w:numPr>
        <w:spacing w:after="60"/>
        <w:ind w:left="720" w:hanging="360"/>
        <w:rPr>
          <w:rFonts w:ascii="宋体" w:hAnsi="宋体" w:eastAsia="宋体" w:cs="宋体"/>
          <w:sz w:val="21"/>
          <w:szCs w:val="21"/>
        </w:rPr>
      </w:pPr>
      <w:r>
        <w:rPr>
          <w:rFonts w:ascii="黑体" w:hAnsi="黑体" w:eastAsia="黑体" w:cs="黑体"/>
          <w:b/>
          <w:bCs/>
          <w:i w:val="0"/>
          <w:iCs w:val="0"/>
          <w:color w:val="000000"/>
          <w:sz w:val="21"/>
          <w:szCs w:val="21"/>
        </w:rPr>
        <w:t>触发条件</w:t>
      </w:r>
      <w:r>
        <w:rPr>
          <w:rFonts w:ascii="宋体" w:hAnsi="宋体" w:eastAsia="宋体" w:cs="宋体"/>
          <w:b w:val="0"/>
          <w:bCs w:val="0"/>
          <w:i w:val="0"/>
          <w:iCs w:val="0"/>
          <w:color w:val="000000"/>
          <w:sz w:val="21"/>
          <w:szCs w:val="21"/>
        </w:rPr>
        <w:t>：回收率/替代材料技术突破超预期。</w:t>
      </w:r>
    </w:p>
    <w:p w14:paraId="66E526CA">
      <w:pPr>
        <w:pStyle w:val="3"/>
      </w:pPr>
      <w:r>
        <w:t>14 独立战略洞察与海关监管建议</w:t>
      </w:r>
    </w:p>
    <w:p w14:paraId="6EBAF384">
      <w:pPr>
        <w:pStyle w:val="4"/>
      </w:pPr>
      <w:r>
        <w:t>14.1 八项独立战略洞察</w:t>
      </w:r>
    </w:p>
    <w:p w14:paraId="7E52A667">
      <w:pPr>
        <w:pStyle w:val="14"/>
        <w:spacing w:after="60" w:line="312" w:lineRule="auto"/>
        <w:ind w:left="490" w:hanging="288"/>
      </w:pPr>
      <w:r>
        <w:rPr>
          <w:rFonts w:ascii="Arial" w:hAnsi="Arial" w:eastAsia="宋体"/>
          <w:b w:val="0"/>
          <w:i w:val="0"/>
          <w:color w:val="1F2937"/>
          <w:sz w:val="21"/>
        </w:rPr>
        <w:t>洞察一：加工能力正在成为比矿权更持久的结构性权力。资源可被发现，连续工业工艺和客户认证更难复制。</w:t>
      </w:r>
    </w:p>
    <w:p w14:paraId="2F23D62A">
      <w:pPr>
        <w:pStyle w:val="14"/>
        <w:spacing w:after="60" w:line="312" w:lineRule="auto"/>
        <w:ind w:left="490" w:hanging="288"/>
      </w:pPr>
      <w:r>
        <w:rPr>
          <w:rFonts w:ascii="Arial" w:hAnsi="Arial" w:eastAsia="宋体"/>
          <w:b w:val="0"/>
          <w:i w:val="0"/>
          <w:color w:val="1F2937"/>
          <w:sz w:val="21"/>
        </w:rPr>
        <w:t>洞察二：政府正在成为关键矿产市场的做市商。贷款、承购、价格底线和储备共同重塑价格发现。</w:t>
      </w:r>
    </w:p>
    <w:p w14:paraId="47686F23">
      <w:pPr>
        <w:pStyle w:val="14"/>
        <w:spacing w:after="60" w:line="312" w:lineRule="auto"/>
        <w:ind w:left="490" w:hanging="288"/>
      </w:pPr>
      <w:r>
        <w:rPr>
          <w:rFonts w:ascii="Arial" w:hAnsi="Arial" w:eastAsia="宋体"/>
          <w:b w:val="0"/>
          <w:i w:val="0"/>
          <w:color w:val="1F2937"/>
          <w:sz w:val="21"/>
        </w:rPr>
        <w:t>洞察三：未来市场可能长期存在“商业价格”和“安全价格”双轨。安全溢价反映冗余、标准和政策条件，而非单纯材料成本。</w:t>
      </w:r>
    </w:p>
    <w:p w14:paraId="5D0A3DF1">
      <w:pPr>
        <w:pStyle w:val="14"/>
        <w:spacing w:after="60" w:line="312" w:lineRule="auto"/>
        <w:ind w:left="490" w:hanging="288"/>
      </w:pPr>
      <w:r>
        <w:rPr>
          <w:rFonts w:ascii="Arial" w:hAnsi="Arial" w:eastAsia="宋体"/>
          <w:b w:val="0"/>
          <w:i w:val="0"/>
          <w:color w:val="1F2937"/>
          <w:sz w:val="21"/>
        </w:rPr>
        <w:t>洞察四：联盟化会降低单一国家风险，也可能制造集团内重复投资和集团间规则不兼容。真正指标是新增合格产能，不是签署文件数量。</w:t>
      </w:r>
    </w:p>
    <w:p w14:paraId="237DA267">
      <w:pPr>
        <w:pStyle w:val="14"/>
        <w:spacing w:after="60" w:line="312" w:lineRule="auto"/>
        <w:ind w:left="490" w:hanging="288"/>
      </w:pPr>
      <w:r>
        <w:rPr>
          <w:rFonts w:ascii="Arial" w:hAnsi="Arial" w:eastAsia="宋体"/>
          <w:b w:val="0"/>
          <w:i w:val="0"/>
          <w:color w:val="1F2937"/>
          <w:sz w:val="21"/>
        </w:rPr>
        <w:t>洞察五：2025—2030年最危险的不是资源绝对短缺，而是政策即时变化与产能慢速建设之间的时间错配。</w:t>
      </w:r>
    </w:p>
    <w:p w14:paraId="32A18DA3">
      <w:pPr>
        <w:pStyle w:val="14"/>
        <w:spacing w:after="60" w:line="312" w:lineRule="auto"/>
        <w:ind w:left="490" w:hanging="288"/>
      </w:pPr>
      <w:r>
        <w:rPr>
          <w:rFonts w:ascii="Arial" w:hAnsi="Arial" w:eastAsia="宋体"/>
          <w:b w:val="0"/>
          <w:i w:val="0"/>
          <w:color w:val="1F2937"/>
          <w:sz w:val="21"/>
        </w:rPr>
        <w:t>洞察六：回收、减量和替代不是同一策略。回收解决原料循环，减量改善单位需求，替代则改变产品体系，时间尺度完全不同。</w:t>
      </w:r>
    </w:p>
    <w:p w14:paraId="7FC55E80">
      <w:pPr>
        <w:pStyle w:val="14"/>
        <w:spacing w:after="60" w:line="312" w:lineRule="auto"/>
        <w:ind w:left="490" w:hanging="288"/>
      </w:pPr>
      <w:r>
        <w:rPr>
          <w:rFonts w:ascii="Arial" w:hAnsi="Arial" w:eastAsia="宋体"/>
          <w:b w:val="0"/>
          <w:i w:val="0"/>
          <w:color w:val="1F2937"/>
          <w:sz w:val="21"/>
        </w:rPr>
        <w:t>洞察七：贸易绕行与合法转口并存。路线变化只有与受控物项、许可证缺口和异常单证共同出现时，才具有高风险意义。</w:t>
      </w:r>
    </w:p>
    <w:p w14:paraId="06AE397F">
      <w:pPr>
        <w:pStyle w:val="14"/>
        <w:spacing w:after="60" w:line="312" w:lineRule="auto"/>
        <w:ind w:left="490" w:hanging="288"/>
      </w:pPr>
      <w:r>
        <w:rPr>
          <w:rFonts w:ascii="Arial" w:hAnsi="Arial" w:eastAsia="宋体"/>
          <w:b w:val="0"/>
          <w:i w:val="0"/>
          <w:color w:val="1F2937"/>
          <w:sz w:val="21"/>
        </w:rPr>
        <w:t>洞察八：海关数据的战略价值将上升。许可、报关、检测、物流、企业关系和资金数据的连接能力，决定监管能否从事后查发转向事前预警。</w:t>
      </w:r>
    </w:p>
    <w:p w14:paraId="0BC99481">
      <w:pPr>
        <w:pStyle w:val="4"/>
      </w:pPr>
      <w:r>
        <w:t>14.2 海关监管系统建设建议</w:t>
      </w:r>
    </w:p>
    <w:p w14:paraId="63EC84A9">
      <w:pPr>
        <w:pStyle w:val="164"/>
        <w:jc w:val="left"/>
      </w:pPr>
      <w:r>
        <w:t>表14-1  海关监管能力建设路线图</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6000"/>
        <w:gridCol w:w="1610"/>
      </w:tblGrid>
      <w:tr w14:paraId="0383D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50" w:type="dxa"/>
            <w:shd w:val="clear" w:color="auto" w:fill="17365D"/>
            <w:tcMar>
              <w:top w:w="90" w:type="dxa"/>
              <w:left w:w="120" w:type="dxa"/>
              <w:bottom w:w="90" w:type="dxa"/>
              <w:right w:w="120" w:type="dxa"/>
            </w:tcMar>
            <w:vAlign w:val="center"/>
          </w:tcPr>
          <w:p w14:paraId="6A2D606A">
            <w:pPr>
              <w:spacing w:after="0"/>
              <w:jc w:val="center"/>
            </w:pPr>
            <w:r>
              <w:rPr>
                <w:rFonts w:ascii="Arial" w:hAnsi="Arial" w:eastAsia="微软雅黑"/>
                <w:b/>
                <w:i w:val="0"/>
                <w:color w:val="FFFFFF"/>
                <w:sz w:val="18"/>
              </w:rPr>
              <w:t>能力模块</w:t>
            </w:r>
          </w:p>
        </w:tc>
        <w:tc>
          <w:tcPr>
            <w:tcW w:w="6000" w:type="dxa"/>
            <w:shd w:val="clear" w:color="auto" w:fill="17365D"/>
            <w:tcMar>
              <w:top w:w="90" w:type="dxa"/>
              <w:left w:w="120" w:type="dxa"/>
              <w:bottom w:w="90" w:type="dxa"/>
              <w:right w:w="120" w:type="dxa"/>
            </w:tcMar>
            <w:vAlign w:val="center"/>
          </w:tcPr>
          <w:p w14:paraId="108EF473">
            <w:pPr>
              <w:spacing w:after="0"/>
              <w:jc w:val="center"/>
            </w:pPr>
            <w:r>
              <w:rPr>
                <w:rFonts w:ascii="Arial" w:hAnsi="Arial" w:eastAsia="微软雅黑"/>
                <w:b/>
                <w:i w:val="0"/>
                <w:color w:val="FFFFFF"/>
                <w:sz w:val="18"/>
              </w:rPr>
              <w:t>建设内容</w:t>
            </w:r>
          </w:p>
        </w:tc>
        <w:tc>
          <w:tcPr>
            <w:tcW w:w="1610" w:type="dxa"/>
            <w:shd w:val="clear" w:color="auto" w:fill="17365D"/>
            <w:tcMar>
              <w:top w:w="90" w:type="dxa"/>
              <w:left w:w="120" w:type="dxa"/>
              <w:bottom w:w="90" w:type="dxa"/>
              <w:right w:w="120" w:type="dxa"/>
            </w:tcMar>
            <w:vAlign w:val="center"/>
          </w:tcPr>
          <w:p w14:paraId="089773B3">
            <w:pPr>
              <w:spacing w:after="0"/>
              <w:jc w:val="center"/>
            </w:pPr>
            <w:r>
              <w:rPr>
                <w:rFonts w:ascii="Arial" w:hAnsi="Arial" w:eastAsia="微软雅黑"/>
                <w:b/>
                <w:i w:val="0"/>
                <w:color w:val="FFFFFF"/>
                <w:sz w:val="18"/>
              </w:rPr>
              <w:t>建议时序</w:t>
            </w:r>
          </w:p>
        </w:tc>
      </w:tr>
      <w:tr w14:paraId="350E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Pr>
          <w:p w14:paraId="7EC0188D">
            <w:pPr>
              <w:spacing w:after="0" w:line="276" w:lineRule="auto"/>
              <w:jc w:val="center"/>
            </w:pPr>
            <w:r>
              <w:rPr>
                <w:rFonts w:ascii="Arial" w:hAnsi="Arial" w:eastAsia="宋体"/>
                <w:b w:val="0"/>
                <w:i w:val="0"/>
                <w:color w:val="1F2937"/>
                <w:sz w:val="17"/>
              </w:rPr>
              <w:t>政策状态引擎</w:t>
            </w:r>
          </w:p>
        </w:tc>
        <w:tc>
          <w:tcPr>
            <w:tcW w:w="6000" w:type="dxa"/>
          </w:tcPr>
          <w:p w14:paraId="60981119">
            <w:pPr>
              <w:spacing w:after="0" w:line="276" w:lineRule="auto"/>
              <w:jc w:val="left"/>
            </w:pPr>
            <w:r>
              <w:rPr>
                <w:rFonts w:ascii="Arial" w:hAnsi="Arial" w:eastAsia="宋体"/>
                <w:b w:val="0"/>
                <w:i w:val="0"/>
                <w:color w:val="1F2937"/>
                <w:sz w:val="17"/>
              </w:rPr>
              <w:t>按生效、暂停、恢复、过渡期和目的地差异计算当期有效规则，保留历史快照。</w:t>
            </w:r>
          </w:p>
        </w:tc>
        <w:tc>
          <w:tcPr>
            <w:tcW w:w="1610" w:type="dxa"/>
          </w:tcPr>
          <w:p w14:paraId="25FDBB2D">
            <w:pPr>
              <w:spacing w:after="0" w:line="276" w:lineRule="auto"/>
              <w:jc w:val="left"/>
            </w:pPr>
            <w:r>
              <w:rPr>
                <w:rFonts w:ascii="Arial" w:hAnsi="Arial" w:eastAsia="宋体"/>
                <w:b w:val="0"/>
                <w:i w:val="0"/>
                <w:color w:val="1F2937"/>
                <w:sz w:val="17"/>
              </w:rPr>
              <w:t>立即</w:t>
            </w:r>
          </w:p>
        </w:tc>
      </w:tr>
      <w:tr w14:paraId="2C6B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shd w:val="clear" w:color="auto" w:fill="F3F5F7"/>
          </w:tcPr>
          <w:p w14:paraId="3D6508DE">
            <w:pPr>
              <w:spacing w:after="0" w:line="276" w:lineRule="auto"/>
              <w:jc w:val="center"/>
            </w:pPr>
            <w:r>
              <w:rPr>
                <w:rFonts w:ascii="Arial" w:hAnsi="Arial" w:eastAsia="宋体"/>
                <w:b w:val="0"/>
                <w:i w:val="0"/>
                <w:color w:val="1F2937"/>
                <w:sz w:val="17"/>
              </w:rPr>
              <w:t>物项参数知识库</w:t>
            </w:r>
          </w:p>
        </w:tc>
        <w:tc>
          <w:tcPr>
            <w:tcW w:w="6000" w:type="dxa"/>
            <w:shd w:val="clear" w:color="auto" w:fill="F3F5F7"/>
          </w:tcPr>
          <w:p w14:paraId="2C084480">
            <w:pPr>
              <w:spacing w:after="0" w:line="276" w:lineRule="auto"/>
              <w:jc w:val="left"/>
            </w:pPr>
            <w:r>
              <w:rPr>
                <w:rFonts w:ascii="Arial" w:hAnsi="Arial" w:eastAsia="宋体"/>
                <w:b w:val="0"/>
                <w:i w:val="0"/>
                <w:color w:val="1F2937"/>
                <w:sz w:val="17"/>
              </w:rPr>
              <w:t>连接管制编码、税号、成分、纯度、粒度、尺寸、形态、用途和检测方法。</w:t>
            </w:r>
          </w:p>
        </w:tc>
        <w:tc>
          <w:tcPr>
            <w:tcW w:w="1610" w:type="dxa"/>
            <w:shd w:val="clear" w:color="auto" w:fill="F3F5F7"/>
          </w:tcPr>
          <w:p w14:paraId="0788A342">
            <w:pPr>
              <w:spacing w:after="0" w:line="276" w:lineRule="auto"/>
              <w:jc w:val="left"/>
            </w:pPr>
            <w:r>
              <w:rPr>
                <w:rFonts w:ascii="Arial" w:hAnsi="Arial" w:eastAsia="宋体"/>
                <w:b w:val="0"/>
                <w:i w:val="0"/>
                <w:color w:val="1F2937"/>
                <w:sz w:val="17"/>
              </w:rPr>
              <w:t>立即</w:t>
            </w:r>
          </w:p>
        </w:tc>
      </w:tr>
      <w:tr w14:paraId="3EB57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Pr>
          <w:p w14:paraId="0B038BBD">
            <w:pPr>
              <w:spacing w:after="0" w:line="276" w:lineRule="auto"/>
              <w:jc w:val="center"/>
            </w:pPr>
            <w:r>
              <w:rPr>
                <w:rFonts w:ascii="Arial" w:hAnsi="Arial" w:eastAsia="宋体"/>
                <w:b w:val="0"/>
                <w:i w:val="0"/>
                <w:color w:val="1F2937"/>
                <w:sz w:val="17"/>
              </w:rPr>
              <w:t>许可证字段核验</w:t>
            </w:r>
          </w:p>
        </w:tc>
        <w:tc>
          <w:tcPr>
            <w:tcW w:w="6000" w:type="dxa"/>
          </w:tcPr>
          <w:p w14:paraId="69576EA1">
            <w:pPr>
              <w:spacing w:after="0" w:line="276" w:lineRule="auto"/>
              <w:jc w:val="left"/>
            </w:pPr>
            <w:r>
              <w:rPr>
                <w:rFonts w:ascii="Arial" w:hAnsi="Arial" w:eastAsia="宋体"/>
                <w:b w:val="0"/>
                <w:i w:val="0"/>
                <w:color w:val="1F2937"/>
                <w:sz w:val="17"/>
              </w:rPr>
              <w:t>自动比对物项、数量、买方、最终用户、有效期、口岸和核销记录。</w:t>
            </w:r>
          </w:p>
        </w:tc>
        <w:tc>
          <w:tcPr>
            <w:tcW w:w="1610" w:type="dxa"/>
          </w:tcPr>
          <w:p w14:paraId="5B9E6FC2">
            <w:pPr>
              <w:spacing w:after="0" w:line="276" w:lineRule="auto"/>
              <w:jc w:val="left"/>
            </w:pPr>
            <w:r>
              <w:rPr>
                <w:rFonts w:ascii="Arial" w:hAnsi="Arial" w:eastAsia="宋体"/>
                <w:b w:val="0"/>
                <w:i w:val="0"/>
                <w:color w:val="1F2937"/>
                <w:sz w:val="17"/>
              </w:rPr>
              <w:t>立即</w:t>
            </w:r>
          </w:p>
        </w:tc>
      </w:tr>
      <w:tr w14:paraId="51BAF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shd w:val="clear" w:color="auto" w:fill="F3F5F7"/>
          </w:tcPr>
          <w:p w14:paraId="13CA233B">
            <w:pPr>
              <w:spacing w:after="0" w:line="276" w:lineRule="auto"/>
              <w:jc w:val="center"/>
            </w:pPr>
            <w:r>
              <w:rPr>
                <w:rFonts w:ascii="Arial" w:hAnsi="Arial" w:eastAsia="宋体"/>
                <w:b w:val="0"/>
                <w:i w:val="0"/>
                <w:color w:val="1F2937"/>
                <w:sz w:val="17"/>
              </w:rPr>
              <w:t>跨票聚合模型</w:t>
            </w:r>
          </w:p>
        </w:tc>
        <w:tc>
          <w:tcPr>
            <w:tcW w:w="6000" w:type="dxa"/>
            <w:shd w:val="clear" w:color="auto" w:fill="F3F5F7"/>
          </w:tcPr>
          <w:p w14:paraId="3B5C3928">
            <w:pPr>
              <w:spacing w:after="0" w:line="276" w:lineRule="auto"/>
              <w:jc w:val="left"/>
            </w:pPr>
            <w:r>
              <w:rPr>
                <w:rFonts w:ascii="Arial" w:hAnsi="Arial" w:eastAsia="宋体"/>
                <w:b w:val="0"/>
                <w:i w:val="0"/>
                <w:color w:val="1F2937"/>
                <w:sz w:val="17"/>
              </w:rPr>
              <w:t>按主体、地址、电话、货描、路线、收款方和时间窗口识别拆单与主体替换。</w:t>
            </w:r>
          </w:p>
        </w:tc>
        <w:tc>
          <w:tcPr>
            <w:tcW w:w="1610" w:type="dxa"/>
            <w:shd w:val="clear" w:color="auto" w:fill="F3F5F7"/>
          </w:tcPr>
          <w:p w14:paraId="1532597E">
            <w:pPr>
              <w:spacing w:after="0" w:line="276" w:lineRule="auto"/>
              <w:jc w:val="left"/>
            </w:pPr>
            <w:r>
              <w:rPr>
                <w:rFonts w:ascii="Arial" w:hAnsi="Arial" w:eastAsia="宋体"/>
                <w:b w:val="0"/>
                <w:i w:val="0"/>
                <w:color w:val="1F2937"/>
                <w:sz w:val="17"/>
              </w:rPr>
              <w:t>6个月</w:t>
            </w:r>
          </w:p>
        </w:tc>
      </w:tr>
      <w:tr w14:paraId="5BAF0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Pr>
          <w:p w14:paraId="148E0D7F">
            <w:pPr>
              <w:spacing w:after="0" w:line="276" w:lineRule="auto"/>
              <w:jc w:val="center"/>
            </w:pPr>
            <w:r>
              <w:rPr>
                <w:rFonts w:ascii="Arial" w:hAnsi="Arial" w:eastAsia="宋体"/>
                <w:b w:val="0"/>
                <w:i w:val="0"/>
                <w:color w:val="1F2937"/>
                <w:sz w:val="17"/>
              </w:rPr>
              <w:t>企业关系穿透</w:t>
            </w:r>
          </w:p>
        </w:tc>
        <w:tc>
          <w:tcPr>
            <w:tcW w:w="6000" w:type="dxa"/>
          </w:tcPr>
          <w:p w14:paraId="19814458">
            <w:pPr>
              <w:spacing w:after="0" w:line="276" w:lineRule="auto"/>
              <w:jc w:val="left"/>
            </w:pPr>
            <w:r>
              <w:rPr>
                <w:rFonts w:ascii="Arial" w:hAnsi="Arial" w:eastAsia="宋体"/>
                <w:b w:val="0"/>
                <w:i w:val="0"/>
                <w:color w:val="1F2937"/>
                <w:sz w:val="17"/>
              </w:rPr>
              <w:t>区分股权控制、共同人员、共同地址、货代关系、一次性交易和长期承购。</w:t>
            </w:r>
          </w:p>
        </w:tc>
        <w:tc>
          <w:tcPr>
            <w:tcW w:w="1610" w:type="dxa"/>
          </w:tcPr>
          <w:p w14:paraId="6A713909">
            <w:pPr>
              <w:spacing w:after="0" w:line="276" w:lineRule="auto"/>
              <w:jc w:val="left"/>
            </w:pPr>
            <w:r>
              <w:rPr>
                <w:rFonts w:ascii="Arial" w:hAnsi="Arial" w:eastAsia="宋体"/>
                <w:b w:val="0"/>
                <w:i w:val="0"/>
                <w:color w:val="1F2937"/>
                <w:sz w:val="17"/>
              </w:rPr>
              <w:t>6—12个月</w:t>
            </w:r>
          </w:p>
        </w:tc>
      </w:tr>
      <w:tr w14:paraId="40031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shd w:val="clear" w:color="auto" w:fill="F3F5F7"/>
          </w:tcPr>
          <w:p w14:paraId="4D824EA6">
            <w:pPr>
              <w:spacing w:after="0" w:line="276" w:lineRule="auto"/>
              <w:jc w:val="center"/>
            </w:pPr>
            <w:r>
              <w:rPr>
                <w:rFonts w:ascii="Arial" w:hAnsi="Arial" w:eastAsia="宋体"/>
                <w:b w:val="0"/>
                <w:i w:val="0"/>
                <w:color w:val="1F2937"/>
                <w:sz w:val="17"/>
              </w:rPr>
              <w:t>最终用户画像</w:t>
            </w:r>
          </w:p>
        </w:tc>
        <w:tc>
          <w:tcPr>
            <w:tcW w:w="6000" w:type="dxa"/>
            <w:shd w:val="clear" w:color="auto" w:fill="F3F5F7"/>
          </w:tcPr>
          <w:p w14:paraId="1D6E5741">
            <w:pPr>
              <w:spacing w:after="0" w:line="276" w:lineRule="auto"/>
              <w:jc w:val="left"/>
            </w:pPr>
            <w:r>
              <w:rPr>
                <w:rFonts w:ascii="Arial" w:hAnsi="Arial" w:eastAsia="宋体"/>
                <w:b w:val="0"/>
                <w:i w:val="0"/>
                <w:color w:val="1F2937"/>
                <w:sz w:val="17"/>
              </w:rPr>
              <w:t>结合买方行业、产能、设备、终端产品和关联客户核验用途合理性。</w:t>
            </w:r>
          </w:p>
        </w:tc>
        <w:tc>
          <w:tcPr>
            <w:tcW w:w="1610" w:type="dxa"/>
            <w:shd w:val="clear" w:color="auto" w:fill="F3F5F7"/>
          </w:tcPr>
          <w:p w14:paraId="3076DCB4">
            <w:pPr>
              <w:spacing w:after="0" w:line="276" w:lineRule="auto"/>
              <w:jc w:val="left"/>
            </w:pPr>
            <w:r>
              <w:rPr>
                <w:rFonts w:ascii="Arial" w:hAnsi="Arial" w:eastAsia="宋体"/>
                <w:b w:val="0"/>
                <w:i w:val="0"/>
                <w:color w:val="1F2937"/>
                <w:sz w:val="17"/>
              </w:rPr>
              <w:t>6—12个月</w:t>
            </w:r>
          </w:p>
        </w:tc>
      </w:tr>
      <w:tr w14:paraId="0604F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Pr>
          <w:p w14:paraId="265DFED0">
            <w:pPr>
              <w:spacing w:after="0" w:line="276" w:lineRule="auto"/>
              <w:jc w:val="center"/>
            </w:pPr>
            <w:r>
              <w:rPr>
                <w:rFonts w:ascii="Arial" w:hAnsi="Arial" w:eastAsia="宋体"/>
                <w:b w:val="0"/>
                <w:i w:val="0"/>
                <w:color w:val="1F2937"/>
                <w:sz w:val="17"/>
              </w:rPr>
              <w:t>境外政策与项目监测</w:t>
            </w:r>
          </w:p>
        </w:tc>
        <w:tc>
          <w:tcPr>
            <w:tcW w:w="6000" w:type="dxa"/>
          </w:tcPr>
          <w:p w14:paraId="7CC2D6E5">
            <w:pPr>
              <w:spacing w:after="0" w:line="276" w:lineRule="auto"/>
              <w:jc w:val="left"/>
            </w:pPr>
            <w:r>
              <w:rPr>
                <w:rFonts w:ascii="Arial" w:hAnsi="Arial" w:eastAsia="宋体"/>
                <w:b w:val="0"/>
                <w:i w:val="0"/>
                <w:color w:val="1F2937"/>
                <w:sz w:val="17"/>
              </w:rPr>
              <w:t>记录融资、开工、试产、认证和商业交付，避免把计划产能当作现实供给。</w:t>
            </w:r>
          </w:p>
        </w:tc>
        <w:tc>
          <w:tcPr>
            <w:tcW w:w="1610" w:type="dxa"/>
          </w:tcPr>
          <w:p w14:paraId="797A03E7">
            <w:pPr>
              <w:spacing w:after="0" w:line="276" w:lineRule="auto"/>
              <w:jc w:val="left"/>
            </w:pPr>
            <w:r>
              <w:rPr>
                <w:rFonts w:ascii="Arial" w:hAnsi="Arial" w:eastAsia="宋体"/>
                <w:b w:val="0"/>
                <w:i w:val="0"/>
                <w:color w:val="1F2937"/>
                <w:sz w:val="17"/>
              </w:rPr>
              <w:t>持续</w:t>
            </w:r>
          </w:p>
        </w:tc>
      </w:tr>
      <w:tr w14:paraId="3931A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shd w:val="clear" w:color="auto" w:fill="F3F5F7"/>
          </w:tcPr>
          <w:p w14:paraId="358338CE">
            <w:pPr>
              <w:spacing w:after="0" w:line="276" w:lineRule="auto"/>
              <w:jc w:val="center"/>
            </w:pPr>
            <w:r>
              <w:rPr>
                <w:rFonts w:ascii="Arial" w:hAnsi="Arial" w:eastAsia="宋体"/>
                <w:b w:val="0"/>
                <w:i w:val="0"/>
                <w:color w:val="1F2937"/>
                <w:sz w:val="17"/>
              </w:rPr>
              <w:t>证据分层界面</w:t>
            </w:r>
          </w:p>
        </w:tc>
        <w:tc>
          <w:tcPr>
            <w:tcW w:w="6000" w:type="dxa"/>
            <w:shd w:val="clear" w:color="auto" w:fill="F3F5F7"/>
          </w:tcPr>
          <w:p w14:paraId="1BA569CF">
            <w:pPr>
              <w:spacing w:after="0" w:line="276" w:lineRule="auto"/>
              <w:jc w:val="left"/>
            </w:pPr>
            <w:r>
              <w:rPr>
                <w:rFonts w:ascii="Arial" w:hAnsi="Arial" w:eastAsia="宋体"/>
                <w:b w:val="0"/>
                <w:i w:val="0"/>
                <w:color w:val="1F2937"/>
                <w:sz w:val="17"/>
              </w:rPr>
              <w:t>将官方事实、企业披露、商业数据、模型推断和待调单事项分别展示。</w:t>
            </w:r>
          </w:p>
        </w:tc>
        <w:tc>
          <w:tcPr>
            <w:tcW w:w="1610" w:type="dxa"/>
            <w:shd w:val="clear" w:color="auto" w:fill="F3F5F7"/>
          </w:tcPr>
          <w:p w14:paraId="2D387CA7">
            <w:pPr>
              <w:spacing w:after="0" w:line="276" w:lineRule="auto"/>
              <w:jc w:val="left"/>
            </w:pPr>
            <w:r>
              <w:rPr>
                <w:rFonts w:ascii="Arial" w:hAnsi="Arial" w:eastAsia="宋体"/>
                <w:b w:val="0"/>
                <w:i w:val="0"/>
                <w:color w:val="1F2937"/>
                <w:sz w:val="17"/>
              </w:rPr>
              <w:t>立即</w:t>
            </w:r>
          </w:p>
        </w:tc>
      </w:tr>
      <w:tr w14:paraId="1367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tcPr>
          <w:p w14:paraId="194153FF">
            <w:pPr>
              <w:spacing w:after="0" w:line="276" w:lineRule="auto"/>
              <w:jc w:val="center"/>
            </w:pPr>
            <w:r>
              <w:rPr>
                <w:rFonts w:ascii="Arial" w:hAnsi="Arial" w:eastAsia="宋体"/>
                <w:b w:val="0"/>
                <w:i w:val="0"/>
                <w:color w:val="1F2937"/>
                <w:sz w:val="17"/>
              </w:rPr>
              <w:t>实验室与机检联动</w:t>
            </w:r>
          </w:p>
        </w:tc>
        <w:tc>
          <w:tcPr>
            <w:tcW w:w="6000" w:type="dxa"/>
          </w:tcPr>
          <w:p w14:paraId="07CA5688">
            <w:pPr>
              <w:spacing w:after="0" w:line="276" w:lineRule="auto"/>
              <w:jc w:val="left"/>
            </w:pPr>
            <w:r>
              <w:rPr>
                <w:rFonts w:ascii="Arial" w:hAnsi="Arial" w:eastAsia="宋体"/>
                <w:b w:val="0"/>
                <w:i w:val="0"/>
                <w:color w:val="1F2937"/>
                <w:sz w:val="17"/>
              </w:rPr>
              <w:t>针对高风险参数建立抽样、检测、图像和重量差异规则。</w:t>
            </w:r>
          </w:p>
        </w:tc>
        <w:tc>
          <w:tcPr>
            <w:tcW w:w="1610" w:type="dxa"/>
          </w:tcPr>
          <w:p w14:paraId="749E75DA">
            <w:pPr>
              <w:spacing w:after="0" w:line="276" w:lineRule="auto"/>
              <w:jc w:val="left"/>
            </w:pPr>
            <w:r>
              <w:rPr>
                <w:rFonts w:ascii="Arial" w:hAnsi="Arial" w:eastAsia="宋体"/>
                <w:b w:val="0"/>
                <w:i w:val="0"/>
                <w:color w:val="1F2937"/>
                <w:sz w:val="17"/>
              </w:rPr>
              <w:t>12个月</w:t>
            </w:r>
          </w:p>
        </w:tc>
      </w:tr>
      <w:tr w14:paraId="4D2F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0" w:type="dxa"/>
            <w:shd w:val="clear" w:color="auto" w:fill="F3F5F7"/>
          </w:tcPr>
          <w:p w14:paraId="38EBEFCD">
            <w:pPr>
              <w:spacing w:after="0" w:line="276" w:lineRule="auto"/>
              <w:jc w:val="center"/>
            </w:pPr>
            <w:r>
              <w:rPr>
                <w:rFonts w:ascii="Arial" w:hAnsi="Arial" w:eastAsia="宋体"/>
                <w:b w:val="0"/>
                <w:i w:val="0"/>
                <w:color w:val="1F2937"/>
                <w:sz w:val="17"/>
              </w:rPr>
              <w:t>人工审核门槛</w:t>
            </w:r>
          </w:p>
        </w:tc>
        <w:tc>
          <w:tcPr>
            <w:tcW w:w="6000" w:type="dxa"/>
            <w:shd w:val="clear" w:color="auto" w:fill="F3F5F7"/>
          </w:tcPr>
          <w:p w14:paraId="48A9497F">
            <w:pPr>
              <w:spacing w:after="0" w:line="276" w:lineRule="auto"/>
              <w:jc w:val="left"/>
            </w:pPr>
            <w:r>
              <w:rPr>
                <w:rFonts w:ascii="Arial" w:hAnsi="Arial" w:eastAsia="宋体"/>
                <w:b w:val="0"/>
                <w:i w:val="0"/>
                <w:color w:val="1F2937"/>
                <w:sz w:val="17"/>
              </w:rPr>
              <w:t>涉及企业、个人和执法结论的预警必须经过来源核验、法律审查和授权。</w:t>
            </w:r>
          </w:p>
        </w:tc>
        <w:tc>
          <w:tcPr>
            <w:tcW w:w="1610" w:type="dxa"/>
            <w:shd w:val="clear" w:color="auto" w:fill="F3F5F7"/>
          </w:tcPr>
          <w:p w14:paraId="5083074F">
            <w:pPr>
              <w:spacing w:after="0" w:line="276" w:lineRule="auto"/>
              <w:jc w:val="left"/>
            </w:pPr>
            <w:r>
              <w:rPr>
                <w:rFonts w:ascii="Arial" w:hAnsi="Arial" w:eastAsia="宋体"/>
                <w:b w:val="0"/>
                <w:i w:val="0"/>
                <w:color w:val="1F2937"/>
                <w:sz w:val="17"/>
              </w:rPr>
              <w:t>立即</w:t>
            </w:r>
          </w:p>
        </w:tc>
      </w:tr>
    </w:tbl>
    <w:p w14:paraId="39FCAD95">
      <w:pPr>
        <w:spacing w:after="20"/>
      </w:pPr>
    </w:p>
    <w:p w14:paraId="1713AE09">
      <w:pPr>
        <w:spacing w:after="40"/>
        <w:jc w:val="center"/>
      </w:pPr>
      <w:r>
        <w:drawing>
          <wp:inline distT="0" distB="0" distL="114300" distR="114300">
            <wp:extent cx="5989320" cy="2900045"/>
            <wp:effectExtent l="0" t="0" r="1905" b="5080"/>
            <wp:docPr id="3" name="Picture 3" descr="图14-1  从政策状态到人工处置的证据链" title="图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14-1  从政策状态到人工处置的证据链" title="图14-1"/>
                    <pic:cNvPicPr>
                      <a:picLocks noChangeAspect="1"/>
                    </pic:cNvPicPr>
                  </pic:nvPicPr>
                  <pic:blipFill>
                    <a:blip r:embed="rId10"/>
                    <a:stretch>
                      <a:fillRect/>
                    </a:stretch>
                  </pic:blipFill>
                  <pic:spPr>
                    <a:xfrm>
                      <a:off x="0" y="0"/>
                      <a:ext cx="5989320" cy="2900092"/>
                    </a:xfrm>
                    <a:prstGeom prst="rect">
                      <a:avLst/>
                    </a:prstGeom>
                  </pic:spPr>
                </pic:pic>
              </a:graphicData>
            </a:graphic>
          </wp:inline>
        </w:drawing>
      </w:r>
    </w:p>
    <w:p w14:paraId="02C8EACB">
      <w:pPr>
        <w:pStyle w:val="164"/>
      </w:pPr>
      <w:r>
        <w:t>图14-1  从政策状态到人工处置的证据链</w:t>
      </w:r>
    </w:p>
    <w:p w14:paraId="414F606E">
      <w:pPr>
        <w:spacing w:after="100" w:line="348" w:lineRule="auto"/>
        <w:jc w:val="both"/>
      </w:pPr>
      <w:r>
        <w:rPr>
          <w:rFonts w:ascii="Arial" w:hAnsi="Arial" w:eastAsia="宋体"/>
          <w:b w:val="0"/>
          <w:i w:val="0"/>
          <w:color w:val="1F2937"/>
          <w:sz w:val="21"/>
        </w:rPr>
        <w:t>在应用层面，系统不应直接输出“走私企业”或“违规人员”标签，而应输出可解释的风险理由、使用的数据、适用政策状态、证据等级和下一步核查动作。对于未取得原始单证的线索，应明确标注为待核实，避免把模型相关性转化为执法结论。</w:t>
      </w:r>
    </w:p>
    <w:p w14:paraId="42DF6736">
      <w:pPr>
        <w:spacing w:after="100" w:line="348" w:lineRule="auto"/>
        <w:jc w:val="both"/>
      </w:pPr>
      <w:r>
        <w:rPr>
          <w:rFonts w:ascii="Arial" w:hAnsi="Arial" w:eastAsia="宋体"/>
          <w:b w:val="0"/>
          <w:i w:val="0"/>
          <w:color w:val="1F2937"/>
          <w:sz w:val="21"/>
        </w:rPr>
        <w:t>在组织层面，建议建立政策、归类、实验室、风险、稽查和技术部门的联合维护机制。物项参数由专业部门确认，政策状态由法规人员维护，模型规则由风险部门解释，企业和人员风险由执法授权链审核。</w:t>
      </w:r>
    </w:p>
    <w:tbl>
      <w:tblPr>
        <w:tblStyle w:val="32"/>
        <w:tblW w:w="9360" w:type="dxa"/>
        <w:tblInd w:w="120" w:type="dxa"/>
        <w:tblLayout w:type="fixed"/>
        <w:tblCellMar>
          <w:top w:w="0" w:type="dxa"/>
          <w:left w:w="108" w:type="dxa"/>
          <w:bottom w:w="0" w:type="dxa"/>
          <w:right w:w="108" w:type="dxa"/>
        </w:tblCellMar>
      </w:tblPr>
      <w:tblGrid>
        <w:gridCol w:w="9360"/>
      </w:tblGrid>
      <w:tr w14:paraId="4181C0C0">
        <w:tblPrEx>
          <w:tblCellMar>
            <w:top w:w="0" w:type="dxa"/>
            <w:left w:w="108" w:type="dxa"/>
            <w:bottom w:w="0" w:type="dxa"/>
            <w:right w:w="108" w:type="dxa"/>
          </w:tblCellMar>
        </w:tblPrEx>
        <w:tc>
          <w:tcPr>
            <w:tcW w:w="9360" w:type="dxa"/>
            <w:shd w:val="clear" w:color="auto" w:fill="EAF1F8"/>
            <w:tcMar>
              <w:top w:w="90" w:type="dxa"/>
              <w:left w:w="120" w:type="dxa"/>
              <w:bottom w:w="90" w:type="dxa"/>
              <w:right w:w="120" w:type="dxa"/>
            </w:tcMar>
            <w:vAlign w:val="center"/>
          </w:tcPr>
          <w:p w14:paraId="41E051FE">
            <w:pPr>
              <w:spacing w:after="60"/>
            </w:pPr>
            <w:r>
              <w:rPr>
                <w:rFonts w:ascii="Arial" w:hAnsi="Arial" w:eastAsia="微软雅黑"/>
                <w:b/>
                <w:i w:val="0"/>
                <w:color w:val="17365D"/>
                <w:sz w:val="21"/>
              </w:rPr>
              <w:t>最终结论</w:t>
            </w:r>
          </w:p>
          <w:p w14:paraId="716F5B29">
            <w:pPr>
              <w:spacing w:after="0" w:line="324" w:lineRule="auto"/>
            </w:pPr>
            <w:r>
              <w:rPr>
                <w:rFonts w:ascii="Arial" w:hAnsi="Arial" w:eastAsia="宋体"/>
                <w:b w:val="0"/>
                <w:i w:val="0"/>
                <w:color w:val="1F2937"/>
                <w:sz w:val="20"/>
              </w:rPr>
              <w:t>关键矿产治理的竞争，不是简单比拼谁拥有更多矿山或发布更多政策，而是比拼谁能把资源、加工、资本、技术、库存、合同和监管数据组织成可持续的交付体系。对海关而言，最重要的能力不是标签数量，而是政策适用准确、物项识别精准、关系穿透可解释、证据闭环可复核。</w:t>
            </w:r>
          </w:p>
        </w:tc>
      </w:tr>
    </w:tbl>
    <w:p w14:paraId="30602407">
      <w:pPr>
        <w:spacing w:after="20"/>
      </w:pPr>
    </w:p>
    <w:p w14:paraId="77FACFBD">
      <w:pPr>
        <w:pStyle w:val="3"/>
      </w:pPr>
      <w:r>
        <w:t>附录A 重点矿产与监管观察清单</w:t>
      </w:r>
    </w:p>
    <w:p w14:paraId="2A283133">
      <w:pPr>
        <w:pStyle w:val="164"/>
        <w:jc w:val="left"/>
      </w:pPr>
      <w:r>
        <w:t>表A-1  重点矿产监管与供应链观察</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2850"/>
        <w:gridCol w:w="2850"/>
        <w:gridCol w:w="2460"/>
      </w:tblGrid>
      <w:tr w14:paraId="7923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0" w:type="dxa"/>
            <w:shd w:val="clear" w:color="auto" w:fill="17365D"/>
            <w:tcMar>
              <w:top w:w="90" w:type="dxa"/>
              <w:left w:w="120" w:type="dxa"/>
              <w:bottom w:w="90" w:type="dxa"/>
              <w:right w:w="120" w:type="dxa"/>
            </w:tcMar>
            <w:vAlign w:val="center"/>
          </w:tcPr>
          <w:p w14:paraId="6DE34CC8">
            <w:pPr>
              <w:spacing w:after="0"/>
              <w:jc w:val="center"/>
            </w:pPr>
            <w:r>
              <w:rPr>
                <w:rFonts w:ascii="Arial" w:hAnsi="Arial" w:eastAsia="微软雅黑"/>
                <w:b/>
                <w:i w:val="0"/>
                <w:color w:val="FFFFFF"/>
                <w:sz w:val="18"/>
              </w:rPr>
              <w:t>矿产/材料</w:t>
            </w:r>
          </w:p>
        </w:tc>
        <w:tc>
          <w:tcPr>
            <w:tcW w:w="2850" w:type="dxa"/>
            <w:shd w:val="clear" w:color="auto" w:fill="17365D"/>
            <w:tcMar>
              <w:top w:w="90" w:type="dxa"/>
              <w:left w:w="120" w:type="dxa"/>
              <w:bottom w:w="90" w:type="dxa"/>
              <w:right w:w="120" w:type="dxa"/>
            </w:tcMar>
            <w:vAlign w:val="center"/>
          </w:tcPr>
          <w:p w14:paraId="77229F10">
            <w:pPr>
              <w:spacing w:after="0"/>
              <w:jc w:val="center"/>
            </w:pPr>
            <w:r>
              <w:rPr>
                <w:rFonts w:ascii="Arial" w:hAnsi="Arial" w:eastAsia="微软雅黑"/>
                <w:b/>
                <w:i w:val="0"/>
                <w:color w:val="FFFFFF"/>
                <w:sz w:val="18"/>
              </w:rPr>
              <w:t>重点产品形态</w:t>
            </w:r>
          </w:p>
        </w:tc>
        <w:tc>
          <w:tcPr>
            <w:tcW w:w="2850" w:type="dxa"/>
            <w:shd w:val="clear" w:color="auto" w:fill="17365D"/>
            <w:tcMar>
              <w:top w:w="90" w:type="dxa"/>
              <w:left w:w="120" w:type="dxa"/>
              <w:bottom w:w="90" w:type="dxa"/>
              <w:right w:w="120" w:type="dxa"/>
            </w:tcMar>
            <w:vAlign w:val="center"/>
          </w:tcPr>
          <w:p w14:paraId="64779923">
            <w:pPr>
              <w:spacing w:after="0"/>
              <w:jc w:val="center"/>
            </w:pPr>
            <w:r>
              <w:rPr>
                <w:rFonts w:ascii="Arial" w:hAnsi="Arial" w:eastAsia="微软雅黑"/>
                <w:b/>
                <w:i w:val="0"/>
                <w:color w:val="FFFFFF"/>
                <w:sz w:val="18"/>
              </w:rPr>
              <w:t>海关识别要点</w:t>
            </w:r>
          </w:p>
        </w:tc>
        <w:tc>
          <w:tcPr>
            <w:tcW w:w="2460" w:type="dxa"/>
            <w:shd w:val="clear" w:color="auto" w:fill="17365D"/>
            <w:tcMar>
              <w:top w:w="90" w:type="dxa"/>
              <w:left w:w="120" w:type="dxa"/>
              <w:bottom w:w="90" w:type="dxa"/>
              <w:right w:w="120" w:type="dxa"/>
            </w:tcMar>
            <w:vAlign w:val="center"/>
          </w:tcPr>
          <w:p w14:paraId="0329C090">
            <w:pPr>
              <w:spacing w:after="0"/>
              <w:jc w:val="center"/>
            </w:pPr>
            <w:r>
              <w:rPr>
                <w:rFonts w:ascii="Arial" w:hAnsi="Arial" w:eastAsia="微软雅黑"/>
                <w:b/>
                <w:i w:val="0"/>
                <w:color w:val="FFFFFF"/>
                <w:sz w:val="18"/>
              </w:rPr>
              <w:t>境外替代瓶颈</w:t>
            </w:r>
          </w:p>
        </w:tc>
      </w:tr>
      <w:tr w14:paraId="162D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5FDC95BC">
            <w:pPr>
              <w:spacing w:after="0" w:line="276" w:lineRule="auto"/>
              <w:jc w:val="center"/>
            </w:pPr>
            <w:r>
              <w:rPr>
                <w:rFonts w:ascii="Arial" w:hAnsi="Arial" w:eastAsia="宋体"/>
                <w:b w:val="0"/>
                <w:i w:val="0"/>
                <w:color w:val="1F2937"/>
                <w:sz w:val="17"/>
              </w:rPr>
              <w:t>镓</w:t>
            </w:r>
          </w:p>
        </w:tc>
        <w:tc>
          <w:tcPr>
            <w:tcW w:w="2850" w:type="dxa"/>
          </w:tcPr>
          <w:p w14:paraId="7CF2AC13">
            <w:pPr>
              <w:spacing w:after="0" w:line="276" w:lineRule="auto"/>
              <w:jc w:val="left"/>
            </w:pPr>
            <w:r>
              <w:rPr>
                <w:rFonts w:ascii="Arial" w:hAnsi="Arial" w:eastAsia="宋体"/>
                <w:b w:val="0"/>
                <w:i w:val="0"/>
                <w:color w:val="1F2937"/>
                <w:sz w:val="17"/>
              </w:rPr>
              <w:t>金属、氮化物、氧化物、砷化镓等</w:t>
            </w:r>
          </w:p>
        </w:tc>
        <w:tc>
          <w:tcPr>
            <w:tcW w:w="2850" w:type="dxa"/>
          </w:tcPr>
          <w:p w14:paraId="66147182">
            <w:pPr>
              <w:spacing w:after="0" w:line="276" w:lineRule="auto"/>
              <w:jc w:val="left"/>
            </w:pPr>
            <w:r>
              <w:rPr>
                <w:rFonts w:ascii="Arial" w:hAnsi="Arial" w:eastAsia="宋体"/>
                <w:b w:val="0"/>
                <w:i w:val="0"/>
                <w:color w:val="1F2937"/>
                <w:sz w:val="17"/>
              </w:rPr>
              <w:t>纯度、晶片/粉末/碎料形态、用途</w:t>
            </w:r>
          </w:p>
        </w:tc>
        <w:tc>
          <w:tcPr>
            <w:tcW w:w="2460" w:type="dxa"/>
          </w:tcPr>
          <w:p w14:paraId="3CA0A723">
            <w:pPr>
              <w:spacing w:after="0" w:line="276" w:lineRule="auto"/>
              <w:jc w:val="left"/>
            </w:pPr>
            <w:r>
              <w:rPr>
                <w:rFonts w:ascii="Arial" w:hAnsi="Arial" w:eastAsia="宋体"/>
                <w:b w:val="0"/>
                <w:i w:val="0"/>
                <w:color w:val="1F2937"/>
                <w:sz w:val="17"/>
              </w:rPr>
              <w:t>副产回收和高纯精制能力</w:t>
            </w:r>
          </w:p>
        </w:tc>
      </w:tr>
      <w:tr w14:paraId="4639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shd w:val="clear" w:color="auto" w:fill="F3F5F7"/>
          </w:tcPr>
          <w:p w14:paraId="107FBA22">
            <w:pPr>
              <w:spacing w:after="0" w:line="276" w:lineRule="auto"/>
              <w:jc w:val="center"/>
            </w:pPr>
            <w:r>
              <w:rPr>
                <w:rFonts w:ascii="Arial" w:hAnsi="Arial" w:eastAsia="宋体"/>
                <w:b w:val="0"/>
                <w:i w:val="0"/>
                <w:color w:val="1F2937"/>
                <w:sz w:val="17"/>
              </w:rPr>
              <w:t>锗</w:t>
            </w:r>
          </w:p>
        </w:tc>
        <w:tc>
          <w:tcPr>
            <w:tcW w:w="2850" w:type="dxa"/>
            <w:shd w:val="clear" w:color="auto" w:fill="F3F5F7"/>
          </w:tcPr>
          <w:p w14:paraId="6AF18B79">
            <w:pPr>
              <w:spacing w:after="0" w:line="276" w:lineRule="auto"/>
              <w:jc w:val="left"/>
            </w:pPr>
            <w:r>
              <w:rPr>
                <w:rFonts w:ascii="Arial" w:hAnsi="Arial" w:eastAsia="宋体"/>
                <w:b w:val="0"/>
                <w:i w:val="0"/>
                <w:color w:val="1F2937"/>
                <w:sz w:val="17"/>
              </w:rPr>
              <w:t>金属、二氧化物、四氯化物、衬底</w:t>
            </w:r>
          </w:p>
        </w:tc>
        <w:tc>
          <w:tcPr>
            <w:tcW w:w="2850" w:type="dxa"/>
            <w:shd w:val="clear" w:color="auto" w:fill="F3F5F7"/>
          </w:tcPr>
          <w:p w14:paraId="4F7C41B5">
            <w:pPr>
              <w:spacing w:after="0" w:line="276" w:lineRule="auto"/>
              <w:jc w:val="left"/>
            </w:pPr>
            <w:r>
              <w:rPr>
                <w:rFonts w:ascii="Arial" w:hAnsi="Arial" w:eastAsia="宋体"/>
                <w:b w:val="0"/>
                <w:i w:val="0"/>
                <w:color w:val="1F2937"/>
                <w:sz w:val="17"/>
              </w:rPr>
              <w:t>纯度、光学/红外/半导体用途</w:t>
            </w:r>
          </w:p>
        </w:tc>
        <w:tc>
          <w:tcPr>
            <w:tcW w:w="2460" w:type="dxa"/>
            <w:shd w:val="clear" w:color="auto" w:fill="F3F5F7"/>
          </w:tcPr>
          <w:p w14:paraId="0F916A47">
            <w:pPr>
              <w:spacing w:after="0" w:line="276" w:lineRule="auto"/>
              <w:jc w:val="left"/>
            </w:pPr>
            <w:r>
              <w:rPr>
                <w:rFonts w:ascii="Arial" w:hAnsi="Arial" w:eastAsia="宋体"/>
                <w:b w:val="0"/>
                <w:i w:val="0"/>
                <w:color w:val="1F2937"/>
                <w:sz w:val="17"/>
              </w:rPr>
              <w:t>锌冶炼副产与光学材料认证</w:t>
            </w:r>
          </w:p>
        </w:tc>
      </w:tr>
      <w:tr w14:paraId="4689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0CF9A6FD">
            <w:pPr>
              <w:spacing w:after="0" w:line="276" w:lineRule="auto"/>
              <w:jc w:val="center"/>
            </w:pPr>
            <w:r>
              <w:rPr>
                <w:rFonts w:ascii="Arial" w:hAnsi="Arial" w:eastAsia="宋体"/>
                <w:b w:val="0"/>
                <w:i w:val="0"/>
                <w:color w:val="1F2937"/>
                <w:sz w:val="17"/>
              </w:rPr>
              <w:t>石墨</w:t>
            </w:r>
          </w:p>
        </w:tc>
        <w:tc>
          <w:tcPr>
            <w:tcW w:w="2850" w:type="dxa"/>
          </w:tcPr>
          <w:p w14:paraId="50C58994">
            <w:pPr>
              <w:spacing w:after="0" w:line="276" w:lineRule="auto"/>
              <w:jc w:val="left"/>
            </w:pPr>
            <w:r>
              <w:rPr>
                <w:rFonts w:ascii="Arial" w:hAnsi="Arial" w:eastAsia="宋体"/>
                <w:b w:val="0"/>
                <w:i w:val="0"/>
                <w:color w:val="1F2937"/>
                <w:sz w:val="17"/>
              </w:rPr>
              <w:t>高规格人造石墨、天然鳞片石墨及制品</w:t>
            </w:r>
          </w:p>
        </w:tc>
        <w:tc>
          <w:tcPr>
            <w:tcW w:w="2850" w:type="dxa"/>
          </w:tcPr>
          <w:p w14:paraId="03723862">
            <w:pPr>
              <w:spacing w:after="0" w:line="276" w:lineRule="auto"/>
              <w:jc w:val="left"/>
            </w:pPr>
            <w:r>
              <w:rPr>
                <w:rFonts w:ascii="Arial" w:hAnsi="Arial" w:eastAsia="宋体"/>
                <w:b w:val="0"/>
                <w:i w:val="0"/>
                <w:color w:val="1F2937"/>
                <w:sz w:val="17"/>
              </w:rPr>
              <w:t>纯度、强度、密度、球化/膨胀形态</w:t>
            </w:r>
          </w:p>
        </w:tc>
        <w:tc>
          <w:tcPr>
            <w:tcW w:w="2460" w:type="dxa"/>
          </w:tcPr>
          <w:p w14:paraId="01329BA0">
            <w:pPr>
              <w:spacing w:after="0" w:line="276" w:lineRule="auto"/>
              <w:jc w:val="left"/>
            </w:pPr>
            <w:r>
              <w:rPr>
                <w:rFonts w:ascii="Arial" w:hAnsi="Arial" w:eastAsia="宋体"/>
                <w:b w:val="0"/>
                <w:i w:val="0"/>
                <w:color w:val="1F2937"/>
                <w:sz w:val="17"/>
              </w:rPr>
              <w:t>负极材料提纯、包覆和认证</w:t>
            </w:r>
          </w:p>
        </w:tc>
      </w:tr>
      <w:tr w14:paraId="4E45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shd w:val="clear" w:color="auto" w:fill="F3F5F7"/>
          </w:tcPr>
          <w:p w14:paraId="5CF007CB">
            <w:pPr>
              <w:spacing w:after="0" w:line="276" w:lineRule="auto"/>
              <w:jc w:val="center"/>
            </w:pPr>
            <w:r>
              <w:rPr>
                <w:rFonts w:ascii="Arial" w:hAnsi="Arial" w:eastAsia="宋体"/>
                <w:b w:val="0"/>
                <w:i w:val="0"/>
                <w:color w:val="1F2937"/>
                <w:sz w:val="17"/>
              </w:rPr>
              <w:t>锑</w:t>
            </w:r>
          </w:p>
        </w:tc>
        <w:tc>
          <w:tcPr>
            <w:tcW w:w="2850" w:type="dxa"/>
            <w:shd w:val="clear" w:color="auto" w:fill="F3F5F7"/>
          </w:tcPr>
          <w:p w14:paraId="45262FCC">
            <w:pPr>
              <w:spacing w:after="0" w:line="276" w:lineRule="auto"/>
              <w:jc w:val="left"/>
            </w:pPr>
            <w:r>
              <w:rPr>
                <w:rFonts w:ascii="Arial" w:hAnsi="Arial" w:eastAsia="宋体"/>
                <w:b w:val="0"/>
                <w:i w:val="0"/>
                <w:color w:val="1F2937"/>
                <w:sz w:val="17"/>
              </w:rPr>
              <w:t>矿料、金属、氧化物、特殊化合物</w:t>
            </w:r>
          </w:p>
        </w:tc>
        <w:tc>
          <w:tcPr>
            <w:tcW w:w="2850" w:type="dxa"/>
            <w:shd w:val="clear" w:color="auto" w:fill="F3F5F7"/>
          </w:tcPr>
          <w:p w14:paraId="1CD444CB">
            <w:pPr>
              <w:spacing w:after="0" w:line="276" w:lineRule="auto"/>
              <w:jc w:val="left"/>
            </w:pPr>
            <w:r>
              <w:rPr>
                <w:rFonts w:ascii="Arial" w:hAnsi="Arial" w:eastAsia="宋体"/>
                <w:b w:val="0"/>
                <w:i w:val="0"/>
                <w:color w:val="1F2937"/>
                <w:sz w:val="17"/>
              </w:rPr>
              <w:t>纯度、形态、是否夹藏混装</w:t>
            </w:r>
          </w:p>
        </w:tc>
        <w:tc>
          <w:tcPr>
            <w:tcW w:w="2460" w:type="dxa"/>
            <w:shd w:val="clear" w:color="auto" w:fill="F3F5F7"/>
          </w:tcPr>
          <w:p w14:paraId="52A130DD">
            <w:pPr>
              <w:spacing w:after="0" w:line="276" w:lineRule="auto"/>
              <w:jc w:val="left"/>
            </w:pPr>
            <w:r>
              <w:rPr>
                <w:rFonts w:ascii="Arial" w:hAnsi="Arial" w:eastAsia="宋体"/>
                <w:b w:val="0"/>
                <w:i w:val="0"/>
                <w:color w:val="1F2937"/>
                <w:sz w:val="17"/>
              </w:rPr>
              <w:t>矿山集中、冶炼和国防需求</w:t>
            </w:r>
          </w:p>
        </w:tc>
      </w:tr>
      <w:tr w14:paraId="3776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0EFF2308">
            <w:pPr>
              <w:spacing w:after="0" w:line="276" w:lineRule="auto"/>
              <w:jc w:val="center"/>
            </w:pPr>
            <w:r>
              <w:rPr>
                <w:rFonts w:ascii="Arial" w:hAnsi="Arial" w:eastAsia="宋体"/>
                <w:b w:val="0"/>
                <w:i w:val="0"/>
                <w:color w:val="1F2937"/>
                <w:sz w:val="17"/>
              </w:rPr>
              <w:t>钨</w:t>
            </w:r>
          </w:p>
        </w:tc>
        <w:tc>
          <w:tcPr>
            <w:tcW w:w="2850" w:type="dxa"/>
          </w:tcPr>
          <w:p w14:paraId="58E855F2">
            <w:pPr>
              <w:spacing w:after="0" w:line="276" w:lineRule="auto"/>
              <w:jc w:val="left"/>
            </w:pPr>
            <w:r>
              <w:rPr>
                <w:rFonts w:ascii="Arial" w:hAnsi="Arial" w:eastAsia="宋体"/>
                <w:b w:val="0"/>
                <w:i w:val="0"/>
                <w:color w:val="1F2937"/>
                <w:sz w:val="17"/>
              </w:rPr>
              <w:t>矿、APT、氧化物、碳化物、合金等</w:t>
            </w:r>
          </w:p>
        </w:tc>
        <w:tc>
          <w:tcPr>
            <w:tcW w:w="2850" w:type="dxa"/>
          </w:tcPr>
          <w:p w14:paraId="301496EB">
            <w:pPr>
              <w:spacing w:after="0" w:line="276" w:lineRule="auto"/>
              <w:jc w:val="left"/>
            </w:pPr>
            <w:r>
              <w:rPr>
                <w:rFonts w:ascii="Arial" w:hAnsi="Arial" w:eastAsia="宋体"/>
                <w:b w:val="0"/>
                <w:i w:val="0"/>
                <w:color w:val="1F2937"/>
                <w:sz w:val="17"/>
              </w:rPr>
              <w:t>物项编码、成分、粒度、最终用途</w:t>
            </w:r>
          </w:p>
        </w:tc>
        <w:tc>
          <w:tcPr>
            <w:tcW w:w="2460" w:type="dxa"/>
          </w:tcPr>
          <w:p w14:paraId="12ECC384">
            <w:pPr>
              <w:spacing w:after="0" w:line="276" w:lineRule="auto"/>
              <w:jc w:val="left"/>
            </w:pPr>
            <w:r>
              <w:rPr>
                <w:rFonts w:ascii="Arial" w:hAnsi="Arial" w:eastAsia="宋体"/>
                <w:b w:val="0"/>
                <w:i w:val="0"/>
                <w:color w:val="1F2937"/>
                <w:sz w:val="17"/>
              </w:rPr>
              <w:t>精矿到APT/碳化钨的中游能力</w:t>
            </w:r>
          </w:p>
        </w:tc>
      </w:tr>
      <w:tr w14:paraId="61A0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shd w:val="clear" w:color="auto" w:fill="F3F5F7"/>
          </w:tcPr>
          <w:p w14:paraId="2F3ECEE5">
            <w:pPr>
              <w:spacing w:after="0" w:line="276" w:lineRule="auto"/>
              <w:jc w:val="center"/>
            </w:pPr>
            <w:r>
              <w:rPr>
                <w:rFonts w:ascii="Arial" w:hAnsi="Arial" w:eastAsia="宋体"/>
                <w:b w:val="0"/>
                <w:i w:val="0"/>
                <w:color w:val="1F2937"/>
                <w:sz w:val="17"/>
              </w:rPr>
              <w:t>碲</w:t>
            </w:r>
          </w:p>
        </w:tc>
        <w:tc>
          <w:tcPr>
            <w:tcW w:w="2850" w:type="dxa"/>
            <w:shd w:val="clear" w:color="auto" w:fill="F3F5F7"/>
          </w:tcPr>
          <w:p w14:paraId="720A313A">
            <w:pPr>
              <w:spacing w:after="0" w:line="276" w:lineRule="auto"/>
              <w:jc w:val="left"/>
            </w:pPr>
            <w:r>
              <w:rPr>
                <w:rFonts w:ascii="Arial" w:hAnsi="Arial" w:eastAsia="宋体"/>
                <w:b w:val="0"/>
                <w:i w:val="0"/>
                <w:color w:val="1F2937"/>
                <w:sz w:val="17"/>
              </w:rPr>
              <w:t>金属、化合物和相关材料</w:t>
            </w:r>
          </w:p>
        </w:tc>
        <w:tc>
          <w:tcPr>
            <w:tcW w:w="2850" w:type="dxa"/>
            <w:shd w:val="clear" w:color="auto" w:fill="F3F5F7"/>
          </w:tcPr>
          <w:p w14:paraId="0FC6A7D2">
            <w:pPr>
              <w:spacing w:after="0" w:line="276" w:lineRule="auto"/>
              <w:jc w:val="left"/>
            </w:pPr>
            <w:r>
              <w:rPr>
                <w:rFonts w:ascii="Arial" w:hAnsi="Arial" w:eastAsia="宋体"/>
                <w:b w:val="0"/>
                <w:i w:val="0"/>
                <w:color w:val="1F2937"/>
                <w:sz w:val="17"/>
              </w:rPr>
              <w:t>纯度、化合物形态、光伏/热电用途</w:t>
            </w:r>
          </w:p>
        </w:tc>
        <w:tc>
          <w:tcPr>
            <w:tcW w:w="2460" w:type="dxa"/>
            <w:shd w:val="clear" w:color="auto" w:fill="F3F5F7"/>
          </w:tcPr>
          <w:p w14:paraId="53DD7CCD">
            <w:pPr>
              <w:spacing w:after="0" w:line="276" w:lineRule="auto"/>
              <w:jc w:val="left"/>
            </w:pPr>
            <w:r>
              <w:rPr>
                <w:rFonts w:ascii="Arial" w:hAnsi="Arial" w:eastAsia="宋体"/>
                <w:b w:val="0"/>
                <w:i w:val="0"/>
                <w:color w:val="1F2937"/>
                <w:sz w:val="17"/>
              </w:rPr>
              <w:t>铜冶炼副产回收</w:t>
            </w:r>
          </w:p>
        </w:tc>
      </w:tr>
      <w:tr w14:paraId="2F41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6846DD98">
            <w:pPr>
              <w:spacing w:after="0" w:line="276" w:lineRule="auto"/>
              <w:jc w:val="center"/>
            </w:pPr>
            <w:r>
              <w:rPr>
                <w:rFonts w:ascii="Arial" w:hAnsi="Arial" w:eastAsia="宋体"/>
                <w:b w:val="0"/>
                <w:i w:val="0"/>
                <w:color w:val="1F2937"/>
                <w:sz w:val="17"/>
              </w:rPr>
              <w:t>铋</w:t>
            </w:r>
          </w:p>
        </w:tc>
        <w:tc>
          <w:tcPr>
            <w:tcW w:w="2850" w:type="dxa"/>
          </w:tcPr>
          <w:p w14:paraId="6B804271">
            <w:pPr>
              <w:spacing w:after="0" w:line="276" w:lineRule="auto"/>
              <w:jc w:val="left"/>
            </w:pPr>
            <w:r>
              <w:rPr>
                <w:rFonts w:ascii="Arial" w:hAnsi="Arial" w:eastAsia="宋体"/>
                <w:b w:val="0"/>
                <w:i w:val="0"/>
                <w:color w:val="1F2937"/>
                <w:sz w:val="17"/>
              </w:rPr>
              <w:t>金属及特定化合物</w:t>
            </w:r>
          </w:p>
        </w:tc>
        <w:tc>
          <w:tcPr>
            <w:tcW w:w="2850" w:type="dxa"/>
          </w:tcPr>
          <w:p w14:paraId="584C6C4C">
            <w:pPr>
              <w:spacing w:after="0" w:line="276" w:lineRule="auto"/>
              <w:jc w:val="left"/>
            </w:pPr>
            <w:r>
              <w:rPr>
                <w:rFonts w:ascii="Arial" w:hAnsi="Arial" w:eastAsia="宋体"/>
                <w:b w:val="0"/>
                <w:i w:val="0"/>
                <w:color w:val="1F2937"/>
                <w:sz w:val="17"/>
              </w:rPr>
              <w:t>纯度、合金/化合物、用途</w:t>
            </w:r>
          </w:p>
        </w:tc>
        <w:tc>
          <w:tcPr>
            <w:tcW w:w="2460" w:type="dxa"/>
          </w:tcPr>
          <w:p w14:paraId="05804C9D">
            <w:pPr>
              <w:spacing w:after="0" w:line="276" w:lineRule="auto"/>
              <w:jc w:val="left"/>
            </w:pPr>
            <w:r>
              <w:rPr>
                <w:rFonts w:ascii="Arial" w:hAnsi="Arial" w:eastAsia="宋体"/>
                <w:b w:val="0"/>
                <w:i w:val="0"/>
                <w:color w:val="1F2937"/>
                <w:sz w:val="17"/>
              </w:rPr>
              <w:t>铅锌冶炼副产和高纯能力</w:t>
            </w:r>
          </w:p>
        </w:tc>
      </w:tr>
      <w:tr w14:paraId="707D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shd w:val="clear" w:color="auto" w:fill="F3F5F7"/>
          </w:tcPr>
          <w:p w14:paraId="291BAA4D">
            <w:pPr>
              <w:spacing w:after="0" w:line="276" w:lineRule="auto"/>
              <w:jc w:val="center"/>
            </w:pPr>
            <w:r>
              <w:rPr>
                <w:rFonts w:ascii="Arial" w:hAnsi="Arial" w:eastAsia="宋体"/>
                <w:b w:val="0"/>
                <w:i w:val="0"/>
                <w:color w:val="1F2937"/>
                <w:sz w:val="17"/>
              </w:rPr>
              <w:t>钼</w:t>
            </w:r>
          </w:p>
        </w:tc>
        <w:tc>
          <w:tcPr>
            <w:tcW w:w="2850" w:type="dxa"/>
            <w:shd w:val="clear" w:color="auto" w:fill="F3F5F7"/>
          </w:tcPr>
          <w:p w14:paraId="261F88F1">
            <w:pPr>
              <w:spacing w:after="0" w:line="276" w:lineRule="auto"/>
              <w:jc w:val="left"/>
            </w:pPr>
            <w:r>
              <w:rPr>
                <w:rFonts w:ascii="Arial" w:hAnsi="Arial" w:eastAsia="宋体"/>
                <w:b w:val="0"/>
                <w:i w:val="0"/>
                <w:color w:val="1F2937"/>
                <w:sz w:val="17"/>
              </w:rPr>
              <w:t>特定粉末、合金和相关材料</w:t>
            </w:r>
          </w:p>
        </w:tc>
        <w:tc>
          <w:tcPr>
            <w:tcW w:w="2850" w:type="dxa"/>
            <w:shd w:val="clear" w:color="auto" w:fill="F3F5F7"/>
          </w:tcPr>
          <w:p w14:paraId="6A73FBE3">
            <w:pPr>
              <w:spacing w:after="0" w:line="276" w:lineRule="auto"/>
              <w:jc w:val="left"/>
            </w:pPr>
            <w:r>
              <w:rPr>
                <w:rFonts w:ascii="Arial" w:hAnsi="Arial" w:eastAsia="宋体"/>
                <w:b w:val="0"/>
                <w:i w:val="0"/>
                <w:color w:val="1F2937"/>
                <w:sz w:val="17"/>
              </w:rPr>
              <w:t>粒度、纯度、材料性能</w:t>
            </w:r>
          </w:p>
        </w:tc>
        <w:tc>
          <w:tcPr>
            <w:tcW w:w="2460" w:type="dxa"/>
            <w:shd w:val="clear" w:color="auto" w:fill="F3F5F7"/>
          </w:tcPr>
          <w:p w14:paraId="2A106091">
            <w:pPr>
              <w:spacing w:after="0" w:line="276" w:lineRule="auto"/>
              <w:jc w:val="left"/>
            </w:pPr>
            <w:r>
              <w:rPr>
                <w:rFonts w:ascii="Arial" w:hAnsi="Arial" w:eastAsia="宋体"/>
                <w:b w:val="0"/>
                <w:i w:val="0"/>
                <w:color w:val="1F2937"/>
                <w:sz w:val="17"/>
              </w:rPr>
              <w:t>矿山较分散但高规格材料集中</w:t>
            </w:r>
          </w:p>
        </w:tc>
      </w:tr>
      <w:tr w14:paraId="23DB5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4D162B72">
            <w:pPr>
              <w:spacing w:after="0" w:line="276" w:lineRule="auto"/>
              <w:jc w:val="center"/>
            </w:pPr>
            <w:r>
              <w:rPr>
                <w:rFonts w:ascii="Arial" w:hAnsi="Arial" w:eastAsia="宋体"/>
                <w:b w:val="0"/>
                <w:i w:val="0"/>
                <w:color w:val="1F2937"/>
                <w:sz w:val="17"/>
              </w:rPr>
              <w:t>铟</w:t>
            </w:r>
          </w:p>
        </w:tc>
        <w:tc>
          <w:tcPr>
            <w:tcW w:w="2850" w:type="dxa"/>
          </w:tcPr>
          <w:p w14:paraId="279A9FA3">
            <w:pPr>
              <w:spacing w:after="0" w:line="276" w:lineRule="auto"/>
              <w:jc w:val="left"/>
            </w:pPr>
            <w:r>
              <w:rPr>
                <w:rFonts w:ascii="Arial" w:hAnsi="Arial" w:eastAsia="宋体"/>
                <w:b w:val="0"/>
                <w:i w:val="0"/>
                <w:color w:val="1F2937"/>
                <w:sz w:val="17"/>
              </w:rPr>
              <w:t>金属、化合物、靶材等</w:t>
            </w:r>
          </w:p>
        </w:tc>
        <w:tc>
          <w:tcPr>
            <w:tcW w:w="2850" w:type="dxa"/>
          </w:tcPr>
          <w:p w14:paraId="05D5BE6A">
            <w:pPr>
              <w:spacing w:after="0" w:line="276" w:lineRule="auto"/>
              <w:jc w:val="left"/>
            </w:pPr>
            <w:r>
              <w:rPr>
                <w:rFonts w:ascii="Arial" w:hAnsi="Arial" w:eastAsia="宋体"/>
                <w:b w:val="0"/>
                <w:i w:val="0"/>
                <w:color w:val="1F2937"/>
                <w:sz w:val="17"/>
              </w:rPr>
              <w:t>纯度、靶材和显示/半导体用途</w:t>
            </w:r>
          </w:p>
        </w:tc>
        <w:tc>
          <w:tcPr>
            <w:tcW w:w="2460" w:type="dxa"/>
          </w:tcPr>
          <w:p w14:paraId="41115A80">
            <w:pPr>
              <w:spacing w:after="0" w:line="276" w:lineRule="auto"/>
              <w:jc w:val="left"/>
            </w:pPr>
            <w:r>
              <w:rPr>
                <w:rFonts w:ascii="Arial" w:hAnsi="Arial" w:eastAsia="宋体"/>
                <w:b w:val="0"/>
                <w:i w:val="0"/>
                <w:color w:val="1F2937"/>
                <w:sz w:val="17"/>
              </w:rPr>
              <w:t>锌冶炼副产与靶材制造</w:t>
            </w:r>
          </w:p>
        </w:tc>
      </w:tr>
      <w:tr w14:paraId="495A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shd w:val="clear" w:color="auto" w:fill="F3F5F7"/>
          </w:tcPr>
          <w:p w14:paraId="509D8D6E">
            <w:pPr>
              <w:spacing w:after="0" w:line="276" w:lineRule="auto"/>
              <w:jc w:val="center"/>
            </w:pPr>
            <w:r>
              <w:rPr>
                <w:rFonts w:ascii="Arial" w:hAnsi="Arial" w:eastAsia="宋体"/>
                <w:b w:val="0"/>
                <w:i w:val="0"/>
                <w:color w:val="1F2937"/>
                <w:sz w:val="17"/>
              </w:rPr>
              <w:t>中重稀土</w:t>
            </w:r>
          </w:p>
        </w:tc>
        <w:tc>
          <w:tcPr>
            <w:tcW w:w="2850" w:type="dxa"/>
            <w:shd w:val="clear" w:color="auto" w:fill="F3F5F7"/>
          </w:tcPr>
          <w:p w14:paraId="018B5DE3">
            <w:pPr>
              <w:spacing w:after="0" w:line="276" w:lineRule="auto"/>
              <w:jc w:val="left"/>
            </w:pPr>
            <w:r>
              <w:rPr>
                <w:rFonts w:ascii="Arial" w:hAnsi="Arial" w:eastAsia="宋体"/>
                <w:b w:val="0"/>
                <w:i w:val="0"/>
                <w:color w:val="1F2937"/>
                <w:sz w:val="17"/>
              </w:rPr>
              <w:t>钐、钆、铽、镝、镥、钪、钇</w:t>
            </w:r>
          </w:p>
        </w:tc>
        <w:tc>
          <w:tcPr>
            <w:tcW w:w="2850" w:type="dxa"/>
            <w:shd w:val="clear" w:color="auto" w:fill="F3F5F7"/>
          </w:tcPr>
          <w:p w14:paraId="49CF0450">
            <w:pPr>
              <w:spacing w:after="0" w:line="276" w:lineRule="auto"/>
              <w:jc w:val="left"/>
            </w:pPr>
            <w:r>
              <w:rPr>
                <w:rFonts w:ascii="Arial" w:hAnsi="Arial" w:eastAsia="宋体"/>
                <w:b w:val="0"/>
                <w:i w:val="0"/>
                <w:color w:val="1F2937"/>
                <w:sz w:val="17"/>
              </w:rPr>
              <w:t>元素、合金、氧化物、磁体、混合物</w:t>
            </w:r>
          </w:p>
        </w:tc>
        <w:tc>
          <w:tcPr>
            <w:tcW w:w="2460" w:type="dxa"/>
            <w:shd w:val="clear" w:color="auto" w:fill="F3F5F7"/>
          </w:tcPr>
          <w:p w14:paraId="5D9A3760">
            <w:pPr>
              <w:spacing w:after="0" w:line="276" w:lineRule="auto"/>
              <w:jc w:val="left"/>
            </w:pPr>
            <w:r>
              <w:rPr>
                <w:rFonts w:ascii="Arial" w:hAnsi="Arial" w:eastAsia="宋体"/>
                <w:b w:val="0"/>
                <w:i w:val="0"/>
                <w:color w:val="1F2937"/>
                <w:sz w:val="17"/>
              </w:rPr>
              <w:t>分离、金属化和磁体认证</w:t>
            </w:r>
          </w:p>
        </w:tc>
      </w:tr>
      <w:tr w14:paraId="5729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17A40EE4">
            <w:pPr>
              <w:spacing w:after="0" w:line="276" w:lineRule="auto"/>
              <w:jc w:val="center"/>
            </w:pPr>
            <w:r>
              <w:rPr>
                <w:rFonts w:ascii="Arial" w:hAnsi="Arial" w:eastAsia="宋体"/>
                <w:b w:val="0"/>
                <w:i w:val="0"/>
                <w:color w:val="1F2937"/>
                <w:sz w:val="17"/>
              </w:rPr>
              <w:t>永磁体</w:t>
            </w:r>
          </w:p>
        </w:tc>
        <w:tc>
          <w:tcPr>
            <w:tcW w:w="2850" w:type="dxa"/>
          </w:tcPr>
          <w:p w14:paraId="24B50471">
            <w:pPr>
              <w:spacing w:after="0" w:line="276" w:lineRule="auto"/>
              <w:jc w:val="left"/>
            </w:pPr>
            <w:r>
              <w:rPr>
                <w:rFonts w:ascii="Arial" w:hAnsi="Arial" w:eastAsia="宋体"/>
                <w:b w:val="0"/>
                <w:i w:val="0"/>
                <w:color w:val="1F2937"/>
                <w:sz w:val="17"/>
              </w:rPr>
              <w:t>钐钴、含镝/铽钕铁硼等</w:t>
            </w:r>
          </w:p>
        </w:tc>
        <w:tc>
          <w:tcPr>
            <w:tcW w:w="2850" w:type="dxa"/>
          </w:tcPr>
          <w:p w14:paraId="73C7040C">
            <w:pPr>
              <w:spacing w:after="0" w:line="276" w:lineRule="auto"/>
              <w:jc w:val="left"/>
            </w:pPr>
            <w:r>
              <w:rPr>
                <w:rFonts w:ascii="Arial" w:hAnsi="Arial" w:eastAsia="宋体"/>
                <w:b w:val="0"/>
                <w:i w:val="0"/>
                <w:color w:val="1F2937"/>
                <w:sz w:val="17"/>
              </w:rPr>
              <w:t>元素含量、性能、尺寸、最终产品</w:t>
            </w:r>
          </w:p>
        </w:tc>
        <w:tc>
          <w:tcPr>
            <w:tcW w:w="2460" w:type="dxa"/>
          </w:tcPr>
          <w:p w14:paraId="52A048BA">
            <w:pPr>
              <w:spacing w:after="0" w:line="276" w:lineRule="auto"/>
              <w:jc w:val="left"/>
            </w:pPr>
            <w:r>
              <w:rPr>
                <w:rFonts w:ascii="Arial" w:hAnsi="Arial" w:eastAsia="宋体"/>
                <w:b w:val="0"/>
                <w:i w:val="0"/>
                <w:color w:val="1F2937"/>
                <w:sz w:val="17"/>
              </w:rPr>
              <w:t>烧结、晶界扩散、镀层和客户认证</w:t>
            </w:r>
          </w:p>
        </w:tc>
      </w:tr>
      <w:tr w14:paraId="616A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shd w:val="clear" w:color="auto" w:fill="F3F5F7"/>
          </w:tcPr>
          <w:p w14:paraId="0ABB985B">
            <w:pPr>
              <w:spacing w:after="0" w:line="276" w:lineRule="auto"/>
              <w:jc w:val="center"/>
            </w:pPr>
            <w:r>
              <w:rPr>
                <w:rFonts w:ascii="Arial" w:hAnsi="Arial" w:eastAsia="宋体"/>
                <w:b w:val="0"/>
                <w:i w:val="0"/>
                <w:color w:val="1F2937"/>
                <w:sz w:val="17"/>
              </w:rPr>
              <w:t>电池材料</w:t>
            </w:r>
          </w:p>
        </w:tc>
        <w:tc>
          <w:tcPr>
            <w:tcW w:w="2850" w:type="dxa"/>
            <w:shd w:val="clear" w:color="auto" w:fill="F3F5F7"/>
          </w:tcPr>
          <w:p w14:paraId="37CBE167">
            <w:pPr>
              <w:spacing w:after="0" w:line="276" w:lineRule="auto"/>
              <w:jc w:val="left"/>
            </w:pPr>
            <w:r>
              <w:rPr>
                <w:rFonts w:ascii="Arial" w:hAnsi="Arial" w:eastAsia="宋体"/>
                <w:b w:val="0"/>
                <w:i w:val="0"/>
                <w:color w:val="1F2937"/>
                <w:sz w:val="17"/>
              </w:rPr>
              <w:t>高性能电芯、正极、负极、设备与技术</w:t>
            </w:r>
          </w:p>
        </w:tc>
        <w:tc>
          <w:tcPr>
            <w:tcW w:w="2850" w:type="dxa"/>
            <w:shd w:val="clear" w:color="auto" w:fill="F3F5F7"/>
          </w:tcPr>
          <w:p w14:paraId="3C6C1726">
            <w:pPr>
              <w:spacing w:after="0" w:line="276" w:lineRule="auto"/>
              <w:jc w:val="left"/>
            </w:pPr>
            <w:r>
              <w:rPr>
                <w:rFonts w:ascii="Arial" w:hAnsi="Arial" w:eastAsia="宋体"/>
                <w:b w:val="0"/>
                <w:i w:val="0"/>
                <w:color w:val="1F2937"/>
                <w:sz w:val="17"/>
              </w:rPr>
              <w:t>能量密度、压实密度、容量、设备参数</w:t>
            </w:r>
          </w:p>
        </w:tc>
        <w:tc>
          <w:tcPr>
            <w:tcW w:w="2460" w:type="dxa"/>
            <w:shd w:val="clear" w:color="auto" w:fill="F3F5F7"/>
          </w:tcPr>
          <w:p w14:paraId="4658851E">
            <w:pPr>
              <w:spacing w:after="0" w:line="276" w:lineRule="auto"/>
              <w:jc w:val="left"/>
            </w:pPr>
            <w:r>
              <w:rPr>
                <w:rFonts w:ascii="Arial" w:hAnsi="Arial" w:eastAsia="宋体"/>
                <w:b w:val="0"/>
                <w:i w:val="0"/>
                <w:color w:val="1F2937"/>
                <w:sz w:val="17"/>
              </w:rPr>
              <w:t>部分2025扩围措施当前暂停</w:t>
            </w:r>
          </w:p>
        </w:tc>
      </w:tr>
    </w:tbl>
    <w:p w14:paraId="381F3A49">
      <w:pPr>
        <w:spacing w:after="20"/>
      </w:pPr>
    </w:p>
    <w:p w14:paraId="6E0BE06D">
      <w:pPr>
        <w:pStyle w:val="3"/>
      </w:pPr>
      <w:r>
        <w:t>附录B 项目阶段与证据等级</w:t>
      </w:r>
    </w:p>
    <w:p w14:paraId="268124E9">
      <w:pPr>
        <w:pStyle w:val="164"/>
        <w:jc w:val="left"/>
      </w:pPr>
      <w:r>
        <w:t>表B-1  关键矿产项目七阶段法</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4900"/>
        <w:gridCol w:w="2960"/>
      </w:tblGrid>
      <w:tr w14:paraId="6BC3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00" w:type="dxa"/>
            <w:shd w:val="clear" w:color="auto" w:fill="17365D"/>
            <w:tcMar>
              <w:top w:w="90" w:type="dxa"/>
              <w:left w:w="120" w:type="dxa"/>
              <w:bottom w:w="90" w:type="dxa"/>
              <w:right w:w="120" w:type="dxa"/>
            </w:tcMar>
            <w:vAlign w:val="center"/>
          </w:tcPr>
          <w:p w14:paraId="659AD049">
            <w:pPr>
              <w:spacing w:after="0"/>
              <w:jc w:val="center"/>
            </w:pPr>
            <w:r>
              <w:rPr>
                <w:rFonts w:ascii="Arial" w:hAnsi="Arial" w:eastAsia="微软雅黑"/>
                <w:b/>
                <w:i w:val="0"/>
                <w:color w:val="FFFFFF"/>
                <w:sz w:val="18"/>
              </w:rPr>
              <w:t>阶段</w:t>
            </w:r>
          </w:p>
        </w:tc>
        <w:tc>
          <w:tcPr>
            <w:tcW w:w="4900" w:type="dxa"/>
            <w:shd w:val="clear" w:color="auto" w:fill="17365D"/>
            <w:tcMar>
              <w:top w:w="90" w:type="dxa"/>
              <w:left w:w="120" w:type="dxa"/>
              <w:bottom w:w="90" w:type="dxa"/>
              <w:right w:w="120" w:type="dxa"/>
            </w:tcMar>
            <w:vAlign w:val="center"/>
          </w:tcPr>
          <w:p w14:paraId="1BC766D7">
            <w:pPr>
              <w:spacing w:after="0"/>
              <w:jc w:val="center"/>
            </w:pPr>
            <w:r>
              <w:rPr>
                <w:rFonts w:ascii="Arial" w:hAnsi="Arial" w:eastAsia="微软雅黑"/>
                <w:b/>
                <w:i w:val="0"/>
                <w:color w:val="FFFFFF"/>
                <w:sz w:val="18"/>
              </w:rPr>
              <w:t>判定依据</w:t>
            </w:r>
          </w:p>
        </w:tc>
        <w:tc>
          <w:tcPr>
            <w:tcW w:w="2960" w:type="dxa"/>
            <w:shd w:val="clear" w:color="auto" w:fill="17365D"/>
            <w:tcMar>
              <w:top w:w="90" w:type="dxa"/>
              <w:left w:w="120" w:type="dxa"/>
              <w:bottom w:w="90" w:type="dxa"/>
              <w:right w:w="120" w:type="dxa"/>
            </w:tcMar>
            <w:vAlign w:val="center"/>
          </w:tcPr>
          <w:p w14:paraId="7F3FC62A">
            <w:pPr>
              <w:spacing w:after="0"/>
              <w:jc w:val="center"/>
            </w:pPr>
            <w:r>
              <w:rPr>
                <w:rFonts w:ascii="Arial" w:hAnsi="Arial" w:eastAsia="微软雅黑"/>
                <w:b/>
                <w:i w:val="0"/>
                <w:color w:val="FFFFFF"/>
                <w:sz w:val="18"/>
              </w:rPr>
              <w:t>分析处理</w:t>
            </w:r>
          </w:p>
        </w:tc>
      </w:tr>
      <w:tr w14:paraId="28C2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8DC5335">
            <w:pPr>
              <w:spacing w:after="0" w:line="276" w:lineRule="auto"/>
              <w:jc w:val="center"/>
            </w:pPr>
            <w:r>
              <w:rPr>
                <w:rFonts w:ascii="Arial" w:hAnsi="Arial" w:eastAsia="宋体"/>
                <w:b w:val="0"/>
                <w:i w:val="0"/>
                <w:color w:val="1F2937"/>
                <w:sz w:val="17"/>
              </w:rPr>
              <w:t>S0 资源线索</w:t>
            </w:r>
          </w:p>
        </w:tc>
        <w:tc>
          <w:tcPr>
            <w:tcW w:w="4900" w:type="dxa"/>
          </w:tcPr>
          <w:p w14:paraId="41C2E97D">
            <w:pPr>
              <w:spacing w:after="0" w:line="276" w:lineRule="auto"/>
              <w:jc w:val="left"/>
            </w:pPr>
            <w:r>
              <w:rPr>
                <w:rFonts w:ascii="Arial" w:hAnsi="Arial" w:eastAsia="宋体"/>
                <w:b w:val="0"/>
                <w:i w:val="0"/>
                <w:color w:val="1F2937"/>
                <w:sz w:val="17"/>
              </w:rPr>
              <w:t>企业或政府公布资源前景</w:t>
            </w:r>
          </w:p>
        </w:tc>
        <w:tc>
          <w:tcPr>
            <w:tcW w:w="2960" w:type="dxa"/>
          </w:tcPr>
          <w:p w14:paraId="14902DB0">
            <w:pPr>
              <w:spacing w:after="0" w:line="276" w:lineRule="auto"/>
              <w:jc w:val="left"/>
            </w:pPr>
            <w:r>
              <w:rPr>
                <w:rFonts w:ascii="Arial" w:hAnsi="Arial" w:eastAsia="宋体"/>
                <w:b w:val="0"/>
                <w:i w:val="0"/>
                <w:color w:val="1F2937"/>
                <w:sz w:val="17"/>
              </w:rPr>
              <w:t>不能计入产能</w:t>
            </w:r>
          </w:p>
        </w:tc>
      </w:tr>
      <w:tr w14:paraId="4573C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shd w:val="clear" w:color="auto" w:fill="F3F5F7"/>
          </w:tcPr>
          <w:p w14:paraId="46EE8818">
            <w:pPr>
              <w:spacing w:after="0" w:line="276" w:lineRule="auto"/>
              <w:jc w:val="center"/>
            </w:pPr>
            <w:r>
              <w:rPr>
                <w:rFonts w:ascii="Arial" w:hAnsi="Arial" w:eastAsia="宋体"/>
                <w:b w:val="0"/>
                <w:i w:val="0"/>
                <w:color w:val="1F2937"/>
                <w:sz w:val="17"/>
              </w:rPr>
              <w:t>S1 资源确认</w:t>
            </w:r>
          </w:p>
        </w:tc>
        <w:tc>
          <w:tcPr>
            <w:tcW w:w="4900" w:type="dxa"/>
            <w:shd w:val="clear" w:color="auto" w:fill="F3F5F7"/>
          </w:tcPr>
          <w:p w14:paraId="2EE78E6F">
            <w:pPr>
              <w:spacing w:after="0" w:line="276" w:lineRule="auto"/>
              <w:jc w:val="left"/>
            </w:pPr>
            <w:r>
              <w:rPr>
                <w:rFonts w:ascii="Arial" w:hAnsi="Arial" w:eastAsia="宋体"/>
                <w:b w:val="0"/>
                <w:i w:val="0"/>
                <w:color w:val="1F2937"/>
                <w:sz w:val="17"/>
              </w:rPr>
              <w:t>有合规资源量/储量报告</w:t>
            </w:r>
          </w:p>
        </w:tc>
        <w:tc>
          <w:tcPr>
            <w:tcW w:w="2960" w:type="dxa"/>
            <w:shd w:val="clear" w:color="auto" w:fill="F3F5F7"/>
          </w:tcPr>
          <w:p w14:paraId="5EB36C50">
            <w:pPr>
              <w:spacing w:after="0" w:line="276" w:lineRule="auto"/>
              <w:jc w:val="left"/>
            </w:pPr>
            <w:r>
              <w:rPr>
                <w:rFonts w:ascii="Arial" w:hAnsi="Arial" w:eastAsia="宋体"/>
                <w:b w:val="0"/>
                <w:i w:val="0"/>
                <w:color w:val="1F2937"/>
                <w:sz w:val="17"/>
              </w:rPr>
              <w:t>仅证明地质基础</w:t>
            </w:r>
          </w:p>
        </w:tc>
      </w:tr>
      <w:tr w14:paraId="437E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A994F05">
            <w:pPr>
              <w:spacing w:after="0" w:line="276" w:lineRule="auto"/>
              <w:jc w:val="center"/>
            </w:pPr>
            <w:r>
              <w:rPr>
                <w:rFonts w:ascii="Arial" w:hAnsi="Arial" w:eastAsia="宋体"/>
                <w:b w:val="0"/>
                <w:i w:val="0"/>
                <w:color w:val="1F2937"/>
                <w:sz w:val="17"/>
              </w:rPr>
              <w:t>S2 预可研</w:t>
            </w:r>
          </w:p>
        </w:tc>
        <w:tc>
          <w:tcPr>
            <w:tcW w:w="4900" w:type="dxa"/>
          </w:tcPr>
          <w:p w14:paraId="3182E0AA">
            <w:pPr>
              <w:spacing w:after="0" w:line="276" w:lineRule="auto"/>
              <w:jc w:val="left"/>
            </w:pPr>
            <w:r>
              <w:rPr>
                <w:rFonts w:ascii="Arial" w:hAnsi="Arial" w:eastAsia="宋体"/>
                <w:b w:val="0"/>
                <w:i w:val="0"/>
                <w:color w:val="1F2937"/>
                <w:sz w:val="17"/>
              </w:rPr>
              <w:t>形成工艺路线和初步经济性</w:t>
            </w:r>
          </w:p>
        </w:tc>
        <w:tc>
          <w:tcPr>
            <w:tcW w:w="2960" w:type="dxa"/>
          </w:tcPr>
          <w:p w14:paraId="78CF2CAB">
            <w:pPr>
              <w:spacing w:after="0" w:line="276" w:lineRule="auto"/>
              <w:jc w:val="left"/>
            </w:pPr>
            <w:r>
              <w:rPr>
                <w:rFonts w:ascii="Arial" w:hAnsi="Arial" w:eastAsia="宋体"/>
                <w:b w:val="0"/>
                <w:i w:val="0"/>
                <w:color w:val="1F2937"/>
                <w:sz w:val="17"/>
              </w:rPr>
              <w:t>高不确定性</w:t>
            </w:r>
          </w:p>
        </w:tc>
      </w:tr>
      <w:tr w14:paraId="03BB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shd w:val="clear" w:color="auto" w:fill="F3F5F7"/>
          </w:tcPr>
          <w:p w14:paraId="08765F93">
            <w:pPr>
              <w:spacing w:after="0" w:line="276" w:lineRule="auto"/>
              <w:jc w:val="center"/>
            </w:pPr>
            <w:r>
              <w:rPr>
                <w:rFonts w:ascii="Arial" w:hAnsi="Arial" w:eastAsia="宋体"/>
                <w:b w:val="0"/>
                <w:i w:val="0"/>
                <w:color w:val="1F2937"/>
                <w:sz w:val="17"/>
              </w:rPr>
              <w:t>S3 可研与许可</w:t>
            </w:r>
          </w:p>
        </w:tc>
        <w:tc>
          <w:tcPr>
            <w:tcW w:w="4900" w:type="dxa"/>
            <w:shd w:val="clear" w:color="auto" w:fill="F3F5F7"/>
          </w:tcPr>
          <w:p w14:paraId="5D824634">
            <w:pPr>
              <w:spacing w:after="0" w:line="276" w:lineRule="auto"/>
              <w:jc w:val="left"/>
            </w:pPr>
            <w:r>
              <w:rPr>
                <w:rFonts w:ascii="Arial" w:hAnsi="Arial" w:eastAsia="宋体"/>
                <w:b w:val="0"/>
                <w:i w:val="0"/>
                <w:color w:val="1F2937"/>
                <w:sz w:val="17"/>
              </w:rPr>
              <w:t>完成可研、环境和关键许可</w:t>
            </w:r>
          </w:p>
        </w:tc>
        <w:tc>
          <w:tcPr>
            <w:tcW w:w="2960" w:type="dxa"/>
            <w:shd w:val="clear" w:color="auto" w:fill="F3F5F7"/>
          </w:tcPr>
          <w:p w14:paraId="1DC1C50F">
            <w:pPr>
              <w:spacing w:after="0" w:line="276" w:lineRule="auto"/>
              <w:jc w:val="left"/>
            </w:pPr>
            <w:r>
              <w:rPr>
                <w:rFonts w:ascii="Arial" w:hAnsi="Arial" w:eastAsia="宋体"/>
                <w:b w:val="0"/>
                <w:i w:val="0"/>
                <w:color w:val="1F2937"/>
                <w:sz w:val="17"/>
              </w:rPr>
              <w:t>具备融资基础</w:t>
            </w:r>
          </w:p>
        </w:tc>
      </w:tr>
      <w:tr w14:paraId="3D29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F71BF82">
            <w:pPr>
              <w:spacing w:after="0" w:line="276" w:lineRule="auto"/>
              <w:jc w:val="center"/>
            </w:pPr>
            <w:r>
              <w:rPr>
                <w:rFonts w:ascii="Arial" w:hAnsi="Arial" w:eastAsia="宋体"/>
                <w:b w:val="0"/>
                <w:i w:val="0"/>
                <w:color w:val="1F2937"/>
                <w:sz w:val="17"/>
              </w:rPr>
              <w:t>S4 融资关闭</w:t>
            </w:r>
          </w:p>
        </w:tc>
        <w:tc>
          <w:tcPr>
            <w:tcW w:w="4900" w:type="dxa"/>
          </w:tcPr>
          <w:p w14:paraId="5EEA21D0">
            <w:pPr>
              <w:spacing w:after="0" w:line="276" w:lineRule="auto"/>
              <w:jc w:val="left"/>
            </w:pPr>
            <w:r>
              <w:rPr>
                <w:rFonts w:ascii="Arial" w:hAnsi="Arial" w:eastAsia="宋体"/>
                <w:b w:val="0"/>
                <w:i w:val="0"/>
                <w:color w:val="1F2937"/>
                <w:sz w:val="17"/>
              </w:rPr>
              <w:t>资金和承购基本落实</w:t>
            </w:r>
          </w:p>
        </w:tc>
        <w:tc>
          <w:tcPr>
            <w:tcW w:w="2960" w:type="dxa"/>
          </w:tcPr>
          <w:p w14:paraId="7C41E35C">
            <w:pPr>
              <w:spacing w:after="0" w:line="276" w:lineRule="auto"/>
              <w:jc w:val="left"/>
            </w:pPr>
            <w:r>
              <w:rPr>
                <w:rFonts w:ascii="Arial" w:hAnsi="Arial" w:eastAsia="宋体"/>
                <w:b w:val="0"/>
                <w:i w:val="0"/>
                <w:color w:val="1F2937"/>
                <w:sz w:val="17"/>
              </w:rPr>
              <w:t>可计条件性产能</w:t>
            </w:r>
          </w:p>
        </w:tc>
      </w:tr>
      <w:tr w14:paraId="5B6F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shd w:val="clear" w:color="auto" w:fill="F3F5F7"/>
          </w:tcPr>
          <w:p w14:paraId="4C9E8ABE">
            <w:pPr>
              <w:spacing w:after="0" w:line="276" w:lineRule="auto"/>
              <w:jc w:val="center"/>
            </w:pPr>
            <w:r>
              <w:rPr>
                <w:rFonts w:ascii="Arial" w:hAnsi="Arial" w:eastAsia="宋体"/>
                <w:b w:val="0"/>
                <w:i w:val="0"/>
                <w:color w:val="1F2937"/>
                <w:sz w:val="17"/>
              </w:rPr>
              <w:t>S5 建设</w:t>
            </w:r>
          </w:p>
        </w:tc>
        <w:tc>
          <w:tcPr>
            <w:tcW w:w="4900" w:type="dxa"/>
            <w:shd w:val="clear" w:color="auto" w:fill="F3F5F7"/>
          </w:tcPr>
          <w:p w14:paraId="208D0F5B">
            <w:pPr>
              <w:spacing w:after="0" w:line="276" w:lineRule="auto"/>
              <w:jc w:val="left"/>
            </w:pPr>
            <w:r>
              <w:rPr>
                <w:rFonts w:ascii="Arial" w:hAnsi="Arial" w:eastAsia="宋体"/>
                <w:b w:val="0"/>
                <w:i w:val="0"/>
                <w:color w:val="1F2937"/>
                <w:sz w:val="17"/>
              </w:rPr>
              <w:t>设备安装和工程进度可验证</w:t>
            </w:r>
          </w:p>
        </w:tc>
        <w:tc>
          <w:tcPr>
            <w:tcW w:w="2960" w:type="dxa"/>
            <w:shd w:val="clear" w:color="auto" w:fill="F3F5F7"/>
          </w:tcPr>
          <w:p w14:paraId="707C830E">
            <w:pPr>
              <w:spacing w:after="0" w:line="276" w:lineRule="auto"/>
              <w:jc w:val="left"/>
            </w:pPr>
            <w:r>
              <w:rPr>
                <w:rFonts w:ascii="Arial" w:hAnsi="Arial" w:eastAsia="宋体"/>
                <w:b w:val="0"/>
                <w:i w:val="0"/>
                <w:color w:val="1F2937"/>
                <w:sz w:val="17"/>
              </w:rPr>
              <w:t>关注延期与超支</w:t>
            </w:r>
          </w:p>
        </w:tc>
      </w:tr>
      <w:tr w14:paraId="5278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56979B2F">
            <w:pPr>
              <w:spacing w:after="0" w:line="276" w:lineRule="auto"/>
              <w:jc w:val="center"/>
            </w:pPr>
            <w:r>
              <w:rPr>
                <w:rFonts w:ascii="Arial" w:hAnsi="Arial" w:eastAsia="宋体"/>
                <w:b w:val="0"/>
                <w:i w:val="0"/>
                <w:color w:val="1F2937"/>
                <w:sz w:val="17"/>
              </w:rPr>
              <w:t>S6 试产/认证</w:t>
            </w:r>
          </w:p>
        </w:tc>
        <w:tc>
          <w:tcPr>
            <w:tcW w:w="4900" w:type="dxa"/>
          </w:tcPr>
          <w:p w14:paraId="7F174324">
            <w:pPr>
              <w:spacing w:after="0" w:line="276" w:lineRule="auto"/>
              <w:jc w:val="left"/>
            </w:pPr>
            <w:r>
              <w:rPr>
                <w:rFonts w:ascii="Arial" w:hAnsi="Arial" w:eastAsia="宋体"/>
                <w:b w:val="0"/>
                <w:i w:val="0"/>
                <w:color w:val="1F2937"/>
                <w:sz w:val="17"/>
              </w:rPr>
              <w:t>连续运行并向客户送样</w:t>
            </w:r>
          </w:p>
        </w:tc>
        <w:tc>
          <w:tcPr>
            <w:tcW w:w="2960" w:type="dxa"/>
          </w:tcPr>
          <w:p w14:paraId="3FD81FDE">
            <w:pPr>
              <w:spacing w:after="0" w:line="276" w:lineRule="auto"/>
              <w:jc w:val="left"/>
            </w:pPr>
            <w:r>
              <w:rPr>
                <w:rFonts w:ascii="Arial" w:hAnsi="Arial" w:eastAsia="宋体"/>
                <w:b w:val="0"/>
                <w:i w:val="0"/>
                <w:color w:val="1F2937"/>
                <w:sz w:val="17"/>
              </w:rPr>
              <w:t>关注良率和规格</w:t>
            </w:r>
          </w:p>
        </w:tc>
      </w:tr>
      <w:tr w14:paraId="70CE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shd w:val="clear" w:color="auto" w:fill="F3F5F7"/>
          </w:tcPr>
          <w:p w14:paraId="10F57AF5">
            <w:pPr>
              <w:spacing w:after="0" w:line="276" w:lineRule="auto"/>
              <w:jc w:val="center"/>
            </w:pPr>
            <w:r>
              <w:rPr>
                <w:rFonts w:ascii="Arial" w:hAnsi="Arial" w:eastAsia="宋体"/>
                <w:b w:val="0"/>
                <w:i w:val="0"/>
                <w:color w:val="1F2937"/>
                <w:sz w:val="17"/>
              </w:rPr>
              <w:t>S7 商业交付</w:t>
            </w:r>
          </w:p>
        </w:tc>
        <w:tc>
          <w:tcPr>
            <w:tcW w:w="4900" w:type="dxa"/>
            <w:shd w:val="clear" w:color="auto" w:fill="F3F5F7"/>
          </w:tcPr>
          <w:p w14:paraId="0AC974F6">
            <w:pPr>
              <w:spacing w:after="0" w:line="276" w:lineRule="auto"/>
              <w:jc w:val="left"/>
            </w:pPr>
            <w:r>
              <w:rPr>
                <w:rFonts w:ascii="Arial" w:hAnsi="Arial" w:eastAsia="宋体"/>
                <w:b w:val="0"/>
                <w:i w:val="0"/>
                <w:color w:val="1F2937"/>
                <w:sz w:val="17"/>
              </w:rPr>
              <w:t>稳定出货并形成收入</w:t>
            </w:r>
          </w:p>
        </w:tc>
        <w:tc>
          <w:tcPr>
            <w:tcW w:w="2960" w:type="dxa"/>
            <w:shd w:val="clear" w:color="auto" w:fill="F3F5F7"/>
          </w:tcPr>
          <w:p w14:paraId="6D22D339">
            <w:pPr>
              <w:spacing w:after="0" w:line="276" w:lineRule="auto"/>
              <w:jc w:val="left"/>
            </w:pPr>
            <w:r>
              <w:rPr>
                <w:rFonts w:ascii="Arial" w:hAnsi="Arial" w:eastAsia="宋体"/>
                <w:b w:val="0"/>
                <w:i w:val="0"/>
                <w:color w:val="1F2937"/>
                <w:sz w:val="17"/>
              </w:rPr>
              <w:t>计入有效供应</w:t>
            </w:r>
          </w:p>
        </w:tc>
      </w:tr>
    </w:tbl>
    <w:p w14:paraId="7FEE8496">
      <w:pPr>
        <w:spacing w:after="20"/>
      </w:pPr>
    </w:p>
    <w:p w14:paraId="5942E143">
      <w:pPr>
        <w:spacing w:after="100" w:line="348" w:lineRule="auto"/>
        <w:jc w:val="both"/>
      </w:pPr>
      <w:r>
        <w:rPr>
          <w:rFonts w:ascii="Arial" w:hAnsi="Arial" w:eastAsia="宋体"/>
          <w:b w:val="0"/>
          <w:i w:val="0"/>
          <w:color w:val="1F2937"/>
          <w:sz w:val="21"/>
        </w:rPr>
        <w:t>证据等级建议：A级为政府、国际组织、法院和企业法定披露；B级为企业官网、项目融资和可复核贸易记录；C级为新闻和行业评论。项目阶段至少使用一个A级或两个相互独立B级来源确认，计划值与实际值必须分栏存储。</w:t>
      </w:r>
    </w:p>
    <w:p w14:paraId="53D42225">
      <w:pPr>
        <w:pStyle w:val="3"/>
      </w:pPr>
      <w:r>
        <w:t>附录C 十二项专题深度分析</w:t>
      </w:r>
    </w:p>
    <w:p w14:paraId="552C7CC9">
      <w:pPr>
        <w:pStyle w:val="4"/>
      </w:pPr>
      <w:r>
        <w:t>C.1 许可制为何比全面禁运更具持续性</w:t>
      </w:r>
    </w:p>
    <w:p w14:paraId="6A12EA64">
      <w:pPr>
        <w:spacing w:after="100" w:line="348" w:lineRule="auto"/>
        <w:jc w:val="both"/>
      </w:pPr>
      <w:r>
        <w:rPr>
          <w:rFonts w:ascii="Arial" w:hAnsi="Arial" w:eastAsia="宋体"/>
          <w:b w:val="0"/>
          <w:i w:val="0"/>
          <w:color w:val="1F2937"/>
          <w:sz w:val="21"/>
        </w:rPr>
        <w:t>全面禁运的政策效果直观，但会迅速刺激替代、库存和外交反应，也会切断本国出口企业的正常市场。许可制保留正常贸易通道，把政策压力集中于高风险用途、敏感买方和信息不完整的交易，因此更适合长期运行。其影响也更难用单一出口量衡量：分类咨询、材料补正、最终用户证明和审批节奏都会改变企业交期。</w:t>
      </w:r>
    </w:p>
    <w:p w14:paraId="1CBAE7A4">
      <w:pPr>
        <w:spacing w:after="100" w:line="348" w:lineRule="auto"/>
        <w:jc w:val="both"/>
      </w:pPr>
      <w:r>
        <w:rPr>
          <w:rFonts w:ascii="Arial" w:hAnsi="Arial" w:eastAsia="宋体"/>
          <w:b w:val="0"/>
          <w:i w:val="0"/>
          <w:color w:val="1F2937"/>
          <w:sz w:val="21"/>
        </w:rPr>
        <w:t>许可制的战略弹性来自可调参数。主管部门可以调整物项技术条件、目的地、最终用途审查、证明材料、许可证期限和核销要求，而不必修改整个法律框架。对进口方而言，这种不确定性会被转化为库存成本、替代供应溢价和产品设计保守度；对出口方而言，则表现为合规人力、检测和客户尽调成本上升。</w:t>
      </w:r>
    </w:p>
    <w:p w14:paraId="32755973">
      <w:pPr>
        <w:spacing w:after="100" w:line="348" w:lineRule="auto"/>
        <w:jc w:val="both"/>
      </w:pPr>
      <w:r>
        <w:rPr>
          <w:rFonts w:ascii="Arial" w:hAnsi="Arial" w:eastAsia="宋体"/>
          <w:b w:val="0"/>
          <w:i w:val="0"/>
          <w:color w:val="1F2937"/>
          <w:sz w:val="21"/>
        </w:rPr>
        <w:t>因此，判断政策强弱不能只看批准或拒绝数量。更完整的指标还包括申请完整率、平均补正轮次、不同用途的批准差异、许可证有效期、实际核销量和获批后运输时长。若只统计出口总量，可能把需求下降、季节性和企业预防性库存误判为政策效果。</w:t>
      </w:r>
    </w:p>
    <w:p w14:paraId="47A27ED8">
      <w:pPr>
        <w:pStyle w:val="4"/>
      </w:pPr>
      <w:r>
        <w:t>C.2 政策状态引擎的必要性</w:t>
      </w:r>
    </w:p>
    <w:p w14:paraId="2EEC23BE">
      <w:pPr>
        <w:spacing w:after="100" w:line="348" w:lineRule="auto"/>
        <w:jc w:val="both"/>
      </w:pPr>
      <w:r>
        <w:rPr>
          <w:rFonts w:ascii="Arial" w:hAnsi="Arial" w:eastAsia="宋体"/>
          <w:b w:val="0"/>
          <w:i w:val="0"/>
          <w:color w:val="1F2937"/>
          <w:sz w:val="21"/>
        </w:rPr>
        <w:t>关键矿产公告具有生效、扩围、暂停、恢复、替代和目的地差异等多种状态。传统法规库通常只保存发布日期和全文，无法回答“某一季度、某一目的地、某一技术参数是否有效”。这会直接污染趋势图、企业风险画像和自动预警。</w:t>
      </w:r>
    </w:p>
    <w:p w14:paraId="2A9A96F2">
      <w:pPr>
        <w:spacing w:after="100" w:line="348" w:lineRule="auto"/>
        <w:jc w:val="both"/>
      </w:pPr>
      <w:r>
        <w:rPr>
          <w:rFonts w:ascii="Arial" w:hAnsi="Arial" w:eastAsia="宋体"/>
          <w:b w:val="0"/>
          <w:i w:val="0"/>
          <w:color w:val="1F2937"/>
          <w:sz w:val="21"/>
        </w:rPr>
        <w:t>建议把每项规则拆成“政策组—物项—参数—目的地—生效区间—法律动作”六个字段。暂停不是删除原公告，而是在时间轴上形成不适用区间；恢复则新增区间。统计政策密度时，应计算当期有效物项组，而不是累计公告篇数。</w:t>
      </w:r>
    </w:p>
    <w:p w14:paraId="4E58DAF7">
      <w:pPr>
        <w:spacing w:after="100" w:line="348" w:lineRule="auto"/>
        <w:jc w:val="both"/>
      </w:pPr>
      <w:r>
        <w:rPr>
          <w:rFonts w:ascii="Arial" w:hAnsi="Arial" w:eastAsia="宋体"/>
          <w:b w:val="0"/>
          <w:i w:val="0"/>
          <w:color w:val="1F2937"/>
          <w:sz w:val="21"/>
        </w:rPr>
        <w:t>政策状态还需要版本化。系统应保存每次判断使用的规则版本，确保事后复核时能够还原当时的适用条件。对于报关日期、合同日期、许可证签发日期和实际离境日期不一致的交易，还要明确采用哪一时点判断法律适用。</w:t>
      </w:r>
    </w:p>
    <w:p w14:paraId="306883A5">
      <w:pPr>
        <w:pStyle w:val="4"/>
      </w:pPr>
      <w:r>
        <w:t>C.3 价格底线的经济逻辑与财政风险</w:t>
      </w:r>
    </w:p>
    <w:p w14:paraId="623703FD">
      <w:pPr>
        <w:spacing w:after="100" w:line="348" w:lineRule="auto"/>
        <w:jc w:val="both"/>
      </w:pPr>
      <w:r>
        <w:rPr>
          <w:rFonts w:ascii="Arial" w:hAnsi="Arial" w:eastAsia="宋体"/>
          <w:b w:val="0"/>
          <w:i w:val="0"/>
          <w:color w:val="1F2937"/>
          <w:sz w:val="21"/>
        </w:rPr>
        <w:t>新建关键矿产项目往往面临“成本高于现货、现货低于长期安全价值”的困境。价格底线通过补足市场价与约定价之间的差额，为项目提供可融资收入；若价格上升，再通过收益分享回收部分财政支出。相比一次性补贴，这种安排更接近长期风险共担。</w:t>
      </w:r>
    </w:p>
    <w:p w14:paraId="31A8BC59">
      <w:pPr>
        <w:spacing w:after="100" w:line="348" w:lineRule="auto"/>
        <w:jc w:val="both"/>
      </w:pPr>
      <w:r>
        <w:rPr>
          <w:rFonts w:ascii="Arial" w:hAnsi="Arial" w:eastAsia="宋体"/>
          <w:b w:val="0"/>
          <w:i w:val="0"/>
          <w:color w:val="1F2937"/>
          <w:sz w:val="21"/>
        </w:rPr>
        <w:t>价格保护的关键不是底线高低，而是覆盖哪些产品和数量、如何定义基准价格、是否允许库存计入、项目何时达到满产、成本下降目标如何设置。若设计过宽，企业可能失去降本动力；若设计过窄，银行仍不认可其现金流。</w:t>
      </w:r>
    </w:p>
    <w:p w14:paraId="45E391DF">
      <w:pPr>
        <w:spacing w:after="100" w:line="348" w:lineRule="auto"/>
        <w:jc w:val="both"/>
      </w:pPr>
      <w:r>
        <w:rPr>
          <w:rFonts w:ascii="Arial" w:hAnsi="Arial" w:eastAsia="宋体"/>
          <w:b w:val="0"/>
          <w:i w:val="0"/>
          <w:color w:val="1F2937"/>
          <w:sz w:val="21"/>
        </w:rPr>
        <w:t>从国际影响看，价格底线可能催生两个市场：一个按全球现货竞争，另一个以安全、原产地和政策合规为条件获得溢价。后者能够维持冗余产能，却也可能被贸易伙伴视为补贴。政策制定需要同时评估产业安全、下游成本、财政敞口和贸易规则。</w:t>
      </w:r>
    </w:p>
    <w:p w14:paraId="6CDB8A3C">
      <w:pPr>
        <w:pStyle w:val="4"/>
      </w:pPr>
      <w:r>
        <w:t>C.4 战略储备不只是“买货入库”</w:t>
      </w:r>
    </w:p>
    <w:p w14:paraId="0C19B073">
      <w:pPr>
        <w:spacing w:after="100" w:line="348" w:lineRule="auto"/>
        <w:jc w:val="both"/>
      </w:pPr>
      <w:r>
        <w:rPr>
          <w:rFonts w:ascii="Arial" w:hAnsi="Arial" w:eastAsia="宋体"/>
          <w:b w:val="0"/>
          <w:i w:val="0"/>
          <w:color w:val="1F2937"/>
          <w:sz w:val="21"/>
        </w:rPr>
        <w:t>关键矿产储备首先要解决形态问题。同一元素可以以矿石、精矿、氧化物、金属、合金、粉末、磁体或部件储存，不同形态对应不同保质期、转换时间和用户范围。储存上游原料可能仍受制于加工能力，储存下游部件则可能因规格迭代快速贬值。</w:t>
      </w:r>
    </w:p>
    <w:p w14:paraId="3EC2E43F">
      <w:pPr>
        <w:spacing w:after="100" w:line="348" w:lineRule="auto"/>
        <w:jc w:val="both"/>
      </w:pPr>
      <w:r>
        <w:rPr>
          <w:rFonts w:ascii="Arial" w:hAnsi="Arial" w:eastAsia="宋体"/>
          <w:b w:val="0"/>
          <w:i w:val="0"/>
          <w:color w:val="1F2937"/>
          <w:sz w:val="21"/>
        </w:rPr>
        <w:t>现代储备制度正在把实物库存与承购权、远期合同、需求聚合和合同价差结合。这样可以减少仓储成本，并在市场中断时获得优先供货。但合同型储备依赖对手方履约、物流和产能真实存在，不能完全替代实物库存。</w:t>
      </w:r>
    </w:p>
    <w:p w14:paraId="1D36CDB9">
      <w:pPr>
        <w:spacing w:after="100" w:line="348" w:lineRule="auto"/>
        <w:jc w:val="both"/>
      </w:pPr>
      <w:r>
        <w:rPr>
          <w:rFonts w:ascii="Arial" w:hAnsi="Arial" w:eastAsia="宋体"/>
          <w:b w:val="0"/>
          <w:i w:val="0"/>
          <w:color w:val="1F2937"/>
          <w:sz w:val="21"/>
        </w:rPr>
        <w:t>储备规模应以“关键用户可维持时间”而非采购金额衡量。释放规则还要明确触发阈值、优先用户、价格机制、补库节奏和跨国协调，防止市场一紧张各国同时抢购，反而放大价格波动。</w:t>
      </w:r>
    </w:p>
    <w:p w14:paraId="7B704058">
      <w:pPr>
        <w:pStyle w:val="4"/>
      </w:pPr>
      <w:r>
        <w:t>C.5 长期承购如何把资源变成可融资项目</w:t>
      </w:r>
    </w:p>
    <w:p w14:paraId="21813549">
      <w:pPr>
        <w:spacing w:after="100" w:line="348" w:lineRule="auto"/>
        <w:jc w:val="both"/>
      </w:pPr>
      <w:r>
        <w:rPr>
          <w:rFonts w:ascii="Arial" w:hAnsi="Arial" w:eastAsia="宋体"/>
          <w:b w:val="0"/>
          <w:i w:val="0"/>
          <w:color w:val="1F2937"/>
          <w:sz w:val="21"/>
        </w:rPr>
        <w:t>矿产项目融资的核心是未来现金流是否可预测。长期承购通过锁定最低数量、定价公式和买方信用，把资源量转化为银行可评估的收入。日本在稀土项目中常将政策资金与承购份额绑定，正是因为只有投资而没有销售安排，难以保证本国获得供应。</w:t>
      </w:r>
    </w:p>
    <w:p w14:paraId="5817444E">
      <w:pPr>
        <w:spacing w:after="100" w:line="348" w:lineRule="auto"/>
        <w:jc w:val="both"/>
      </w:pPr>
      <w:r>
        <w:rPr>
          <w:rFonts w:ascii="Arial" w:hAnsi="Arial" w:eastAsia="宋体"/>
          <w:b w:val="0"/>
          <w:i w:val="0"/>
          <w:color w:val="1F2937"/>
          <w:sz w:val="21"/>
        </w:rPr>
        <w:t>承购协议需要核对五个要素：期限、最低数量、价格公式、质量规格和终止条件。宣传中“已签承购”并不等于全部产能已有买家；无约束意向书、附条件承购和具有最低采购义务的合同，融资价值差异很大。</w:t>
      </w:r>
    </w:p>
    <w:p w14:paraId="5BE102BB">
      <w:pPr>
        <w:spacing w:after="100" w:line="348" w:lineRule="auto"/>
        <w:jc w:val="both"/>
      </w:pPr>
      <w:r>
        <w:rPr>
          <w:rFonts w:ascii="Arial" w:hAnsi="Arial" w:eastAsia="宋体"/>
          <w:b w:val="0"/>
          <w:i w:val="0"/>
          <w:color w:val="1F2937"/>
          <w:sz w:val="21"/>
        </w:rPr>
        <w:t>对下游企业而言，长期承购也是风险资产。若替代技术出现、需求预测下降或项目成本长期高企，买方可能承担高于市场的采购义务。因此安全承购最好包含分阶段数量、质量未达标退出、价格上下限和共同降本机制。</w:t>
      </w:r>
    </w:p>
    <w:p w14:paraId="148C642A">
      <w:pPr>
        <w:pStyle w:val="4"/>
      </w:pPr>
      <w:r>
        <w:t>C.6 稀土分离为何是最难复制的中游能力</w:t>
      </w:r>
    </w:p>
    <w:p w14:paraId="34A8CEEC">
      <w:pPr>
        <w:spacing w:after="100" w:line="348" w:lineRule="auto"/>
        <w:jc w:val="both"/>
      </w:pPr>
      <w:r>
        <w:rPr>
          <w:rFonts w:ascii="Arial" w:hAnsi="Arial" w:eastAsia="宋体"/>
          <w:b w:val="0"/>
          <w:i w:val="0"/>
          <w:color w:val="1F2937"/>
          <w:sz w:val="21"/>
        </w:rPr>
        <w:t>稀土矿不是同质原料。不同矿体的元素配分、杂质、放射性、浸出行为和试剂体系不同，一套在某矿成功的流程不能无成本迁移到另一矿。分离厂还必须在数百乃至上千级萃取中维持稳定界面和物料平衡，任何波动都会影响纯度和回收率。</w:t>
      </w:r>
    </w:p>
    <w:p w14:paraId="0237852E">
      <w:pPr>
        <w:spacing w:after="100" w:line="348" w:lineRule="auto"/>
        <w:jc w:val="both"/>
      </w:pPr>
      <w:r>
        <w:rPr>
          <w:rFonts w:ascii="Arial" w:hAnsi="Arial" w:eastAsia="宋体"/>
          <w:b w:val="0"/>
          <w:i w:val="0"/>
          <w:color w:val="1F2937"/>
          <w:sz w:val="21"/>
        </w:rPr>
        <w:t>工业能力的核心指标不是设计吨位，而是连续运行时间、产品合格率、单耗、废水与放射性副产处理以及设备腐蚀。试生产阶段能产出样品，并不等于能够以稳定成本连续交付。客户通常还要求长期批次数据，进一步拉长商业化周期。</w:t>
      </w:r>
    </w:p>
    <w:p w14:paraId="61AE4CFB">
      <w:pPr>
        <w:spacing w:after="100" w:line="348" w:lineRule="auto"/>
        <w:jc w:val="both"/>
      </w:pPr>
      <w:r>
        <w:rPr>
          <w:rFonts w:ascii="Arial" w:hAnsi="Arial" w:eastAsia="宋体"/>
          <w:b w:val="0"/>
          <w:i w:val="0"/>
          <w:color w:val="1F2937"/>
          <w:sz w:val="21"/>
        </w:rPr>
        <w:t>因此，海外项目应优先建设与具体矿源绑定的工艺包、现场工程团队和客户联合认证，而不是只购买通用设备。政策融资也应按试车和认证里程碑拨付，避免工程完工即被统计为有效产能。</w:t>
      </w:r>
    </w:p>
    <w:p w14:paraId="33F045DC">
      <w:pPr>
        <w:pStyle w:val="4"/>
      </w:pPr>
      <w:r>
        <w:t>C.7 磁体制造的隐性壁垒</w:t>
      </w:r>
    </w:p>
    <w:p w14:paraId="45A442A5">
      <w:pPr>
        <w:spacing w:after="100" w:line="348" w:lineRule="auto"/>
        <w:jc w:val="both"/>
      </w:pPr>
      <w:r>
        <w:rPr>
          <w:rFonts w:ascii="Arial" w:hAnsi="Arial" w:eastAsia="宋体"/>
          <w:b w:val="0"/>
          <w:i w:val="0"/>
          <w:color w:val="1F2937"/>
          <w:sz w:val="21"/>
        </w:rPr>
        <w:t>高性能永磁体的壁垒集中在合金成分、粉末粒度、氧含量、取向、烧结曲线、热处理、晶界扩散、机械加工和镀层的联动控制。单个工序达标不代表最终磁性能、耐腐蚀和批次一致性满足要求。</w:t>
      </w:r>
    </w:p>
    <w:p w14:paraId="3B37BEEA">
      <w:pPr>
        <w:spacing w:after="100" w:line="348" w:lineRule="auto"/>
        <w:jc w:val="both"/>
      </w:pPr>
      <w:r>
        <w:rPr>
          <w:rFonts w:ascii="Arial" w:hAnsi="Arial" w:eastAsia="宋体"/>
          <w:b w:val="0"/>
          <w:i w:val="0"/>
          <w:color w:val="1F2937"/>
          <w:sz w:val="21"/>
        </w:rPr>
        <w:t>汽车、风电、机器人和国防客户的认证周期不同。汽车强调大批量一致性和十年以上可靠性，风电关注长期退磁和维护成本，国防则可能要求极端环境和供应保密。一个磁体工厂获得某一客户认证，不能自动替代其他市场供应。</w:t>
      </w:r>
    </w:p>
    <w:p w14:paraId="2C4683BC">
      <w:pPr>
        <w:spacing w:after="100" w:line="348" w:lineRule="auto"/>
        <w:jc w:val="both"/>
      </w:pPr>
      <w:r>
        <w:rPr>
          <w:rFonts w:ascii="Arial" w:hAnsi="Arial" w:eastAsia="宋体"/>
          <w:b w:val="0"/>
          <w:i w:val="0"/>
          <w:color w:val="1F2937"/>
          <w:sz w:val="21"/>
        </w:rPr>
        <w:t>评价非中国产能时，应区分实验线、商业线、设计能力、实际产量和已认证产量。只有最后一项最接近可替代供应。设备安装和首批样品适合视为进度里程碑，不应直接写入全球市场份额。</w:t>
      </w:r>
    </w:p>
    <w:p w14:paraId="1AAD5760">
      <w:pPr>
        <w:pStyle w:val="4"/>
      </w:pPr>
      <w:r>
        <w:t>C.8 副产金属的“资源量幻觉”</w:t>
      </w:r>
    </w:p>
    <w:p w14:paraId="2139929E">
      <w:pPr>
        <w:spacing w:after="100" w:line="348" w:lineRule="auto"/>
        <w:jc w:val="both"/>
      </w:pPr>
      <w:r>
        <w:rPr>
          <w:rFonts w:ascii="Arial" w:hAnsi="Arial" w:eastAsia="宋体"/>
          <w:b w:val="0"/>
          <w:i w:val="0"/>
          <w:color w:val="1F2937"/>
          <w:sz w:val="21"/>
        </w:rPr>
        <w:t>镓、锗、铟和碲等金属大量来自铝、锌或铜产业链副产。它们的可供量取决于主产品产量、杂质进入哪一股物料、回收设施是否存在以及精制经济性。即使地质资源丰富，没有相应主产业和回收回路，也难形成商业供应。</w:t>
      </w:r>
    </w:p>
    <w:p w14:paraId="7EBB1B40">
      <w:pPr>
        <w:spacing w:after="100" w:line="348" w:lineRule="auto"/>
        <w:jc w:val="both"/>
      </w:pPr>
      <w:r>
        <w:rPr>
          <w:rFonts w:ascii="Arial" w:hAnsi="Arial" w:eastAsia="宋体"/>
          <w:b w:val="0"/>
          <w:i w:val="0"/>
          <w:color w:val="1F2937"/>
          <w:sz w:val="21"/>
        </w:rPr>
        <w:t>副产金属的供给弹性通常低于主产品。价格上涨并不会立即刺激独立矿山扩产，而是先推动现有冶炼厂增加回收、改造流程或处理历史废物。新增产能受制于原料流量和回收率上限。</w:t>
      </w:r>
    </w:p>
    <w:p w14:paraId="53CE2C75">
      <w:pPr>
        <w:spacing w:after="100" w:line="348" w:lineRule="auto"/>
        <w:jc w:val="both"/>
      </w:pPr>
      <w:r>
        <w:rPr>
          <w:rFonts w:ascii="Arial" w:hAnsi="Arial" w:eastAsia="宋体"/>
          <w:b w:val="0"/>
          <w:i w:val="0"/>
          <w:color w:val="1F2937"/>
          <w:sz w:val="21"/>
        </w:rPr>
        <w:t>监管分析也应关注产品形态。高纯金属、化合物、晶片、靶材和光学材料的供应商并不相同。统计“金属产量”无法解释半导体或红外产业是否真正获得合格材料。</w:t>
      </w:r>
    </w:p>
    <w:p w14:paraId="75702D12">
      <w:pPr>
        <w:pStyle w:val="4"/>
      </w:pPr>
      <w:r>
        <w:t>C.9 石墨供应链为何容易被低估</w:t>
      </w:r>
    </w:p>
    <w:p w14:paraId="4229F7A1">
      <w:pPr>
        <w:spacing w:after="100" w:line="348" w:lineRule="auto"/>
        <w:jc w:val="both"/>
      </w:pPr>
      <w:r>
        <w:rPr>
          <w:rFonts w:ascii="Arial" w:hAnsi="Arial" w:eastAsia="宋体"/>
          <w:b w:val="0"/>
          <w:i w:val="0"/>
          <w:color w:val="1F2937"/>
          <w:sz w:val="21"/>
        </w:rPr>
        <w:t>石墨同时存在天然和人造路线。天然石墨需要选矿、球化、提纯和包覆；人造石墨需要针状焦或其他碳源、长周期高温石墨化和表面改性。两条路线的成本、碳排放、倍率性能和客户认证不同。</w:t>
      </w:r>
    </w:p>
    <w:p w14:paraId="757D50FD">
      <w:pPr>
        <w:spacing w:after="100" w:line="348" w:lineRule="auto"/>
        <w:jc w:val="both"/>
      </w:pPr>
      <w:r>
        <w:rPr>
          <w:rFonts w:ascii="Arial" w:hAnsi="Arial" w:eastAsia="宋体"/>
          <w:b w:val="0"/>
          <w:i w:val="0"/>
          <w:color w:val="1F2937"/>
          <w:sz w:val="21"/>
        </w:rPr>
        <w:t>在电池供应链中，矿山精矿只是起点。负极材料企业需要控制粒径分布、比表面积、振实密度、首次效率和循环性能。新增天然石墨矿如果没有球化提纯和包覆能力，不能直接替代电池级负极材料。</w:t>
      </w:r>
    </w:p>
    <w:p w14:paraId="5F0375A2">
      <w:pPr>
        <w:spacing w:after="100" w:line="348" w:lineRule="auto"/>
        <w:jc w:val="both"/>
      </w:pPr>
      <w:r>
        <w:rPr>
          <w:rFonts w:ascii="Arial" w:hAnsi="Arial" w:eastAsia="宋体"/>
          <w:b w:val="0"/>
          <w:i w:val="0"/>
          <w:color w:val="1F2937"/>
          <w:sz w:val="21"/>
        </w:rPr>
        <w:t>对海关而言，同一税号下可能存在普通石墨制品、高规格人造石墨和负极材料。风险筛查应结合纯度、强度、密度、粒径、用途和客户行业，而不能按“石墨”关键词一概拦截。</w:t>
      </w:r>
    </w:p>
    <w:p w14:paraId="7E3FC01C">
      <w:pPr>
        <w:pStyle w:val="4"/>
      </w:pPr>
      <w:r>
        <w:t>C.10 回收原料的时间与空间错配</w:t>
      </w:r>
    </w:p>
    <w:p w14:paraId="7EFCE92F">
      <w:pPr>
        <w:spacing w:after="100" w:line="348" w:lineRule="auto"/>
        <w:jc w:val="both"/>
      </w:pPr>
      <w:r>
        <w:rPr>
          <w:rFonts w:ascii="Arial" w:hAnsi="Arial" w:eastAsia="宋体"/>
          <w:b w:val="0"/>
          <w:i w:val="0"/>
          <w:color w:val="1F2937"/>
          <w:sz w:val="21"/>
        </w:rPr>
        <w:t>回收被称为“城市矿山”，但废料产生地、处理地和材料需求地往往不同。生产废料集中、成分清楚，最适合早期商业化；报废产品分散、拆解成本高且含量波动，需要回收网络和标准化设计。</w:t>
      </w:r>
    </w:p>
    <w:p w14:paraId="61ED2401">
      <w:pPr>
        <w:spacing w:after="100" w:line="348" w:lineRule="auto"/>
        <w:jc w:val="both"/>
      </w:pPr>
      <w:r>
        <w:rPr>
          <w:rFonts w:ascii="Arial" w:hAnsi="Arial" w:eastAsia="宋体"/>
          <w:b w:val="0"/>
          <w:i w:val="0"/>
          <w:color w:val="1F2937"/>
          <w:sz w:val="21"/>
        </w:rPr>
        <w:t>电池和永磁体的回收还存在时间错配。产品销售高峰多年后才形成报废高峰，当前快速扩张的需求不能完全依靠退役料满足。短期内，生产废料和工业设备更新是更现实的来源。</w:t>
      </w:r>
    </w:p>
    <w:p w14:paraId="49F1C91C">
      <w:pPr>
        <w:spacing w:after="100" w:line="348" w:lineRule="auto"/>
        <w:jc w:val="both"/>
      </w:pPr>
      <w:r>
        <w:rPr>
          <w:rFonts w:ascii="Arial" w:hAnsi="Arial" w:eastAsia="宋体"/>
          <w:b w:val="0"/>
          <w:i w:val="0"/>
          <w:color w:val="1F2937"/>
          <w:sz w:val="21"/>
        </w:rPr>
        <w:t>跨境运输规则会影响回收规模。若废料被认定为危险废物，运输、保险和许可成本上升；若规则过松，又可能形成环境风险。联盟国家需要统一废料分类、追溯和再生材料认证，才能把分散原料聚合为规模经济。</w:t>
      </w:r>
    </w:p>
    <w:p w14:paraId="4D5383A9">
      <w:pPr>
        <w:pStyle w:val="4"/>
      </w:pPr>
      <w:r>
        <w:t>C.11 标准化市场与“安全溢价”</w:t>
      </w:r>
    </w:p>
    <w:p w14:paraId="73EC1519">
      <w:pPr>
        <w:spacing w:after="100" w:line="348" w:lineRule="auto"/>
        <w:jc w:val="both"/>
      </w:pPr>
      <w:r>
        <w:rPr>
          <w:rFonts w:ascii="Arial" w:hAnsi="Arial" w:eastAsia="宋体"/>
          <w:b w:val="0"/>
          <w:i w:val="0"/>
          <w:color w:val="1F2937"/>
          <w:sz w:val="21"/>
        </w:rPr>
        <w:t>G7等机制提出标准化市场，试图让环境、劳工、反腐、可追溯和当地价值创造进入价格。其经济逻辑是：若低标准供应只按现金成本竞争，高标准新项目难以获得融资；安全和责任标准必须通过承购、采购规则或价格机制获得回报。</w:t>
      </w:r>
    </w:p>
    <w:p w14:paraId="719DF0CB">
      <w:pPr>
        <w:spacing w:after="100" w:line="348" w:lineRule="auto"/>
        <w:jc w:val="both"/>
      </w:pPr>
      <w:r>
        <w:rPr>
          <w:rFonts w:ascii="Arial" w:hAnsi="Arial" w:eastAsia="宋体"/>
          <w:b w:val="0"/>
          <w:i w:val="0"/>
          <w:color w:val="1F2937"/>
          <w:sz w:val="21"/>
        </w:rPr>
        <w:t>但标准也可能成为新的市场壁垒。不同联盟若采用不兼容的碳足迹、原产地和追溯规则，会增加企业合规成本，甚至排除发展中国家项目。标准设计需要透明、可验证、逐步实施，并为资源国提供能力建设。</w:t>
      </w:r>
    </w:p>
    <w:p w14:paraId="278CE501">
      <w:pPr>
        <w:spacing w:after="100" w:line="348" w:lineRule="auto"/>
        <w:jc w:val="both"/>
      </w:pPr>
      <w:r>
        <w:rPr>
          <w:rFonts w:ascii="Arial" w:hAnsi="Arial" w:eastAsia="宋体"/>
          <w:b w:val="0"/>
          <w:i w:val="0"/>
          <w:color w:val="1F2937"/>
          <w:sz w:val="21"/>
        </w:rPr>
        <w:t>对中国企业而言，标准化市场既是挑战也是机会。能够提供可追溯、低碳和稳定交付证明的企业，可能在安全溢价市场继续获得位置；缺乏产品级数据和供应链尽调的企业，则可能被排除于高标准采购。</w:t>
      </w:r>
    </w:p>
    <w:p w14:paraId="38C4080C">
      <w:pPr>
        <w:pStyle w:val="4"/>
      </w:pPr>
      <w:r>
        <w:t>C.12 贸易数据和企业关系的正确用法</w:t>
      </w:r>
    </w:p>
    <w:p w14:paraId="55AAA7E9">
      <w:pPr>
        <w:spacing w:after="100" w:line="348" w:lineRule="auto"/>
        <w:jc w:val="both"/>
      </w:pPr>
      <w:r>
        <w:rPr>
          <w:rFonts w:ascii="Arial" w:hAnsi="Arial" w:eastAsia="宋体"/>
          <w:b w:val="0"/>
          <w:i w:val="0"/>
          <w:color w:val="1F2937"/>
          <w:sz w:val="21"/>
        </w:rPr>
        <w:t>商业提单和海关数据适合识别交易路线、主体变化和货物描述，但覆盖范围、字段质量和重复记录差异很大。分析前必须进行企业名称归一、同票多行合并、单位换算、贸易方式区分和转口校正。</w:t>
      </w:r>
    </w:p>
    <w:p w14:paraId="382DDF8D">
      <w:pPr>
        <w:spacing w:after="100" w:line="348" w:lineRule="auto"/>
        <w:jc w:val="both"/>
      </w:pPr>
      <w:r>
        <w:rPr>
          <w:rFonts w:ascii="Arial" w:hAnsi="Arial" w:eastAsia="宋体"/>
          <w:b w:val="0"/>
          <w:i w:val="0"/>
          <w:color w:val="1F2937"/>
          <w:sz w:val="21"/>
        </w:rPr>
        <w:t>企业关联也有多种强度：控股、共同实控、共同董事、同地址、品牌授权、货代代理和一次性交易不能等量齐观。主体替换风险应要求多项关系同时出现，并与查发时间、相似产品、相同买方或路线重合形成时间证据。</w:t>
      </w:r>
    </w:p>
    <w:p w14:paraId="5DA00335">
      <w:pPr>
        <w:spacing w:after="100" w:line="348" w:lineRule="auto"/>
        <w:jc w:val="both"/>
      </w:pPr>
      <w:r>
        <w:rPr>
          <w:rFonts w:ascii="Arial" w:hAnsi="Arial" w:eastAsia="宋体"/>
          <w:b w:val="0"/>
          <w:i w:val="0"/>
          <w:color w:val="1F2937"/>
          <w:sz w:val="21"/>
        </w:rPr>
        <w:t>任何自动化模型都应输出“为什么预警”，例如：政策已生效、商品参数接近阈值、许可证字段不一致、同一买方在多个主体下连续小批量采购。模型不应输出未经人工审核的违法结论。</w:t>
      </w:r>
    </w:p>
    <w:p w14:paraId="0B80E0A2">
      <w:pPr>
        <w:pStyle w:val="3"/>
      </w:pPr>
      <w:r>
        <w:t>附录D 重点矿种独立研判</w:t>
      </w:r>
    </w:p>
    <w:p w14:paraId="75624F37">
      <w:pPr>
        <w:pStyle w:val="4"/>
      </w:pPr>
      <w:r>
        <w:t>D.1 镓：从原料优势到化合物和晶圆能力</w:t>
      </w:r>
    </w:p>
    <w:p w14:paraId="548AA775">
      <w:pPr>
        <w:spacing w:after="100" w:line="348" w:lineRule="auto"/>
        <w:jc w:val="both"/>
      </w:pPr>
      <w:r>
        <w:rPr>
          <w:rFonts w:ascii="Arial" w:hAnsi="Arial" w:eastAsia="宋体"/>
          <w:b w:val="0"/>
          <w:i w:val="0"/>
          <w:color w:val="1F2937"/>
          <w:sz w:val="21"/>
        </w:rPr>
        <w:t>镓的战略价值集中在氮化镓、砷化镓等化合物半导体。其供应风险不能只用金属镓吨位判断，还要观察高纯精制、外延片、衬底和器件制造。海外扩产的现实路径多是从铝土矿或氧化铝流程回收粗镓，再建设高纯精制；这要求铝产业愿意改造副产回路。</w:t>
      </w:r>
    </w:p>
    <w:p w14:paraId="30A1AF73">
      <w:pPr>
        <w:spacing w:after="100" w:line="348" w:lineRule="auto"/>
        <w:jc w:val="both"/>
      </w:pPr>
      <w:r>
        <w:rPr>
          <w:rFonts w:ascii="Arial" w:hAnsi="Arial" w:eastAsia="宋体"/>
          <w:b w:val="0"/>
          <w:i w:val="0"/>
          <w:color w:val="1F2937"/>
          <w:sz w:val="21"/>
        </w:rPr>
        <w:t>监管上，金属、化合物、晶片、粉末和碎料可能具有不同技术属性。企业若只在发票中写“半导体材料”或“样品”，会增加分类不确定性。建议以化学式、纯度、晶体形态、尺寸和最终用途构建产品主数据。</w:t>
      </w:r>
    </w:p>
    <w:p w14:paraId="714FE341">
      <w:pPr>
        <w:pStyle w:val="4"/>
      </w:pPr>
      <w:r>
        <w:t>D.2 锗：光纤、红外与半导体用途的规格分化</w:t>
      </w:r>
    </w:p>
    <w:p w14:paraId="60A1B237">
      <w:pPr>
        <w:spacing w:after="100" w:line="348" w:lineRule="auto"/>
        <w:jc w:val="both"/>
      </w:pPr>
      <w:r>
        <w:rPr>
          <w:rFonts w:ascii="Arial" w:hAnsi="Arial" w:eastAsia="宋体"/>
          <w:b w:val="0"/>
          <w:i w:val="0"/>
          <w:color w:val="1F2937"/>
          <w:sz w:val="21"/>
        </w:rPr>
        <w:t>锗供应主要受锌冶炼副产、煤相关资源和回收影响。红外光学、光纤和半导体对纯度和形态的要求差别较大，普通金属锗不能直接替代高规格四氯化锗、二氧化锗或单晶材料。</w:t>
      </w:r>
    </w:p>
    <w:p w14:paraId="400E5C75">
      <w:pPr>
        <w:spacing w:after="100" w:line="348" w:lineRule="auto"/>
        <w:jc w:val="both"/>
      </w:pPr>
      <w:r>
        <w:rPr>
          <w:rFonts w:ascii="Arial" w:hAnsi="Arial" w:eastAsia="宋体"/>
          <w:b w:val="0"/>
          <w:i w:val="0"/>
          <w:color w:val="1F2937"/>
          <w:sz w:val="21"/>
        </w:rPr>
        <w:t>海外替代项目应关注锗从哪一股冶炼物料回收、精炼纯度、客户认证和副产原料长期可得性。海关核查则应比对化合物形态、纯度、光学参数和买方行业，避免只按锗含量判断用途。</w:t>
      </w:r>
    </w:p>
    <w:p w14:paraId="6CE49B97">
      <w:pPr>
        <w:pStyle w:val="4"/>
      </w:pPr>
      <w:r>
        <w:t>D.3 锑：矿山、冶炼与军民需求共同驱动</w:t>
      </w:r>
    </w:p>
    <w:p w14:paraId="7BAB6339">
      <w:pPr>
        <w:spacing w:after="100" w:line="348" w:lineRule="auto"/>
        <w:jc w:val="both"/>
      </w:pPr>
      <w:r>
        <w:rPr>
          <w:rFonts w:ascii="Arial" w:hAnsi="Arial" w:eastAsia="宋体"/>
          <w:b w:val="0"/>
          <w:i w:val="0"/>
          <w:color w:val="1F2937"/>
          <w:sz w:val="21"/>
        </w:rPr>
        <w:t>锑的供给风险来自矿山和冶炼集中、环保约束以及阻燃、电池、光学和国防需求叠加。新增矿山如果缺少稳定冶炼和有害元素处理，难以快速形成合格金属或氧化物供应。</w:t>
      </w:r>
    </w:p>
    <w:p w14:paraId="71264398">
      <w:pPr>
        <w:spacing w:after="100" w:line="348" w:lineRule="auto"/>
        <w:jc w:val="both"/>
      </w:pPr>
      <w:r>
        <w:rPr>
          <w:rFonts w:ascii="Arial" w:hAnsi="Arial" w:eastAsia="宋体"/>
          <w:b w:val="0"/>
          <w:i w:val="0"/>
          <w:color w:val="1F2937"/>
          <w:sz w:val="21"/>
        </w:rPr>
        <w:t>锑产品从矿料、金属到高纯化合物差异很大。高风险交易通常需要同时出现品名模糊、重量密度异常、第三方发货或最终用户不匹配。单纯的价格上涨或关联企业变更不应直接等同于走私。</w:t>
      </w:r>
    </w:p>
    <w:p w14:paraId="450BF519">
      <w:pPr>
        <w:pStyle w:val="4"/>
      </w:pPr>
      <w:r>
        <w:t>D.4 钨：中游产品比精矿更决定产业安全</w:t>
      </w:r>
    </w:p>
    <w:p w14:paraId="751D1B27">
      <w:pPr>
        <w:spacing w:after="100" w:line="348" w:lineRule="auto"/>
        <w:jc w:val="both"/>
      </w:pPr>
      <w:r>
        <w:rPr>
          <w:rFonts w:ascii="Arial" w:hAnsi="Arial" w:eastAsia="宋体"/>
          <w:b w:val="0"/>
          <w:i w:val="0"/>
          <w:color w:val="1F2937"/>
          <w:sz w:val="21"/>
        </w:rPr>
        <w:t>钨矿资源在多国存在，但从精矿到仲钨酸铵、氧化钨、钨粉、碳化钨和硬质合金的转化决定刀具、航空航天和国防供应。矿山重启可以增加原料，却不能立即补足高规格粉末和合金。</w:t>
      </w:r>
    </w:p>
    <w:p w14:paraId="036DC3B3">
      <w:pPr>
        <w:spacing w:after="100" w:line="348" w:lineRule="auto"/>
        <w:jc w:val="both"/>
      </w:pPr>
      <w:r>
        <w:rPr>
          <w:rFonts w:ascii="Arial" w:hAnsi="Arial" w:eastAsia="宋体"/>
          <w:b w:val="0"/>
          <w:i w:val="0"/>
          <w:color w:val="1F2937"/>
          <w:sz w:val="21"/>
        </w:rPr>
        <w:t>钨产品识别需要成分、粒度、碳含量、牌号和用途。碳化钨粉末、混合料和制品可能分属不同税号或货描，监管系统应把两用物项编码与材料参数、生产工艺和最终用户连接。</w:t>
      </w:r>
    </w:p>
    <w:p w14:paraId="16F2D152">
      <w:pPr>
        <w:pStyle w:val="4"/>
      </w:pPr>
      <w:r>
        <w:t>D.5 石墨：矿端多元化与负极端集中并存</w:t>
      </w:r>
    </w:p>
    <w:p w14:paraId="39FBDF8C">
      <w:pPr>
        <w:spacing w:after="100" w:line="348" w:lineRule="auto"/>
        <w:jc w:val="both"/>
      </w:pPr>
      <w:r>
        <w:rPr>
          <w:rFonts w:ascii="Arial" w:hAnsi="Arial" w:eastAsia="宋体"/>
          <w:b w:val="0"/>
          <w:i w:val="0"/>
          <w:color w:val="1F2937"/>
          <w:sz w:val="21"/>
        </w:rPr>
        <w:t>非洲、加拿大、澳大利亚和美国的天然石墨项目增加了矿端选择，但球化、提纯、包覆和客户认证仍是瓶颈。人造石墨又依赖高温石墨化设备、能源和工艺，不能用天然石墨产量替代。</w:t>
      </w:r>
    </w:p>
    <w:p w14:paraId="0F23500E">
      <w:pPr>
        <w:spacing w:after="100" w:line="348" w:lineRule="auto"/>
        <w:jc w:val="both"/>
      </w:pPr>
      <w:r>
        <w:rPr>
          <w:rFonts w:ascii="Arial" w:hAnsi="Arial" w:eastAsia="宋体"/>
          <w:b w:val="0"/>
          <w:i w:val="0"/>
          <w:color w:val="1F2937"/>
          <w:sz w:val="21"/>
        </w:rPr>
        <w:t>政策分析应分别统计精矿、球化石墨、提纯球形石墨、人造石墨和成品负极材料。若把不同层级合并，容易得出“供应已经多元化”的错误结论。</w:t>
      </w:r>
    </w:p>
    <w:p w14:paraId="72B72E79">
      <w:pPr>
        <w:pStyle w:val="4"/>
      </w:pPr>
      <w:r>
        <w:t>D.6 稀土：必须按元素和价值链阶段拆分</w:t>
      </w:r>
    </w:p>
    <w:p w14:paraId="6F86EA45">
      <w:pPr>
        <w:spacing w:after="100" w:line="348" w:lineRule="auto"/>
        <w:jc w:val="both"/>
      </w:pPr>
      <w:r>
        <w:rPr>
          <w:rFonts w:ascii="Arial" w:hAnsi="Arial" w:eastAsia="宋体"/>
          <w:b w:val="0"/>
          <w:i w:val="0"/>
          <w:color w:val="1F2937"/>
          <w:sz w:val="21"/>
        </w:rPr>
        <w:t>“稀土”是17种元素集合，轻稀土与重稀土在资源、分离和用途上差异显著。钕镨决定磁体主体性能，镝铽用于高温稳定，钇、钆、钐等又有不同光学、医疗和国防用途。总稀土氧化物产量不能代表关键元素可得性。</w:t>
      </w:r>
    </w:p>
    <w:p w14:paraId="0E87324D">
      <w:pPr>
        <w:spacing w:after="100" w:line="348" w:lineRule="auto"/>
        <w:jc w:val="both"/>
      </w:pPr>
      <w:r>
        <w:rPr>
          <w:rFonts w:ascii="Arial" w:hAnsi="Arial" w:eastAsia="宋体"/>
          <w:b w:val="0"/>
          <w:i w:val="0"/>
          <w:color w:val="1F2937"/>
          <w:sz w:val="21"/>
        </w:rPr>
        <w:t>研究和监管应至少区分矿石、混合精矿、单一氧化物、金属、合金、磁粉和磁体。对磁体还要观察元素含量、牌号、尺寸、性能和最终部件。</w:t>
      </w:r>
    </w:p>
    <w:p w14:paraId="57846BE0">
      <w:pPr>
        <w:pStyle w:val="4"/>
      </w:pPr>
      <w:r>
        <w:t>D.7 铟与碲：显示、光伏和热电产业的副产约束</w:t>
      </w:r>
    </w:p>
    <w:p w14:paraId="2369112C">
      <w:pPr>
        <w:spacing w:after="100" w:line="348" w:lineRule="auto"/>
        <w:jc w:val="both"/>
      </w:pPr>
      <w:r>
        <w:rPr>
          <w:rFonts w:ascii="Arial" w:hAnsi="Arial" w:eastAsia="宋体"/>
          <w:b w:val="0"/>
          <w:i w:val="0"/>
          <w:color w:val="1F2937"/>
          <w:sz w:val="21"/>
        </w:rPr>
        <w:t>铟多与锌产业相关，碲多与铜冶炼相关。两者需求受显示、薄膜光伏、热电和电子材料技术路线影响，供给却受主产品冶炼量制约。价格上升能推动回收和工艺改进，但难以像主矿产品一样快速扩产。</w:t>
      </w:r>
    </w:p>
    <w:p w14:paraId="3C3C36CD">
      <w:pPr>
        <w:spacing w:after="100" w:line="348" w:lineRule="auto"/>
        <w:jc w:val="both"/>
      </w:pPr>
      <w:r>
        <w:rPr>
          <w:rFonts w:ascii="Arial" w:hAnsi="Arial" w:eastAsia="宋体"/>
          <w:b w:val="0"/>
          <w:i w:val="0"/>
          <w:color w:val="1F2937"/>
          <w:sz w:val="21"/>
        </w:rPr>
        <w:t>项目评估应关注回收位置、精炼收率和高纯材料客户，而不是只看国家储量。监管则需区分金属、化合物、靶材和制品，结合纯度和用途判断。</w:t>
      </w:r>
    </w:p>
    <w:p w14:paraId="672A185B">
      <w:pPr>
        <w:pStyle w:val="4"/>
      </w:pPr>
      <w:r>
        <w:t>D.8 铋与钼：不能因市场更分散而忽视特定规格</w:t>
      </w:r>
    </w:p>
    <w:p w14:paraId="1F1236CE">
      <w:pPr>
        <w:spacing w:after="100" w:line="348" w:lineRule="auto"/>
        <w:jc w:val="both"/>
      </w:pPr>
      <w:r>
        <w:rPr>
          <w:rFonts w:ascii="Arial" w:hAnsi="Arial" w:eastAsia="宋体"/>
          <w:b w:val="0"/>
          <w:i w:val="0"/>
          <w:color w:val="1F2937"/>
          <w:sz w:val="21"/>
        </w:rPr>
        <w:t>铋和钼在全球资源和生产上相对部分稀有金属更分散，但特定高纯粉末、化合物、合金或军工用途仍可能集中。总量供应充足不意味着所有受控规格都容易替代。</w:t>
      </w:r>
    </w:p>
    <w:p w14:paraId="60B001BC">
      <w:pPr>
        <w:spacing w:after="100" w:line="348" w:lineRule="auto"/>
        <w:jc w:val="both"/>
      </w:pPr>
      <w:r>
        <w:rPr>
          <w:rFonts w:ascii="Arial" w:hAnsi="Arial" w:eastAsia="宋体"/>
          <w:b w:val="0"/>
          <w:i w:val="0"/>
          <w:color w:val="1F2937"/>
          <w:sz w:val="21"/>
        </w:rPr>
        <w:t>风险评估应从“矿种级”下沉到“产品规格级”。若境外替代能力只覆盖普通商品，受控高规格材料仍可能形成单点故障。</w:t>
      </w:r>
    </w:p>
    <w:p w14:paraId="326E8AD7">
      <w:pPr>
        <w:pStyle w:val="4"/>
      </w:pPr>
      <w:r>
        <w:t>D.9 电池材料：扩围暂停不等于风险消失</w:t>
      </w:r>
    </w:p>
    <w:p w14:paraId="0C2D1053">
      <w:pPr>
        <w:spacing w:after="100" w:line="348" w:lineRule="auto"/>
        <w:jc w:val="both"/>
      </w:pPr>
      <w:r>
        <w:rPr>
          <w:rFonts w:ascii="Arial" w:hAnsi="Arial" w:eastAsia="宋体"/>
          <w:b w:val="0"/>
          <w:i w:val="0"/>
          <w:color w:val="1F2937"/>
          <w:sz w:val="21"/>
        </w:rPr>
        <w:t>2025年部分锂电池、正负极材料、设备和技术扩围措施目前处于暂停状态。系统应在暂停区间停止把这些新增物项计为有效管制，但仍需保留公告内容和可能恢复的时间节点。</w:t>
      </w:r>
    </w:p>
    <w:p w14:paraId="5D41AEA9">
      <w:pPr>
        <w:spacing w:after="100" w:line="348" w:lineRule="auto"/>
        <w:jc w:val="both"/>
      </w:pPr>
      <w:r>
        <w:rPr>
          <w:rFonts w:ascii="Arial" w:hAnsi="Arial" w:eastAsia="宋体"/>
          <w:b w:val="0"/>
          <w:i w:val="0"/>
          <w:color w:val="1F2937"/>
          <w:sz w:val="21"/>
        </w:rPr>
        <w:t>产业风险仍然存在，因为电池中游集中、设备和工艺依赖并未因法律暂停而改变。政策风险与产业集中风险应在界面上分开显示，避免把产业脆弱性误写成当前法律限制。</w:t>
      </w:r>
    </w:p>
    <w:p w14:paraId="07602D3D">
      <w:pPr>
        <w:pStyle w:val="4"/>
      </w:pPr>
      <w:r>
        <w:t>D.10 超硬材料：粒径、设备参数和用途边界</w:t>
      </w:r>
    </w:p>
    <w:p w14:paraId="4D8F9154">
      <w:pPr>
        <w:spacing w:after="100" w:line="348" w:lineRule="auto"/>
        <w:jc w:val="both"/>
      </w:pPr>
      <w:r>
        <w:rPr>
          <w:rFonts w:ascii="Arial" w:hAnsi="Arial" w:eastAsia="宋体"/>
          <w:b w:val="0"/>
          <w:i w:val="0"/>
          <w:color w:val="1F2937"/>
          <w:sz w:val="21"/>
        </w:rPr>
        <w:t>人造金刚石从装饰用途到精密加工、半导体和先进制造跨度很大。管制边界通常依赖粒径、线径、破断拉力、工作速度或设备工艺等技术条件，而不是“金刚石”这一商品名称。</w:t>
      </w:r>
    </w:p>
    <w:p w14:paraId="0418854E">
      <w:pPr>
        <w:spacing w:after="100" w:line="348" w:lineRule="auto"/>
        <w:jc w:val="both"/>
      </w:pPr>
      <w:r>
        <w:rPr>
          <w:rFonts w:ascii="Arial" w:hAnsi="Arial" w:eastAsia="宋体"/>
          <w:b w:val="0"/>
          <w:i w:val="0"/>
          <w:color w:val="1F2937"/>
          <w:sz w:val="21"/>
        </w:rPr>
        <w:t>暂停措施下，新增扩围物项的法律状态需要准确标识；既有锑及超硬材料公告中的相关管制仍应单独判断。海关核查应保留检测和设备技术资料，避免将首饰培育钻石与工业物项混同。</w:t>
      </w:r>
    </w:p>
    <w:p w14:paraId="7CFB2B4D">
      <w:pPr>
        <w:pStyle w:val="3"/>
      </w:pPr>
      <w:r>
        <w:t>附录E 核心来源说明</w:t>
      </w:r>
    </w:p>
    <w:p w14:paraId="304E470F">
      <w:pPr>
        <w:spacing w:after="100" w:line="348" w:lineRule="auto"/>
        <w:jc w:val="both"/>
      </w:pPr>
      <w:r>
        <w:rPr>
          <w:rFonts w:ascii="Arial" w:hAnsi="Arial" w:eastAsia="宋体"/>
          <w:b w:val="0"/>
          <w:i w:val="0"/>
          <w:color w:val="1F2937"/>
          <w:sz w:val="21"/>
        </w:rPr>
        <w:t>本报告脚注选取37项核心来源，优先使用中国商务部、国务院及海关相关文件，IEA和USGS统计与方法报告，美国、欧盟、日本、澳大利亚、印度、加拿大等政府政策文件，以及企业向美国证券监管机构提交的法定披露。二手报道仅作为检索线索，不作为核心判断的唯一依据。</w:t>
      </w:r>
    </w:p>
    <w:p w14:paraId="2C51068B">
      <w:pPr>
        <w:pStyle w:val="14"/>
        <w:spacing w:after="40"/>
        <w:ind w:left="490" w:hanging="288"/>
      </w:pPr>
      <w:r>
        <w:rPr>
          <w:rFonts w:ascii="Arial" w:hAnsi="Arial" w:eastAsia="宋体"/>
          <w:b w:val="0"/>
          <w:i w:val="0"/>
          <w:color w:val="667085"/>
          <w:sz w:val="17"/>
        </w:rPr>
        <w:t>中华人民共和国国务院：《中华人民共和国两用物项出口管制条例》（国务院令第792号），2024年。https://xkzj.mofcom.gov.cn/tzgg/art/2024/art_49503f2524484d8d9488dfd37395a731.html</w:t>
      </w:r>
    </w:p>
    <w:p w14:paraId="05F7B90C">
      <w:pPr>
        <w:pStyle w:val="14"/>
        <w:spacing w:after="40"/>
        <w:ind w:left="490" w:hanging="288"/>
      </w:pPr>
      <w:r>
        <w:rPr>
          <w:rFonts w:ascii="Arial" w:hAnsi="Arial" w:eastAsia="宋体"/>
          <w:b w:val="0"/>
          <w:i w:val="0"/>
          <w:color w:val="667085"/>
          <w:sz w:val="17"/>
        </w:rPr>
        <w:t>商务部、海关总署等：《中华人民共和国两用物项出口管制清单》，自2024年12月1日起实施。https://app.www.gov.cn/govdata/gov/202411/19/521898/article.html</w:t>
      </w:r>
    </w:p>
    <w:p w14:paraId="5821695F">
      <w:pPr>
        <w:pStyle w:val="14"/>
        <w:spacing w:after="40"/>
        <w:ind w:left="490" w:hanging="288"/>
      </w:pPr>
      <w:r>
        <w:rPr>
          <w:rFonts w:ascii="Arial" w:hAnsi="Arial" w:eastAsia="宋体"/>
          <w:b w:val="0"/>
          <w:i w:val="0"/>
          <w:color w:val="667085"/>
          <w:sz w:val="17"/>
        </w:rPr>
        <w:t>商务部、海关总署公告2023年第23号：关于对镓、锗相关物项实施出口管制。https://www.mofcom.gov.cn/zcfb/blgg/art/2023/art_ca2e9d349361441f847bdabac5d8331b.html</w:t>
      </w:r>
    </w:p>
    <w:p w14:paraId="40705B69">
      <w:pPr>
        <w:pStyle w:val="14"/>
        <w:spacing w:after="40"/>
        <w:ind w:left="490" w:hanging="288"/>
      </w:pPr>
      <w:r>
        <w:rPr>
          <w:rFonts w:ascii="Arial" w:hAnsi="Arial" w:eastAsia="宋体"/>
          <w:b w:val="0"/>
          <w:i w:val="0"/>
          <w:color w:val="667085"/>
          <w:sz w:val="17"/>
        </w:rPr>
        <w:t>商务部、海关总署公告2023年第39号：关于优化调整石墨物项临时出口管制措施。https://interview.mofcom.gov.cn/mofcom_interview/front/opdata/downlodePdf?id=20231003447368</w:t>
      </w:r>
    </w:p>
    <w:p w14:paraId="3061F28B">
      <w:pPr>
        <w:pStyle w:val="14"/>
        <w:spacing w:after="40"/>
        <w:ind w:left="490" w:hanging="288"/>
      </w:pPr>
      <w:r>
        <w:rPr>
          <w:rFonts w:ascii="Arial" w:hAnsi="Arial" w:eastAsia="宋体"/>
          <w:b w:val="0"/>
          <w:i w:val="0"/>
          <w:color w:val="667085"/>
          <w:sz w:val="17"/>
        </w:rPr>
        <w:t>商务部、海关总署公告2024年第33号：关于对锑等物项实施出口管制。https://www.mofcom.gov.cn/zcfb/zc/art/2024/art_8d1d0c07124e4c01b69339c275c69cbe.html</w:t>
      </w:r>
    </w:p>
    <w:p w14:paraId="738C5855">
      <w:pPr>
        <w:pStyle w:val="14"/>
        <w:spacing w:after="40"/>
        <w:ind w:left="490" w:hanging="288"/>
      </w:pPr>
      <w:r>
        <w:rPr>
          <w:rFonts w:ascii="Arial" w:hAnsi="Arial" w:eastAsia="宋体"/>
          <w:b w:val="0"/>
          <w:i w:val="0"/>
          <w:color w:val="667085"/>
          <w:sz w:val="17"/>
        </w:rPr>
        <w:t>商务部公告2024年第46号：关于加强相关两用物项对美国出口管制。https://www.mofcom.gov.cn/zcfb/zc/art/2024/art_a362d9e4d4944ff3854b76c572899e7e.html</w:t>
      </w:r>
    </w:p>
    <w:p w14:paraId="74D3815A">
      <w:pPr>
        <w:pStyle w:val="14"/>
        <w:spacing w:after="40"/>
        <w:ind w:left="490" w:hanging="288"/>
      </w:pPr>
      <w:r>
        <w:rPr>
          <w:rFonts w:ascii="Arial" w:hAnsi="Arial" w:eastAsia="宋体"/>
          <w:b w:val="0"/>
          <w:i w:val="0"/>
          <w:color w:val="667085"/>
          <w:sz w:val="17"/>
        </w:rPr>
        <w:t>商务部、海关总署公告2025年第10号：对钨、碲、铋、钼、铟相关物项实施出口管制。https://exportcontrol.mofcom.gov.cn/article/zcfg/gnzcfg/zcfggzqd/202502/1098.html</w:t>
      </w:r>
    </w:p>
    <w:p w14:paraId="476ACE97">
      <w:pPr>
        <w:pStyle w:val="14"/>
        <w:spacing w:after="40"/>
        <w:ind w:left="490" w:hanging="288"/>
      </w:pPr>
      <w:r>
        <w:rPr>
          <w:rFonts w:ascii="Arial" w:hAnsi="Arial" w:eastAsia="宋体"/>
          <w:b w:val="0"/>
          <w:i w:val="0"/>
          <w:color w:val="667085"/>
          <w:sz w:val="17"/>
        </w:rPr>
        <w:t>商务部、海关总署公告2025年第18号：对部分中重稀土相关物项实施出口管制。https://www.mofcom.gov.cn/zfxxgk/fdzdgknr/ztfl/blgg/art/2025/art_41ba05e0a9f24635a5fbc182b58aec00.html</w:t>
      </w:r>
    </w:p>
    <w:p w14:paraId="7ECA8186">
      <w:pPr>
        <w:pStyle w:val="14"/>
        <w:spacing w:after="40"/>
        <w:ind w:left="490" w:hanging="288"/>
      </w:pPr>
      <w:r>
        <w:rPr>
          <w:rFonts w:ascii="Arial" w:hAnsi="Arial" w:eastAsia="宋体"/>
          <w:b w:val="0"/>
          <w:i w:val="0"/>
          <w:color w:val="667085"/>
          <w:sz w:val="17"/>
        </w:rPr>
        <w:t>商务部、海关总署公告2025年第70号：暂停实施第55、56、57、58、61、62号公告至2026年11月10日。https://www.mofcom.gov.cn/zfxxgk/fdzdgknr/ztfl/dwmygl/art/2025/art_00667414c0524b018985abd28b8847a5.html</w:t>
      </w:r>
    </w:p>
    <w:p w14:paraId="576CED6C">
      <w:pPr>
        <w:pStyle w:val="14"/>
        <w:spacing w:after="40"/>
        <w:ind w:left="490" w:hanging="288"/>
      </w:pPr>
      <w:r>
        <w:rPr>
          <w:rFonts w:ascii="Arial" w:hAnsi="Arial" w:eastAsia="宋体"/>
          <w:b w:val="0"/>
          <w:i w:val="0"/>
          <w:color w:val="667085"/>
          <w:sz w:val="17"/>
        </w:rPr>
        <w:t>International Energy Agency, Global Critical Minerals Outlook 2025, Executive Summary. https://www.iea.org/reports/global-critical-minerals-outlook-2025/executive-summary</w:t>
      </w:r>
    </w:p>
    <w:p w14:paraId="0ABFDCF9">
      <w:pPr>
        <w:pStyle w:val="14"/>
        <w:spacing w:after="40"/>
        <w:ind w:left="490" w:hanging="288"/>
      </w:pPr>
      <w:r>
        <w:rPr>
          <w:rFonts w:ascii="Arial" w:hAnsi="Arial" w:eastAsia="宋体"/>
          <w:b w:val="0"/>
          <w:i w:val="0"/>
          <w:color w:val="667085"/>
          <w:sz w:val="17"/>
        </w:rPr>
        <w:t>International Energy Agency, With new export controls on critical minerals, supply concentration risks become reality, 23 October 2025. https://www.iea.org/commentaries/with-new-export-controls-on-critical-minerals-supply-concentration-risks-become-reality</w:t>
      </w:r>
    </w:p>
    <w:p w14:paraId="159B95F7">
      <w:pPr>
        <w:pStyle w:val="14"/>
        <w:spacing w:after="40"/>
        <w:ind w:left="490" w:hanging="288"/>
      </w:pPr>
      <w:r>
        <w:rPr>
          <w:rFonts w:ascii="Arial" w:hAnsi="Arial" w:eastAsia="宋体"/>
          <w:b w:val="0"/>
          <w:i w:val="0"/>
          <w:color w:val="667085"/>
          <w:sz w:val="17"/>
        </w:rPr>
        <w:t>International Energy Agency, Rare Earth Elements, Executive Summary, 2026. https://www.iea.org/reports/rare-earth-elements/executive-summary</w:t>
      </w:r>
    </w:p>
    <w:p w14:paraId="2EAA0E95">
      <w:pPr>
        <w:pStyle w:val="14"/>
        <w:spacing w:after="40"/>
        <w:ind w:left="490" w:hanging="288"/>
      </w:pPr>
      <w:r>
        <w:rPr>
          <w:rFonts w:ascii="Arial" w:hAnsi="Arial" w:eastAsia="宋体"/>
          <w:b w:val="0"/>
          <w:i w:val="0"/>
          <w:color w:val="667085"/>
          <w:sz w:val="17"/>
        </w:rPr>
        <w:t>International Energy Agency, Recycling of Critical Minerals, Executive Summary, 2024. https://www.iea.org/reports/recycling-of-critical-minerals/executive-summary</w:t>
      </w:r>
    </w:p>
    <w:p w14:paraId="4DA2634F">
      <w:pPr>
        <w:pStyle w:val="14"/>
        <w:spacing w:after="40"/>
        <w:ind w:left="490" w:hanging="288"/>
      </w:pPr>
      <w:r>
        <w:rPr>
          <w:rFonts w:ascii="Arial" w:hAnsi="Arial" w:eastAsia="宋体"/>
          <w:b w:val="0"/>
          <w:i w:val="0"/>
          <w:color w:val="667085"/>
          <w:sz w:val="17"/>
        </w:rPr>
        <w:t>The White House, Executive Order 14241, Immediate Measures to Increase American Mineral Production, 20 March 2025. https://www.whitehouse.gov/presidential-actions/2025/03/immediate-measures-to-increase-american-mineral-production/</w:t>
      </w:r>
    </w:p>
    <w:p w14:paraId="274978EE">
      <w:pPr>
        <w:pStyle w:val="14"/>
        <w:spacing w:after="40"/>
        <w:ind w:left="490" w:hanging="288"/>
      </w:pPr>
      <w:r>
        <w:rPr>
          <w:rFonts w:ascii="Arial" w:hAnsi="Arial" w:eastAsia="宋体"/>
          <w:b w:val="0"/>
          <w:i w:val="0"/>
          <w:color w:val="667085"/>
          <w:sz w:val="17"/>
        </w:rPr>
        <w:t>The White House, Executive Order 14272, Ensuring National Security and Economic Resilience Through Section 232 Actions on Processed Critical Minerals, 15 April 2025. https://www.whitehouse.gov/presidential-actions/2025/04/ensuring-national-security-and-economic-resilience-through-section-232-actions-on-processed-critical-minerals-and-derivative-products/</w:t>
      </w:r>
    </w:p>
    <w:p w14:paraId="24ACC340">
      <w:pPr>
        <w:pStyle w:val="14"/>
        <w:spacing w:after="40"/>
        <w:ind w:left="490" w:hanging="288"/>
      </w:pPr>
      <w:r>
        <w:rPr>
          <w:rFonts w:ascii="Arial" w:hAnsi="Arial" w:eastAsia="宋体"/>
          <w:b w:val="0"/>
          <w:i w:val="0"/>
          <w:color w:val="667085"/>
          <w:sz w:val="17"/>
        </w:rPr>
        <w:t>The White House, Adjusting Imports of Processed Critical Minerals and Their Derivative Products into the United States, January 2026. https://www.whitehouse.gov/presidential-actions/2026/01/adjusting-imports-of-processed-critical-minerals-and-their-derivative-products-into-the-united-states/</w:t>
      </w:r>
    </w:p>
    <w:p w14:paraId="42669BB8">
      <w:pPr>
        <w:pStyle w:val="14"/>
        <w:spacing w:after="40"/>
        <w:ind w:left="490" w:hanging="288"/>
      </w:pPr>
      <w:r>
        <w:rPr>
          <w:rFonts w:ascii="Arial" w:hAnsi="Arial" w:eastAsia="宋体"/>
          <w:b w:val="0"/>
          <w:i w:val="0"/>
          <w:color w:val="667085"/>
          <w:sz w:val="17"/>
        </w:rPr>
        <w:t>Export-Import Bank of the United States, Supply Chain Resiliency Initiative, 8 January 2025. https://www.exim.gov/news/export-import-bank-united-states-board-directors-approves-supply-chain-resiliency</w:t>
      </w:r>
    </w:p>
    <w:p w14:paraId="47A1D6C2">
      <w:pPr>
        <w:pStyle w:val="14"/>
        <w:spacing w:after="40"/>
        <w:ind w:left="490" w:hanging="288"/>
      </w:pPr>
      <w:r>
        <w:rPr>
          <w:rFonts w:ascii="Arial" w:hAnsi="Arial" w:eastAsia="宋体"/>
          <w:b w:val="0"/>
          <w:i w:val="0"/>
          <w:color w:val="667085"/>
          <w:sz w:val="17"/>
        </w:rPr>
        <w:t>U.S. Department of Defense, Office of Strategic Capital Announces First Loan Through DoD Agreement With MP Materials, 10 August 2025. https://www.defense.gov/News/Releases/Release/Article/4270722/office-of-strategic-capital-announces-first-loan-through-dod-agreement-with-mp/</w:t>
      </w:r>
    </w:p>
    <w:p w14:paraId="5F0D2A25">
      <w:pPr>
        <w:pStyle w:val="14"/>
        <w:spacing w:after="40"/>
        <w:ind w:left="490" w:hanging="288"/>
      </w:pPr>
      <w:r>
        <w:rPr>
          <w:rFonts w:ascii="Arial" w:hAnsi="Arial" w:eastAsia="宋体"/>
          <w:b w:val="0"/>
          <w:i w:val="0"/>
          <w:color w:val="667085"/>
          <w:sz w:val="17"/>
        </w:rPr>
        <w:t>MP Materials Corp., Form 10-Q for the quarter ended 31 March 2026, U.S. SEC; includes the NdPr price protection agreement. https://www.sec.gov/Archives/edgar/data/1801368/000180136826000029/mp-20260331.htm</w:t>
      </w:r>
    </w:p>
    <w:p w14:paraId="1879FC55">
      <w:pPr>
        <w:pStyle w:val="14"/>
        <w:spacing w:after="40"/>
        <w:ind w:left="490" w:hanging="288"/>
      </w:pPr>
      <w:r>
        <w:rPr>
          <w:rFonts w:ascii="Arial" w:hAnsi="Arial" w:eastAsia="宋体"/>
          <w:b w:val="0"/>
          <w:i w:val="0"/>
          <w:color w:val="667085"/>
          <w:sz w:val="17"/>
        </w:rPr>
        <w:t>Export-Import Bank of the United States, Project Vault loan approval, 2 February 2026. https://www.exim.gov/news/project-vault</w:t>
      </w:r>
    </w:p>
    <w:p w14:paraId="6A7EB1C0">
      <w:pPr>
        <w:pStyle w:val="14"/>
        <w:spacing w:after="40"/>
        <w:ind w:left="490" w:hanging="288"/>
      </w:pPr>
      <w:r>
        <w:rPr>
          <w:rFonts w:ascii="Arial" w:hAnsi="Arial" w:eastAsia="宋体"/>
          <w:b w:val="0"/>
          <w:i w:val="0"/>
          <w:color w:val="667085"/>
          <w:sz w:val="17"/>
        </w:rPr>
        <w:t>U.S. Geological Survey, About the 2025 List of Critical Minerals, 6 November 2025. https://www.usgs.gov/programs/mineral-resources-program/science/about-2025-list-critical-minerals</w:t>
      </w:r>
    </w:p>
    <w:p w14:paraId="4CB3472A">
      <w:pPr>
        <w:pStyle w:val="14"/>
        <w:spacing w:after="40"/>
        <w:ind w:left="490" w:hanging="288"/>
      </w:pPr>
      <w:r>
        <w:rPr>
          <w:rFonts w:ascii="Arial" w:hAnsi="Arial" w:eastAsia="宋体"/>
          <w:b w:val="0"/>
          <w:i w:val="0"/>
          <w:color w:val="667085"/>
          <w:sz w:val="17"/>
        </w:rPr>
        <w:t>U.S. Geological Survey, Mineral Commodity Summaries 2026. https://pubs.usgs.gov/periodicals/mcs2026/mcs2026.pdf</w:t>
      </w:r>
    </w:p>
    <w:p w14:paraId="143820B1">
      <w:pPr>
        <w:pStyle w:val="14"/>
        <w:spacing w:after="40"/>
        <w:ind w:left="490" w:hanging="288"/>
      </w:pPr>
      <w:r>
        <w:rPr>
          <w:rFonts w:ascii="Arial" w:hAnsi="Arial" w:eastAsia="宋体"/>
          <w:b w:val="0"/>
          <w:i w:val="0"/>
          <w:color w:val="667085"/>
          <w:sz w:val="17"/>
        </w:rPr>
        <w:t>European Commission, Critical Raw Materials Act: objectives, benchmarks and implementation. https://single-market-economy.ec.europa.eu/sectors/raw-materials/areas-specific-interest/critical-raw-materials/critical-raw-materials-act_en</w:t>
      </w:r>
    </w:p>
    <w:p w14:paraId="1BE70F73">
      <w:pPr>
        <w:pStyle w:val="14"/>
        <w:spacing w:after="40"/>
        <w:ind w:left="490" w:hanging="288"/>
      </w:pPr>
      <w:r>
        <w:rPr>
          <w:rFonts w:ascii="Arial" w:hAnsi="Arial" w:eastAsia="宋体"/>
          <w:b w:val="0"/>
          <w:i w:val="0"/>
          <w:color w:val="667085"/>
          <w:sz w:val="17"/>
        </w:rPr>
        <w:t>European Commission, Selected Strategic Projects under the Critical Raw Materials Act, 2025. https://single-market-economy.ec.europa.eu/sectors/raw-materials/areas-specific-interest/critical-raw-materials/strategic-projects-under-crma/selected-projects_en</w:t>
      </w:r>
    </w:p>
    <w:p w14:paraId="6B3C3E1B">
      <w:pPr>
        <w:pStyle w:val="14"/>
        <w:spacing w:after="40"/>
        <w:ind w:left="490" w:hanging="288"/>
      </w:pPr>
      <w:r>
        <w:rPr>
          <w:rFonts w:ascii="Arial" w:hAnsi="Arial" w:eastAsia="宋体"/>
          <w:b w:val="0"/>
          <w:i w:val="0"/>
          <w:color w:val="667085"/>
          <w:sz w:val="17"/>
        </w:rPr>
        <w:t>European Commission, RESourceEU action plan: measures to secure raw materials and strengthen economic security, 3 December 2025. https://commission.europa.eu/news-and-media/news/new-measures-secure-raw-materials-and-strengthen-eus-economic-security-2025-12-03_en</w:t>
      </w:r>
    </w:p>
    <w:p w14:paraId="7164C691">
      <w:pPr>
        <w:pStyle w:val="14"/>
        <w:spacing w:after="40"/>
        <w:ind w:left="490" w:hanging="288"/>
      </w:pPr>
      <w:r>
        <w:rPr>
          <w:rFonts w:ascii="Arial" w:hAnsi="Arial" w:eastAsia="宋体"/>
          <w:b w:val="0"/>
          <w:i w:val="0"/>
          <w:color w:val="667085"/>
          <w:sz w:val="17"/>
        </w:rPr>
        <w:t>Ministry of Economy, Trade and Industry of Japan, Japanese and French Governments Support a Heavy Rare Earth Project in France, 17 March 2025. https://www.meti.go.jp/english/press/2025/0317_002.html</w:t>
      </w:r>
    </w:p>
    <w:p w14:paraId="5EDA02BB">
      <w:pPr>
        <w:pStyle w:val="14"/>
        <w:spacing w:after="40"/>
        <w:ind w:left="490" w:hanging="288"/>
      </w:pPr>
      <w:r>
        <w:rPr>
          <w:rFonts w:ascii="Arial" w:hAnsi="Arial" w:eastAsia="宋体"/>
          <w:b w:val="0"/>
          <w:i w:val="0"/>
          <w:color w:val="667085"/>
          <w:sz w:val="17"/>
        </w:rPr>
        <w:t>JOGMEC, Securing Supply of Heavy Rare Earths to Japan with Additional Investment to Lynas, 7 March 2023. https://www.jogmec.go.jp/english/news/release/release_00228.html</w:t>
      </w:r>
    </w:p>
    <w:p w14:paraId="6576A334">
      <w:pPr>
        <w:pStyle w:val="14"/>
        <w:spacing w:after="40"/>
        <w:ind w:left="490" w:hanging="288"/>
      </w:pPr>
      <w:r>
        <w:rPr>
          <w:rFonts w:ascii="Arial" w:hAnsi="Arial" w:eastAsia="宋体"/>
          <w:b w:val="0"/>
          <w:i w:val="0"/>
          <w:color w:val="667085"/>
          <w:sz w:val="17"/>
        </w:rPr>
        <w:t>Ministry of Economy, Trade and Industry of Japan, Japan-U.S. Action Plan and project cooperation on critical minerals, 20 March 2026. https://www.meti.go.jp/english/press/2026/0320_001.html</w:t>
      </w:r>
    </w:p>
    <w:p w14:paraId="3AC9C30B">
      <w:pPr>
        <w:pStyle w:val="14"/>
        <w:spacing w:after="40"/>
        <w:ind w:left="490" w:hanging="288"/>
      </w:pPr>
      <w:r>
        <w:rPr>
          <w:rFonts w:ascii="Arial" w:hAnsi="Arial" w:eastAsia="宋体"/>
          <w:b w:val="0"/>
          <w:i w:val="0"/>
          <w:color w:val="667085"/>
          <w:sz w:val="17"/>
        </w:rPr>
        <w:t>Australian Department of Industry, Science and Resources, Critical Minerals Strategic Reserve, 2026. https://www.industry.gov.au/mining-oil-and-gas/minerals/critical-minerals/critical-minerals-strategic-reserve</w:t>
      </w:r>
    </w:p>
    <w:p w14:paraId="070540F4">
      <w:pPr>
        <w:pStyle w:val="14"/>
        <w:spacing w:after="40"/>
        <w:ind w:left="490" w:hanging="288"/>
      </w:pPr>
      <w:r>
        <w:rPr>
          <w:rFonts w:ascii="Arial" w:hAnsi="Arial" w:eastAsia="宋体"/>
          <w:b w:val="0"/>
          <w:i w:val="0"/>
          <w:color w:val="667085"/>
          <w:sz w:val="17"/>
        </w:rPr>
        <w:t>Government of India, National Critical Mineral Mission, Cabinet approval, 29 January 2025. https://www.pib.gov.in/Pressreleaseshare.aspx?PRID=2097309&amp;lang=2&amp;reg=48</w:t>
      </w:r>
    </w:p>
    <w:p w14:paraId="0E47336C">
      <w:pPr>
        <w:pStyle w:val="14"/>
        <w:spacing w:after="40"/>
        <w:ind w:left="490" w:hanging="288"/>
      </w:pPr>
      <w:r>
        <w:rPr>
          <w:rFonts w:ascii="Arial" w:hAnsi="Arial" w:eastAsia="宋体"/>
          <w:b w:val="0"/>
          <w:i w:val="0"/>
          <w:color w:val="667085"/>
          <w:sz w:val="17"/>
        </w:rPr>
        <w:t>Government of Canada, G7 Critical Minerals Action Plan, 17 June 2025. https://g7.canada.ca/en/news-and-media/news/g7-critical-minerals-action-plan/</w:t>
      </w:r>
    </w:p>
    <w:p w14:paraId="73F6143B">
      <w:pPr>
        <w:pStyle w:val="14"/>
        <w:spacing w:after="40"/>
        <w:ind w:left="490" w:hanging="288"/>
      </w:pPr>
      <w:r>
        <w:rPr>
          <w:rFonts w:ascii="Arial" w:hAnsi="Arial" w:eastAsia="宋体"/>
          <w:b w:val="0"/>
          <w:i w:val="0"/>
          <w:color w:val="667085"/>
          <w:sz w:val="17"/>
        </w:rPr>
        <w:t>Australian Minister for Foreign Affairs, Quad Critical Minerals Initiative Framework, 26 May 2026. https://www.foreignminister.gov.au/minister/penny-wong/media-release/quad-critical-minerals-initiative-framework-among-united-states-japan-australia-and-india</w:t>
      </w:r>
    </w:p>
    <w:p w14:paraId="1CFFBA2F">
      <w:pPr>
        <w:pStyle w:val="14"/>
        <w:spacing w:after="40"/>
        <w:ind w:left="490" w:hanging="288"/>
      </w:pPr>
      <w:r>
        <w:rPr>
          <w:rFonts w:ascii="Arial" w:hAnsi="Arial" w:eastAsia="宋体"/>
          <w:b w:val="0"/>
          <w:i w:val="0"/>
          <w:color w:val="667085"/>
          <w:sz w:val="17"/>
        </w:rPr>
        <w:t>Natural Resources Canada, Critical Minerals Resilience and Production Alliance, 2026. https://www.canada.ca/en/campaign/critical-minerals-in-canada/our-critical-minerals-strategic-partnerships/critical-minerals-production-alliance.html</w:t>
      </w:r>
    </w:p>
    <w:p w14:paraId="289F282E">
      <w:pPr>
        <w:pStyle w:val="14"/>
        <w:spacing w:after="40"/>
        <w:ind w:left="490" w:hanging="288"/>
      </w:pPr>
      <w:r>
        <w:rPr>
          <w:rFonts w:ascii="Arial" w:hAnsi="Arial" w:eastAsia="宋体"/>
          <w:b w:val="0"/>
          <w:i w:val="0"/>
          <w:color w:val="667085"/>
          <w:sz w:val="17"/>
        </w:rPr>
        <w:t>World Trade Organization, China — Measures Related to the Exportation of Rare Earths, Tungsten and Molybdenum, DS432 one-page summary. https://www.wto.org/english/tratop_e/dispu_e/cases_e/1pagesum_e/ds432sum_e.pdf</w:t>
      </w:r>
    </w:p>
    <w:p w14:paraId="5F394FAA">
      <w:pPr>
        <w:pStyle w:val="14"/>
        <w:spacing w:after="40"/>
        <w:ind w:left="490" w:hanging="288"/>
      </w:pPr>
      <w:r>
        <w:rPr>
          <w:rFonts w:ascii="Arial" w:hAnsi="Arial" w:eastAsia="宋体"/>
          <w:b w:val="0"/>
          <w:i w:val="0"/>
          <w:color w:val="667085"/>
          <w:sz w:val="17"/>
        </w:rPr>
        <w:t>U.S. Geological Survey, Quantifying potential effects of China’s gallium and germanium export restrictions on the U.S. economy. https://www.usgs.gov/publications/quantifying-potential-effects-chinas-gallium-and-germanium-export-restrictions-us</w:t>
      </w:r>
    </w:p>
    <w:p w14:paraId="62218969">
      <w:pPr>
        <w:pStyle w:val="14"/>
        <w:spacing w:after="40"/>
        <w:ind w:left="490" w:hanging="288"/>
      </w:pPr>
      <w:r>
        <w:rPr>
          <w:rFonts w:ascii="Arial" w:hAnsi="Arial" w:eastAsia="宋体"/>
          <w:b w:val="0"/>
          <w:i w:val="0"/>
          <w:color w:val="667085"/>
          <w:sz w:val="17"/>
        </w:rPr>
        <w:t>Ministry of Economy, Trade and Industry of Japan, Interim Report on Strengthening the Manufacturing Base in Light of Geopolitical Risks, 15 April 2026. https://www.meti.go.jp/english/press/2026/0415_001.html</w:t>
      </w:r>
    </w:p>
    <w:p w14:paraId="46F7E211">
      <w:pPr>
        <w:pStyle w:val="14"/>
        <w:spacing w:after="40"/>
        <w:ind w:left="490" w:hanging="288"/>
      </w:pPr>
      <w:r>
        <w:rPr>
          <w:rFonts w:ascii="Arial" w:hAnsi="Arial" w:eastAsia="宋体"/>
          <w:b w:val="0"/>
          <w:i w:val="0"/>
          <w:color w:val="667085"/>
          <w:sz w:val="17"/>
        </w:rPr>
        <w:t>International Energy Agency Policies Database, Republic of Korea: Strategy for Securing Reliable Critical Minerals Supply. https://www.iea.org/policies/17942-the-strategy-for-securing-reliable-critical-minerals-supply</w:t>
      </w:r>
    </w:p>
    <w:sectPr>
      <w:headerReference r:id="rId5" w:type="default"/>
      <w:footerReference r:id="rId6" w:type="default"/>
      <w:pgSz w:w="12240" w:h="15840"/>
      <w:pgMar w:top="1224" w:right="1224" w:bottom="1152" w:left="1224"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21CCA">
    <w:pPr>
      <w:pStyle w:val="24"/>
      <w:jc w:val="center"/>
    </w:pPr>
    <w:r>
      <w:rPr>
        <w:rFonts w:ascii="Arial" w:hAnsi="Arial" w:eastAsia="微软雅黑"/>
        <w:b w:val="0"/>
        <w:i w:val="0"/>
        <w:color w:val="667085"/>
        <w:sz w:val="16"/>
      </w:rPr>
      <w:t xml:space="preserve">独立研究 · 资料截至2026年7月5日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4">
    <w:p>
      <w:pPr>
        <w:spacing w:before="0" w:after="0" w:line="348" w:lineRule="auto"/>
      </w:pPr>
      <w:r>
        <w:separator/>
      </w:r>
    </w:p>
  </w:footnote>
  <w:footnote w:type="continuationSeparator" w:id="75">
    <w:p>
      <w:pPr>
        <w:spacing w:before="0" w:after="0" w:line="348" w:lineRule="auto"/>
      </w:pPr>
      <w:r>
        <w:continuationSeparator/>
      </w:r>
    </w:p>
  </w:footnote>
  <w:footnote w:id="0">
    <w:p w14:paraId="5A908F91">
      <w:r>
        <w:footnoteRef/>
      </w:r>
      <w:r>
        <w:t>International Energy Agency, Rare Earth Elements, Executive Summary, 2026. https://www.iea.org/reports/rare-earth-elements/executive-summary</w:t>
      </w:r>
    </w:p>
  </w:footnote>
  <w:footnote w:id="1">
    <w:p w14:paraId="07293771">
      <w:r>
        <w:footnoteRef/>
      </w:r>
      <w:r>
        <w:t>Australian Department of Industry, Science and Resources, Critical Minerals Strategic Reserve, 2026. https://www.industry.gov.au/mining-oil-and-gas/minerals/critical-minerals/critical-minerals-strategic-reserve</w:t>
      </w:r>
    </w:p>
  </w:footnote>
  <w:footnote w:id="2">
    <w:p w14:paraId="7496E8A5">
      <w:r>
        <w:footnoteRef/>
      </w:r>
      <w:r>
        <w:t>The White House, Executive Order 14241, Immediate Measures to Increase American Mineral Production, 20 March 2025. https://www.whitehouse.gov/presidential-actions/2025/03/immediate-measures-to-increase-american-mineral-production/</w:t>
      </w:r>
    </w:p>
  </w:footnote>
  <w:footnote w:id="3">
    <w:p w14:paraId="6AEE0F29">
      <w:r>
        <w:footnoteRef/>
      </w:r>
      <w:r>
        <w:t>International Energy Agency, Global Critical Minerals Outlook 2025, Executive Summary. https://www.iea.org/reports/global-critical-minerals-outlook-2025/executive-summary</w:t>
      </w:r>
    </w:p>
  </w:footnote>
  <w:footnote w:id="4">
    <w:p w14:paraId="64AEC631">
      <w:r>
        <w:footnoteRef/>
      </w:r>
      <w:r>
        <w:t>Export-Import Bank of the United States, Project Vault loan approval, 2 February 2026. https://www.exim.gov/news/project-vault</w:t>
      </w:r>
    </w:p>
  </w:footnote>
  <w:footnote w:id="5">
    <w:p w14:paraId="2545C4A3">
      <w:r>
        <w:footnoteRef/>
      </w:r>
      <w:r>
        <w:t>MP Materials Corp., Form 10-Q for the quarter ended 31 March 2026, U.S. SEC; includes the NdPr price protection agreement. https://www.sec.gov/Archives/edgar/data/1801368/000180136826000029/mp-20260331.htm</w:t>
      </w:r>
    </w:p>
  </w:footnote>
  <w:footnote w:id="6">
    <w:p w14:paraId="6C45BC79">
      <w:r>
        <w:footnoteRef/>
      </w:r>
      <w:r>
        <w:t>中华人民共和国国务院：《中华人民共和国两用物项出口管制条例》（国务院令第792号），2024年。https://xkzj.mofcom.gov.cn/tzgg/art/2024/art_49503f2524484d8d9488dfd37395a731.html</w:t>
      </w:r>
    </w:p>
  </w:footnote>
  <w:footnote w:id="7">
    <w:p w14:paraId="0561D642">
      <w:r>
        <w:footnoteRef/>
      </w:r>
      <w:r>
        <w:t>商务部、海关总署等：《中华人民共和国两用物项出口管制清单》，自2024年12月1日起实施。https://app.www.gov.cn/govdata/gov/202411/19/521898/article.html</w:t>
      </w:r>
    </w:p>
  </w:footnote>
  <w:footnote w:id="8">
    <w:p w14:paraId="7158669B">
      <w:r>
        <w:footnoteRef/>
      </w:r>
      <w:r>
        <w:t>商务部、海关总署公告2023年第39号：关于优化调整石墨物项临时出口管制措施。https://interview.mofcom.gov.cn/mofcom_interview/front/opdata/downlodePdf?id=20231003447368</w:t>
      </w:r>
    </w:p>
  </w:footnote>
  <w:footnote w:id="9">
    <w:p w14:paraId="559C7696">
      <w:r>
        <w:footnoteRef/>
      </w:r>
      <w:r>
        <w:t>商务部、海关总署公告2023年第23号：关于对镓、锗相关物项实施出口管制。https://www.mofcom.gov.cn/zcfb/blgg/art/2023/art_ca2e9d349361441f847bdabac5d8331b.html</w:t>
      </w:r>
    </w:p>
  </w:footnote>
  <w:footnote w:id="10">
    <w:p w14:paraId="7A04F3E1">
      <w:r>
        <w:footnoteRef/>
      </w:r>
      <w:r>
        <w:t>商务部公告2024年第46号：关于加强相关两用物项对美国出口管制。https://www.mofcom.gov.cn/zcfb/zc/art/2024/art_a362d9e4d4944ff3854b76c572899e7e.html</w:t>
      </w:r>
    </w:p>
  </w:footnote>
  <w:footnote w:id="11">
    <w:p w14:paraId="54EDAEE6">
      <w:r>
        <w:footnoteRef/>
      </w:r>
      <w:r>
        <w:t>商务部、海关总署公告2024年第33号：关于对锑等物项实施出口管制。https://www.mofcom.gov.cn/zcfb/zc/art/2024/art_8d1d0c07124e4c01b69339c275c69cbe.html</w:t>
      </w:r>
    </w:p>
  </w:footnote>
  <w:footnote w:id="12">
    <w:p w14:paraId="08C92092">
      <w:r>
        <w:footnoteRef/>
      </w:r>
      <w:r>
        <w:t>商务部、海关总署公告2025年第18号：对部分中重稀土相关物项实施出口管制。https://www.mofcom.gov.cn/zfxxgk/fdzdgknr/ztfl/blgg/art/2025/art_41ba05e0a9f24635a5fbc182b58aec00.html</w:t>
      </w:r>
    </w:p>
  </w:footnote>
  <w:footnote w:id="13">
    <w:p w14:paraId="197820AF">
      <w:r>
        <w:footnoteRef/>
      </w:r>
      <w:r>
        <w:t>商务部、海关总署公告2025年第10号：对钨、碲、铋、钼、铟相关物项实施出口管制。https://exportcontrol.mofcom.gov.cn/article/zcfg/gnzcfg/zcfggzqd/202502/1098.html</w:t>
      </w:r>
    </w:p>
  </w:footnote>
  <w:footnote w:id="14">
    <w:p w14:paraId="42E8ED75">
      <w:r>
        <w:footnoteRef/>
      </w:r>
      <w:r>
        <w:t>商务部、海关总署公告2025年第70号：暂停实施第55、56、57、58、61、62号公告至2026年11月10日。https://www.mofcom.gov.cn/zfxxgk/fdzdgknr/ztfl/dwmygl/art/2025/art_00667414c0524b018985abd28b8847a5.html</w:t>
      </w:r>
    </w:p>
  </w:footnote>
  <w:footnote w:id="15">
    <w:p w14:paraId="2F65364B">
      <w:r>
        <w:footnoteRef/>
      </w:r>
      <w:r>
        <w:t>The White House, Adjusting Imports of Processed Critical Minerals and Their Derivative Products into the United States, January 2026. https://www.whitehouse.gov/presidential-actions/2026/01/adjusting-imports-of-processed-critical-minerals-and-their-derivative-products-into-the-united-states/</w:t>
      </w:r>
    </w:p>
  </w:footnote>
  <w:footnote w:id="16">
    <w:p w14:paraId="3F643893">
      <w:r>
        <w:footnoteRef/>
      </w:r>
      <w:r>
        <w:t>The White House, Executive Order 14272, Ensuring National Security and Economic Resilience Through Section 232 Actions on Processed Critical Minerals, 15 April 2025. https://www.whitehouse.gov/presidential-actions/2025/04/ensuring-national-security-and-economic-resilience-through-section-232-actions-on-processed-critical-minerals-and-derivative-products/</w:t>
      </w:r>
    </w:p>
  </w:footnote>
  <w:footnote w:id="17">
    <w:p w14:paraId="46C0260D">
      <w:r>
        <w:footnoteRef/>
      </w:r>
      <w:r>
        <w:t>U.S. Geological Survey, Mineral Commodity Summaries 2026. https://pubs.usgs.gov/periodicals/mcs2026/mcs2026.pdf</w:t>
      </w:r>
    </w:p>
  </w:footnote>
  <w:footnote w:id="18">
    <w:p w14:paraId="654828DB">
      <w:r>
        <w:footnoteRef/>
      </w:r>
      <w:r>
        <w:t>U.S. Geological Survey, About the 2025 List of Critical Minerals, 6 November 2025. https://www.usgs.gov/programs/mineral-resources-program/science/about-2025-list-critical-minerals</w:t>
      </w:r>
    </w:p>
  </w:footnote>
  <w:footnote w:id="19">
    <w:p w14:paraId="6896D3AE">
      <w:r>
        <w:footnoteRef/>
      </w:r>
      <w:r>
        <w:t>U.S. Department of Defense, Office of Strategic Capital Announces First Loan Through DoD Agreement With MP Materials, 10 August 2025. https://www.defense.gov/News/Releases/Release/Article/4270722/office-of-strategic-capital-announces-first-loan-through-dod-agreement-with-mp/</w:t>
      </w:r>
    </w:p>
  </w:footnote>
  <w:footnote w:id="20">
    <w:p w14:paraId="774C3E4E">
      <w:r>
        <w:footnoteRef/>
      </w:r>
      <w:r>
        <w:t>Export-Import Bank of the United States, Supply Chain Resiliency Initiative, 8 January 2025. https://www.exim.gov/news/export-import-bank-united-states-board-directors-approves-supply-chain-resiliency</w:t>
      </w:r>
    </w:p>
  </w:footnote>
  <w:footnote w:id="21">
    <w:p w14:paraId="7E281573">
      <w:r>
        <w:footnoteRef/>
      </w:r>
      <w:r>
        <w:t>European Commission, Critical Raw Materials Act: objectives, benchmarks and implementation. https://single-market-economy.ec.europa.eu/sectors/raw-materials/areas-specific-interest/critical-raw-materials/critical-raw-materials-act_en</w:t>
      </w:r>
    </w:p>
  </w:footnote>
  <w:footnote w:id="22">
    <w:p w14:paraId="2E5DED8D">
      <w:r>
        <w:footnoteRef/>
      </w:r>
      <w:r>
        <w:t>European Commission, RESourceEU action plan: measures to secure raw materials and strengthen economic security, 3 December 2025. https://commission.europa.eu/news-and-media/news/new-measures-secure-raw-materials-and-strengthen-eus-economic-security-2025-12-03_en</w:t>
      </w:r>
    </w:p>
  </w:footnote>
  <w:footnote w:id="23">
    <w:p w14:paraId="0F8FCA3C">
      <w:r>
        <w:footnoteRef/>
      </w:r>
      <w:r>
        <w:t>European Commission, Selected Strategic Projects under the Critical Raw Materials Act, 2025. https://single-market-economy.ec.europa.eu/sectors/raw-materials/areas-specific-interest/critical-raw-materials/strategic-projects-under-crma/selected-projects_en</w:t>
      </w:r>
    </w:p>
  </w:footnote>
  <w:footnote w:id="24">
    <w:p w14:paraId="325AFA6B">
      <w:r>
        <w:footnoteRef/>
      </w:r>
      <w:r>
        <w:t>JOGMEC, Securing Supply of Heavy Rare Earths to Japan with Additional Investment to Lynas, 7 March 2023. https://www.jogmec.go.jp/english/news/release/release_00228.html</w:t>
      </w:r>
    </w:p>
  </w:footnote>
  <w:footnote w:id="25">
    <w:p w14:paraId="40662AEC">
      <w:r>
        <w:footnoteRef/>
      </w:r>
      <w:r>
        <w:t>Ministry of Economy, Trade and Industry of Japan, Japan-U.S. Action Plan and project cooperation on critical minerals, 20 March 2026. https://www.meti.go.jp/english/press/2026/0320_001.html</w:t>
      </w:r>
    </w:p>
  </w:footnote>
  <w:footnote w:id="26">
    <w:p w14:paraId="436FA9D3">
      <w:r>
        <w:footnoteRef/>
      </w:r>
      <w:r>
        <w:t>Ministry of Economy, Trade and Industry of Japan, Japanese and French Governments Support a Heavy Rare Earth Project in France, 17 March 2025. https://www.meti.go.jp/english/press/2025/0317_002.html</w:t>
      </w:r>
    </w:p>
  </w:footnote>
  <w:footnote w:id="27">
    <w:p w14:paraId="10119920">
      <w:r>
        <w:footnoteRef/>
      </w:r>
      <w:r>
        <w:t>International Energy Agency Policies Database, Republic of Korea: Strategy for Securing Reliable Critical Minerals Supply. https://www.iea.org/policies/17942-the-strategy-for-securing-reliable-critical-minerals-supply</w:t>
      </w:r>
    </w:p>
  </w:footnote>
  <w:footnote w:id="28">
    <w:p w14:paraId="3C6E6021">
      <w:r>
        <w:footnoteRef/>
      </w:r>
      <w:r>
        <w:t>Ministry of Economy, Trade and Industry of Japan, Interim Report on Strengthening the Manufacturing Base in Light of Geopolitical Risks, 15 April 2026. https://www.meti.go.jp/english/press/2026/0415_001.html</w:t>
      </w:r>
    </w:p>
  </w:footnote>
  <w:footnote w:id="29">
    <w:p w14:paraId="29988F94">
      <w:r>
        <w:footnoteRef/>
      </w:r>
      <w:r>
        <w:t>Government of India, National Critical Mineral Mission, Cabinet approval, 29 January 2025. https://www.pib.gov.in/Pressreleaseshare.aspx?PRID=2097309&amp;lang=2&amp;reg=48</w:t>
      </w:r>
    </w:p>
  </w:footnote>
  <w:footnote w:id="30">
    <w:p w14:paraId="400A8599">
      <w:r>
        <w:footnoteRef/>
      </w:r>
      <w:r>
        <w:t>U.S. Geological Survey, Quantifying potential effects of China’s gallium and germanium export restrictions on the U.S. economy. https://www.usgs.gov/publications/quantifying-potential-effects-chinas-gallium-and-germanium-export-restrictions-us</w:t>
      </w:r>
    </w:p>
  </w:footnote>
  <w:footnote w:id="31">
    <w:p w14:paraId="4DB3BAF8">
      <w:r>
        <w:footnoteRef/>
      </w:r>
      <w:r>
        <w:t>International Energy Agency, Recycling of Critical Minerals, Executive Summary, 2024. https://www.iea.org/reports/recycling-of-critical-minerals/executive-summary</w:t>
      </w:r>
    </w:p>
  </w:footnote>
  <w:footnote w:id="32">
    <w:p w14:paraId="5505528E">
      <w:r>
        <w:footnoteRef/>
      </w:r>
      <w:r>
        <w:t>Government of Canada, G7 Critical Minerals Action Plan, 17 June 2025. https://g7.canada.ca/en/news-and-media/news/g7-critical-minerals-action-plan/</w:t>
      </w:r>
    </w:p>
  </w:footnote>
  <w:footnote w:id="33">
    <w:p w14:paraId="062E37E0">
      <w:r>
        <w:footnoteRef/>
      </w:r>
      <w:r>
        <w:t>Australian Minister for Foreign Affairs, Quad Critical Minerals Initiative Framework, 26 May 2026. https://www.foreignminister.gov.au/minister/penny-wong/media-release/quad-critical-minerals-initiative-framework-among-united-states-japan-australia-and-india</w:t>
      </w:r>
    </w:p>
  </w:footnote>
  <w:footnote w:id="34">
    <w:p w14:paraId="30D8B04F">
      <w:r>
        <w:footnoteRef/>
      </w:r>
      <w:r>
        <w:t>Natural Resources Canada, Critical Minerals Resilience and Production Alliance, 2026. https://www.canada.ca/en/campaign/critical-minerals-in-canada/our-critical-minerals-strategic-partnerships/critical-minerals-production-alliance.html</w:t>
      </w:r>
    </w:p>
  </w:footnote>
  <w:footnote w:id="35">
    <w:p w14:paraId="133E2DC6">
      <w:r>
        <w:footnoteRef/>
      </w:r>
      <w:r>
        <w:t>International Energy Agency, With new export controls on critical minerals, supply concentration risks become reality, 23 October 2025. https://www.iea.org/commentaries/with-new-export-controls-on-critical-minerals-supply-concentration-risks-become-reality</w:t>
      </w:r>
    </w:p>
  </w:footnote>
  <w:footnote w:id="36">
    <w:p w14:paraId="31652059">
      <w:r>
        <w:footnoteRef/>
      </w:r>
      <w:r>
        <w:t>World Trade Organization, China — Measures Related to the Exportation of Rare Earths, Tungsten and Molybdenum, DS432 one-page summary. https://www.wto.org/english/tratop_e/dispu_e/cases_e/1pagesum_e/ds432sum_e.pdf</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A0953">
    <w:pPr>
      <w:pStyle w:val="25"/>
      <w:jc w:val="right"/>
    </w:pPr>
    <w:r>
      <w:rPr>
        <w:rFonts w:ascii="Arial" w:hAnsi="Arial" w:eastAsia="微软雅黑"/>
        <w:b w:val="0"/>
        <w:i w:val="0"/>
        <w:color w:val="667085"/>
        <w:sz w:val="17"/>
      </w:rPr>
      <w:t>关键矿产“反管制”体系深度研究｜专业审阅稿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singleLevel"/>
    <w:tmpl w:val="0053208E"/>
    <w:lvl w:ilvl="0" w:tentative="0">
      <w:start w:val="1"/>
      <w:numFmt w:val="bullet"/>
      <w:lvlText w:val="•"/>
      <w:lvlJc w:val="left"/>
      <w:pPr>
        <w:ind w:left="72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74"/>
    <w:footnote w:id="75"/>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EE4030"/>
    <w:rsid w:val="28F4533F"/>
    <w:rsid w:val="5FBC76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00" w:line="348" w:lineRule="auto"/>
      <w:jc w:val="both"/>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360" w:after="160"/>
      <w:outlineLvl w:val="0"/>
    </w:pPr>
    <w:rPr>
      <w:rFonts w:asciiTheme="majorHAnsi" w:hAnsiTheme="majorHAnsi" w:eastAsiaTheme="majorEastAsia" w:cstheme="majorBidi"/>
      <w:b/>
      <w:bCs/>
      <w:color w:val="17365D"/>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F5597"/>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0F6B78"/>
      <w:sz w:val="23"/>
    </w:rPr>
  </w:style>
  <w:style w:type="paragraph" w:styleId="6">
    <w:name w:val="heading 4"/>
    <w:basedOn w:val="1"/>
    <w:next w:val="1"/>
    <w:link w:val="150"/>
    <w:semiHidden/>
    <w:unhideWhenUsed/>
    <w:qFormat/>
    <w:uiPriority w:val="9"/>
    <w:pPr>
      <w:keepNext/>
      <w:keepLines/>
      <w:spacing w:before="120" w:after="60"/>
      <w:outlineLvl w:val="3"/>
    </w:pPr>
    <w:rPr>
      <w:rFonts w:asciiTheme="majorHAnsi" w:hAnsiTheme="majorHAnsi" w:eastAsiaTheme="majorEastAsia" w:cstheme="majorBidi"/>
      <w:b/>
      <w:bCs/>
      <w:i/>
      <w:iCs/>
      <w:color w:val="1F293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aption Pro"/>
    <w:qFormat/>
    <w:uiPriority w:val="0"/>
    <w:pPr>
      <w:spacing w:before="80" w:after="100" w:line="276" w:lineRule="auto"/>
      <w:jc w:val="center"/>
    </w:pPr>
    <w:rPr>
      <w:rFonts w:ascii="微软雅黑" w:hAnsi="微软雅黑" w:eastAsia="微软雅黑" w:cstheme="minorBidi"/>
      <w:color w:val="667085"/>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2177</Words>
  <Characters>2266</Characters>
  <Lines>0</Lines>
  <Paragraphs>0</Paragraphs>
  <TotalTime>1</TotalTime>
  <ScaleCrop>false</ScaleCrop>
  <LinksUpToDate>false</LinksUpToDate>
  <CharactersWithSpaces>2290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落花吹雪</cp:lastModifiedBy>
  <dcterms:modified xsi:type="dcterms:W3CDTF">2026-07-16T15:05:12Z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56F4DFD766CA49349A8C79D7EDE1B399_13</vt:lpwstr>
  </property>
  <property fmtid="{D5CDD505-2E9C-101B-9397-08002B2CF9AE}" pid="4" name="KSOTemplateDocerSaveRecord">
    <vt:lpwstr>eyJoZGlkIjoiYmUyZGUxNjlhMGViOWZmMGFlZGIyODMxNzY4NGFjMjIiLCJ1c2VySWQiOiI5MDI5MjkxMzUifQ==</vt:lpwstr>
  </property>
</Properties>
</file>