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微软雅黑"/>
          <w:b/>
          <w:i w:val="0"/>
          <w:color w:val="1F4D78"/>
          <w:sz w:val="18"/>
        </w:rPr>
        <w:t>ITEM 31  /  TRADE REMEDY RISK REVIEW</w:t>
      </w:r>
    </w:p>
    <w:p>
      <w:pPr>
        <w:pStyle w:val="Title"/>
      </w:pPr>
      <w:r>
        <w:t>腈纶反倾销税与第三国转运风险深度核查报告</w:t>
      </w:r>
    </w:p>
    <w:p>
      <w:pPr>
        <w:spacing w:after="240"/>
      </w:pPr>
      <w:r>
        <w:rPr>
          <w:rFonts w:ascii="Calibri" w:hAnsi="Calibri" w:eastAsia="微软雅黑"/>
          <w:b w:val="0"/>
          <w:i w:val="0"/>
          <w:color w:val="5C6773"/>
          <w:sz w:val="26"/>
        </w:rPr>
        <w:t>日本、韩国、土耳其原产｜易迅全页逐票审计与生产实体穿透</w:t>
      </w:r>
    </w:p>
    <w:p>
      <w:pPr>
        <w:spacing w:after="40"/>
      </w:pPr>
      <w:r>
        <w:rPr>
          <w:rFonts w:ascii="Calibri" w:hAnsi="Calibri" w:eastAsia="微软雅黑"/>
          <w:b/>
          <w:color w:val="1C2733"/>
          <w:sz w:val="21"/>
        </w:rPr>
        <w:t>报告状态：</w:t>
      </w:r>
      <w:r>
        <w:rPr>
          <w:rFonts w:ascii="Calibri" w:hAnsi="Calibri" w:eastAsia="微软雅黑"/>
          <w:color w:val="1C2733"/>
          <w:sz w:val="21"/>
        </w:rPr>
        <w:t>易迅两年关键词结果全部读取；公开来源深检完成；待中国底单闭环</w:t>
      </w:r>
    </w:p>
    <w:p>
      <w:pPr>
        <w:spacing w:after="40"/>
      </w:pPr>
      <w:r>
        <w:rPr>
          <w:rFonts w:ascii="Calibri" w:hAnsi="Calibri" w:eastAsia="微软雅黑"/>
          <w:b/>
          <w:color w:val="1C2733"/>
          <w:sz w:val="21"/>
        </w:rPr>
        <w:t>风险评级：</w:t>
      </w:r>
      <w:r>
        <w:rPr>
          <w:rFonts w:ascii="Calibri" w:hAnsi="Calibri" w:eastAsia="微软雅黑"/>
          <w:color w:val="1C2733"/>
          <w:sz w:val="21"/>
        </w:rPr>
        <w:t>中高：土耳其直达核税票明确，第三国绕道未闭合</w:t>
      </w:r>
    </w:p>
    <w:p>
      <w:pPr>
        <w:spacing w:after="40"/>
      </w:pPr>
      <w:r>
        <w:rPr>
          <w:rFonts w:ascii="Calibri" w:hAnsi="Calibri" w:eastAsia="微软雅黑"/>
          <w:b/>
          <w:color w:val="1C2733"/>
          <w:sz w:val="21"/>
        </w:rPr>
        <w:t>核查基准日：</w:t>
      </w:r>
      <w:r>
        <w:rPr>
          <w:rFonts w:ascii="Calibri" w:hAnsi="Calibri" w:eastAsia="微软雅黑"/>
          <w:color w:val="1C2733"/>
          <w:sz w:val="21"/>
        </w:rPr>
        <w:t>2026年8月21日</w:t>
      </w:r>
    </w:p>
    <w:p>
      <w:pPr>
        <w:spacing w:after="40"/>
      </w:pPr>
      <w:r>
        <w:rPr>
          <w:rFonts w:ascii="Calibri" w:hAnsi="Calibri" w:eastAsia="微软雅黑"/>
          <w:b/>
          <w:color w:val="1C2733"/>
          <w:sz w:val="21"/>
        </w:rPr>
        <w:t>分析口径：</w:t>
      </w:r>
      <w:r>
        <w:rPr>
          <w:rFonts w:ascii="Calibri" w:hAnsi="Calibri" w:eastAsia="微软雅黑"/>
          <w:color w:val="1C2733"/>
          <w:sz w:val="21"/>
        </w:rPr>
        <w:t>ACRYLIC FIBER × China × 两年，200条/页，2页全读；逐票范围初筛、可见字段去重和公开产能反证</w:t>
      </w:r>
    </w:p>
    <w:p>
      <w:pPr>
        <w:spacing w:after="80"/>
      </w:pPr>
      <w:r>
        <w:rPr>
          <w:rFonts w:ascii="Calibri" w:hAnsi="Calibri" w:eastAsia="微软雅黑"/>
          <w:b w:val="0"/>
          <w:i w:val="0"/>
          <w:color w:val="1C2733"/>
          <w:sz w:val="22"/>
        </w:rPr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结论先行提示框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FF5D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7A5A00"/>
                <w:sz w:val="22"/>
              </w:rPr>
              <w:t>结论先行</w:t>
              <w:br/>
            </w:r>
            <w:r>
              <w:rPr>
                <w:rFonts w:ascii="Calibri" w:hAnsi="Calibri" w:eastAsia="微软雅黑"/>
                <w:color w:val="1C2733"/>
                <w:sz w:val="21"/>
              </w:rPr>
              <w:t>两年易迅结果278条、可见字段精确去重274条。仅发现1条受税来源直达：2026-01-26，Ak-Pa向杭州永芳纺织供应AK200腈纶短纤，重量字段40,974，平台原产Turkey。公开披露可将Ak-Pa与Aksa出口体系关联，因此该票应优先核Aksa 8.2%税档、原产地和缴款书；它不是第三国绕道。秘鲁来源213条、重量字段合计4,362,888.31，供应商高度集中于Sudamericana de Fibras，但秘鲁政府和企业资料证明当地具有真实腈纶聚合/纺丝能力，构成强反证。没有形成日本/韩国/土耳其→第三国→中国的A/B腿闭环。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ITEM 31阶段判断"/>
      </w:tblPr>
      <w:tblGrid>
        <w:gridCol w:w="1900"/>
        <w:gridCol w:w="1400"/>
        <w:gridCol w:w="6060"/>
      </w:tblGrid>
      <w:tr>
        <w:trPr>
          <w:tblHeader w:val="true"/>
          <w:tblHeader w:val="true"/>
        </w:trPr>
        <w:tc>
          <w:tcPr>
            <w:tcW w:type="dxa" w:w="19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判断维度</w:t>
            </w:r>
          </w:p>
        </w:tc>
        <w:tc>
          <w:tcPr>
            <w:tcW w:type="dxa" w:w="14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证据等级</w:t>
            </w:r>
          </w:p>
        </w:tc>
        <w:tc>
          <w:tcPr>
            <w:tcW w:type="dxa" w:w="60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阶段结论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C2733"/>
                <w:sz w:val="18"/>
              </w:rPr>
              <w:t>土耳其直达核税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8"/>
              </w:rPr>
              <w:t>B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8"/>
              </w:rPr>
              <w:t>1条AK200短纤，受税来源与产品范围高度吻合，需核实际生产商和税款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C2733"/>
                <w:sz w:val="18"/>
              </w:rPr>
              <w:t>秘鲁来源规模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8"/>
              </w:rPr>
              <w:t>反证/B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8"/>
              </w:rPr>
              <w:t>213条规模显著，但当地36,000吨/年真实生产能力可合法解释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C2733"/>
                <w:sz w:val="18"/>
              </w:rPr>
              <w:t>第三国绕道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8"/>
              </w:rPr>
              <w:t>未形成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8"/>
              </w:rPr>
              <w:t>现有数据无同牌号、同批次、同柜号或受税A腿闭合</w:t>
            </w:r>
          </w:p>
        </w:tc>
      </w:tr>
    </w:tbl>
    <w:p>
      <w:pPr>
        <w:spacing w:after="40"/>
      </w:pPr>
    </w:p>
    <w:p>
      <w:pPr>
        <w:spacing w:after="0"/>
      </w:pPr>
      <w:r>
        <w:rPr>
          <w:rFonts w:ascii="Calibri" w:hAnsi="Calibri" w:eastAsia="微软雅黑"/>
          <w:b w:val="0"/>
          <w:i w:val="0"/>
          <w:color w:val="5C6773"/>
          <w:sz w:val="18"/>
        </w:rPr>
        <w:t>说明：A=官方查处或同批单证闭环；B+=多项独立证据高度一致但缺决定性单证；B/C=核查线索；反证=存在合法来源或加工解释。</w:t>
      </w:r>
    </w:p>
    <w:p>
      <w:r>
        <w:br w:type="page"/>
      </w:r>
    </w:p>
    <w:p>
      <w:pPr>
        <w:pStyle w:val="Heading1"/>
      </w:pPr>
      <w:r>
        <w:t>1. 措施范围、期限与税率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ITEM 31政策口径"/>
      </w:tblPr>
      <w:tblGrid>
        <w:gridCol w:w="2100"/>
        <w:gridCol w:w="7260"/>
      </w:tblGrid>
      <w:tr>
        <w:trPr>
          <w:tblHeader w:val="true"/>
          <w:tblHeader w:val="true"/>
        </w:trPr>
        <w:tc>
          <w:tcPr>
            <w:tcW w:type="dxa" w:w="21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项目</w:t>
            </w:r>
          </w:p>
        </w:tc>
        <w:tc>
          <w:tcPr>
            <w:tcW w:type="dxa" w:w="72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核定内容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C2733"/>
                <w:sz w:val="18"/>
              </w:rPr>
              <w:t>措施与期限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8"/>
              </w:rPr>
              <w:t>商务部2022年第21号：自2022-07-14起继续征收5年，预计至2027-07-13；受税来源为日本、韩国、土耳其。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C2733"/>
                <w:sz w:val="18"/>
              </w:rPr>
              <w:t>税号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8"/>
              </w:rPr>
              <w:t>55013000、55033000、55063000。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C2733"/>
                <w:sz w:val="18"/>
              </w:rPr>
              <w:t>技术范围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8"/>
              </w:rPr>
              <w:t>聚丙烯腈或丙烯腈共聚物中丙烯腈重复单元不低于85%的长丝束、短纤维和毛条。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C2733"/>
                <w:sz w:val="18"/>
              </w:rPr>
              <w:t>主要排除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8"/>
              </w:rPr>
              <w:t>变性腈纶；PAN基碳纤维原丝（丙烯腈≥95%、连续无卷曲丝束、强度/伸长及用途同时满足公告条件）。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C2733"/>
                <w:sz w:val="18"/>
              </w:rPr>
              <w:t>日本税率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8"/>
              </w:rPr>
              <w:t>日本爱克斯兰16.1%；三菱化学15.8%；东丽16.0%；其他日本公司16.1%。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C2733"/>
                <w:sz w:val="18"/>
              </w:rPr>
              <w:t>韩国税率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8"/>
              </w:rPr>
              <w:t>泰光产业8.6%；其他韩国公司21.7%。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C2733"/>
                <w:sz w:val="18"/>
              </w:rPr>
              <w:t>土耳其税率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8"/>
              </w:rPr>
              <w:t>Aksa 8.2%；其他土耳其公司16.1%。</w:t>
            </w:r>
          </w:p>
        </w:tc>
      </w:tr>
    </w:tbl>
    <w:p>
      <w:pPr>
        <w:spacing w:after="40"/>
      </w:pPr>
    </w:p>
    <w:p>
      <w:pPr>
        <w:pStyle w:val="Heading2"/>
      </w:pPr>
      <w:r>
        <w:t>1.1 条件性税差系数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ITEM 31税差系数"/>
      </w:tblPr>
      <w:tblGrid>
        <w:gridCol w:w="3300"/>
        <w:gridCol w:w="1600"/>
        <w:gridCol w:w="1960"/>
        <w:gridCol w:w="2500"/>
      </w:tblGrid>
      <w:tr>
        <w:trPr>
          <w:tblHeader w:val="true"/>
          <w:tblHeader w:val="true"/>
        </w:trPr>
        <w:tc>
          <w:tcPr>
            <w:tcW w:type="dxa" w:w="33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情景</w:t>
            </w:r>
          </w:p>
        </w:tc>
        <w:tc>
          <w:tcPr>
            <w:tcW w:type="dxa" w:w="1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反倾销税率</w:t>
            </w:r>
          </w:p>
        </w:tc>
        <w:tc>
          <w:tcPr>
            <w:tcW w:type="dxa" w:w="19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AD引致增值税差额</w:t>
            </w:r>
          </w:p>
        </w:tc>
        <w:tc>
          <w:tcPr>
            <w:tcW w:type="dxa" w:w="25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综合增量系数</w:t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Aksa土耳其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8.2%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1.066%×完税价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9.266%×完税价</w:t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其他土耳其/日本爱克斯兰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16.1%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2.093%×完税价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18.193%×完税价</w:t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韩国泰光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8.6%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1.118%×完税价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9.718%×完税价</w:t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其他韩国公司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21.7%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2.821%×完税价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24.521%×完税价</w:t>
            </w:r>
          </w:p>
        </w:tc>
      </w:tr>
    </w:tbl>
    <w:p>
      <w:pPr>
        <w:spacing w:after="40"/>
      </w:pPr>
    </w:p>
    <w:p>
      <w:r>
        <w:rPr>
          <w:rFonts w:ascii="Calibri" w:hAnsi="Calibri" w:eastAsia="微软雅黑"/>
          <w:b w:val="0"/>
          <w:i w:val="0"/>
          <w:color w:val="5C6773"/>
          <w:sz w:val="18"/>
        </w:rPr>
        <w:t>注：综合增量系数按进口增值税13%作筛查，公式为反倾销税率×1.13。它不含正常关税和正常进口增值税，也不等于整票总税负；正式追税必须使用中国海关完税价格、生产商税档和税款缴款书。</w:t>
      </w:r>
    </w:p>
    <w:p>
      <w:pPr>
        <w:pStyle w:val="Heading1"/>
      </w:pPr>
      <w:r>
        <w:t>2. 易迅查询覆盖与逐票审计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ITEM 31易迅查询覆盖"/>
      </w:tblPr>
      <w:tblGrid>
        <w:gridCol w:w="2500"/>
        <w:gridCol w:w="6860"/>
      </w:tblGrid>
      <w:tr>
        <w:trPr>
          <w:tblHeader w:val="true"/>
          <w:tblHeader w:val="true"/>
        </w:trPr>
        <w:tc>
          <w:tcPr>
            <w:tcW w:type="dxa" w:w="25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口径</w:t>
            </w:r>
          </w:p>
        </w:tc>
        <w:tc>
          <w:tcPr>
            <w:tcW w:type="dxa" w:w="68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结果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C2733"/>
                <w:sz w:val="18"/>
              </w:rPr>
              <w:t>查询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8"/>
              </w:rPr>
              <w:t>ACRYLIC FIBER + 目的国China + 2024-08-14至2026-08-14；结果278条；200条/页，共2页（200+78），逐页读取。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C2733"/>
                <w:sz w:val="18"/>
              </w:rPr>
              <w:t>去重与日期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8"/>
              </w:rPr>
              <w:t>原始278条；13个可见字段精确去重274条；重复多余4条；记录日期2024-08-14至2026-07-15。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C2733"/>
                <w:sz w:val="18"/>
              </w:rPr>
              <w:t>原产分布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8"/>
              </w:rPr>
              <w:t>Peru 213、United States 23、Indonesia 16、Vietnam 11、China 6、India 3、Turkey 1、Philippines 1。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C2733"/>
                <w:sz w:val="18"/>
              </w:rPr>
              <w:t>范围初筛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8"/>
              </w:rPr>
              <w:t>218条为措施范围候选；56条需按税号、成分、形态或是否成衣/制品进一步复核。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C2733"/>
                <w:sz w:val="18"/>
              </w:rPr>
              <w:t>受税来源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8"/>
              </w:rPr>
              <w:t>Turkey 1条；Japan 0；Korea 0。</w:t>
            </w:r>
          </w:p>
        </w:tc>
      </w:tr>
    </w:tbl>
    <w:p>
      <w:pPr>
        <w:spacing w:after="40"/>
      </w:pPr>
    </w:p>
    <w:p>
      <w:r>
        <w:rPr>
          <w:rFonts w:ascii="Calibri" w:hAnsi="Calibri" w:eastAsia="微软雅黑"/>
          <w:b w:val="0"/>
          <w:i w:val="0"/>
          <w:color w:val="5C6773"/>
          <w:sz w:val="18"/>
        </w:rPr>
        <w:t>平台的“原产国地区”并非中国海关法定原产地字段；重量/数量/金额字段在不同数据源口径不一。除货描明确单位外，本报告不擅自把字段解释为中国申报净重、美元或人民币。</w:t>
      </w:r>
    </w:p>
    <w:p>
      <w:pPr>
        <w:pStyle w:val="Heading2"/>
      </w:pPr>
      <w:r>
        <w:t>2.1 关键记录与实体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ITEM 31关键记录"/>
      </w:tblPr>
      <w:tblGrid>
        <w:gridCol w:w="1600"/>
        <w:gridCol w:w="3900"/>
        <w:gridCol w:w="1500"/>
        <w:gridCol w:w="2360"/>
      </w:tblGrid>
      <w:tr>
        <w:trPr>
          <w:tblHeader w:val="true"/>
          <w:tblHeader w:val="true"/>
        </w:trPr>
        <w:tc>
          <w:tcPr>
            <w:tcW w:type="dxa" w:w="1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日期/路线</w:t>
            </w:r>
          </w:p>
        </w:tc>
        <w:tc>
          <w:tcPr>
            <w:tcW w:type="dxa" w:w="39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产品与主体</w:t>
            </w:r>
          </w:p>
        </w:tc>
        <w:tc>
          <w:tcPr>
            <w:tcW w:type="dxa" w:w="15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可见规模</w:t>
            </w:r>
          </w:p>
        </w:tc>
        <w:tc>
          <w:tcPr>
            <w:tcW w:type="dxa" w:w="23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判断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2026-01-26 土耳其→中国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AK200 R01 BRIGHT 1.1DTEX 38MM；Ak-Pa→杭州永芳纺织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重量字段40,974；金额空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范围候选；受税直达；优先核Aksa生产商与8.2%税档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两年 秘鲁→中国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Sudamericana de Fibras为供应商的213条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重量字段合计4,362,888.31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非受税来源大宗；真实秘鲁产能构成强反证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美国等→中国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23条美国平台原产及其他国家记录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多含成衣/纺织品或税号空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逐票范围待核；美国不是本措施受税来源</w:t>
            </w:r>
          </w:p>
        </w:tc>
      </w:tr>
    </w:tbl>
    <w:p>
      <w:pPr>
        <w:spacing w:after="40"/>
      </w:pPr>
    </w:p>
    <w:p>
      <w:pPr>
        <w:pStyle w:val="Heading2"/>
      </w:pPr>
      <w:r>
        <w:t>2.2 逐票文件与复核边界</w:t>
      </w:r>
    </w:p>
    <w:p>
      <w:pPr>
        <w:numPr>
          <w:ilvl w:val="0"/>
          <w:numId w:val="10"/>
        </w:numPr>
      </w:pPr>
      <w:r>
        <w:rPr>
          <w:rFonts w:ascii="Calibri" w:hAnsi="Calibri" w:eastAsia="微软雅黑"/>
          <w:color w:val="1C2733"/>
          <w:sz w:val="22"/>
        </w:rPr>
        <w:t>原始页面摘录：腈纶_易迅_ACRYLIC_FIBER_China_两年.json.gz.b64。</w:t>
      </w:r>
    </w:p>
    <w:p>
      <w:pPr>
        <w:numPr>
          <w:ilvl w:val="0"/>
          <w:numId w:val="10"/>
        </w:numPr>
      </w:pPr>
      <w:r>
        <w:rPr>
          <w:rFonts w:ascii="Calibri" w:hAnsi="Calibri" w:eastAsia="微软雅黑"/>
          <w:color w:val="1C2733"/>
          <w:sz w:val="22"/>
        </w:rPr>
        <w:t>逐票标准化：31_keyword_易迅逐票标准化.csv，保留13个可见字段并给出每条范围初筛。</w:t>
      </w:r>
    </w:p>
    <w:p>
      <w:pPr>
        <w:numPr>
          <w:ilvl w:val="0"/>
          <w:numId w:val="10"/>
        </w:numPr>
      </w:pPr>
      <w:r>
        <w:rPr>
          <w:rFonts w:ascii="Calibri" w:hAnsi="Calibri" w:eastAsia="微软雅黑"/>
          <w:color w:val="1C2733"/>
          <w:sz w:val="22"/>
        </w:rPr>
        <w:t>完整性边界：本轮完成中国B腿关键词查询；未取得受税来源→秘鲁/其他第三国的同产品A腿和提单号。</w:t>
      </w:r>
    </w:p>
    <w:p>
      <w:pPr>
        <w:pStyle w:val="Heading1"/>
      </w:pPr>
      <w:r>
        <w:t>3. 第三国路径、支持事实与反证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ITEM 31第三国风险矩阵"/>
      </w:tblPr>
      <w:tblGrid>
        <w:gridCol w:w="2100"/>
        <w:gridCol w:w="900"/>
        <w:gridCol w:w="3100"/>
        <w:gridCol w:w="3260"/>
      </w:tblGrid>
      <w:tr>
        <w:trPr>
          <w:tblHeader w:val="true"/>
          <w:tblHeader w:val="true"/>
        </w:trPr>
        <w:tc>
          <w:tcPr>
            <w:tcW w:type="dxa" w:w="21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线索/路径</w:t>
            </w:r>
          </w:p>
        </w:tc>
        <w:tc>
          <w:tcPr>
            <w:tcW w:type="dxa" w:w="9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等级</w:t>
            </w:r>
          </w:p>
        </w:tc>
        <w:tc>
          <w:tcPr>
            <w:tcW w:type="dxa" w:w="31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支持事实</w:t>
            </w:r>
          </w:p>
        </w:tc>
        <w:tc>
          <w:tcPr>
            <w:tcW w:type="dxa" w:w="32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反证或缺口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6"/>
              </w:rPr>
              <w:t>Ak-Pa/Aksa土耳其直达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6"/>
              </w:rPr>
              <w:t>B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6"/>
              </w:rPr>
              <w:t>受税来源、牌号、形态、实体关系一致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6"/>
              </w:rPr>
              <w:t>是否Aksa生产、是否正常缴AD、中国进口人底单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6"/>
              </w:rPr>
              <w:t>秘鲁Sudamericana→中国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6"/>
              </w:rPr>
              <w:t>反证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6"/>
              </w:rPr>
              <w:t>213条、单一真实制造商、当地政府资料确认腈纶工厂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6"/>
              </w:rPr>
              <w:t>仍需COA/厂批号核每票是否范围内，但无受税A腿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6"/>
              </w:rPr>
              <w:t>受税国→第三国→中国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6"/>
              </w:rPr>
              <w:t>未形成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6"/>
              </w:rPr>
              <w:t>未发现同牌号、同批次或同柜号双腿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6"/>
              </w:rPr>
              <w:t>缺A腿、生产批号、提单、原产地证</w:t>
            </w:r>
          </w:p>
        </w:tc>
      </w:tr>
    </w:tbl>
    <w:p>
      <w:pPr>
        <w:spacing w:after="40"/>
      </w:pPr>
    </w:p>
    <w:p>
      <w:pPr>
        <w:pStyle w:val="Heading2"/>
      </w:pPr>
      <w:r>
        <w:t>3.1 合法第三国产能与供应链反证</w:t>
      </w:r>
    </w:p>
    <w:p>
      <w:pPr>
        <w:numPr>
          <w:ilvl w:val="0"/>
          <w:numId w:val="10"/>
        </w:numPr>
      </w:pPr>
      <w:r>
        <w:rPr>
          <w:rFonts w:ascii="Calibri" w:hAnsi="Calibri" w:eastAsia="微软雅黑"/>
          <w:color w:val="1C2733"/>
          <w:sz w:val="22"/>
        </w:rPr>
        <w:t>秘鲁Sudamericana de Fibras公开资料及秘鲁政府文件确认Callao腈纶工厂和约36,000吨/年产能，秘鲁来源不能仅因非传统来源而推定绕道。</w:t>
      </w:r>
    </w:p>
    <w:p>
      <w:pPr>
        <w:numPr>
          <w:ilvl w:val="0"/>
          <w:numId w:val="10"/>
        </w:numPr>
      </w:pPr>
      <w:r>
        <w:rPr>
          <w:rFonts w:ascii="Calibri" w:hAnsi="Calibri" w:eastAsia="微软雅黑"/>
          <w:color w:val="1C2733"/>
          <w:sz w:val="22"/>
        </w:rPr>
        <w:t>Aksa官方披露Yalova约355,000吨/年腈纶能力；Ak-Pa是Akkök体系的出口/营销主体，贸易商开票不改变实际土耳其生产的可能性。</w:t>
      </w:r>
    </w:p>
    <w:p>
      <w:pPr>
        <w:numPr>
          <w:ilvl w:val="0"/>
          <w:numId w:val="10"/>
        </w:numPr>
      </w:pPr>
      <w:r>
        <w:rPr>
          <w:rFonts w:ascii="Calibri" w:hAnsi="Calibri" w:eastAsia="微软雅黑"/>
          <w:color w:val="1C2733"/>
          <w:sz w:val="22"/>
        </w:rPr>
        <w:t>韩国Taekwang、土耳其Aksa、日本Toray等均有本国真实产能，品牌、集团国籍和发货国必须与具体厂批号区分。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证据边界提示框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DECE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9B1C1C"/>
                <w:sz w:val="22"/>
              </w:rPr>
              <w:t>证据边界</w:t>
              <w:br/>
            </w:r>
            <w:r>
              <w:rPr>
                <w:rFonts w:ascii="Calibri" w:hAnsi="Calibri" w:eastAsia="微软雅黑"/>
                <w:color w:val="1C2733"/>
                <w:sz w:val="21"/>
              </w:rPr>
              <w:t>目前没有证据证明秘鲁货物实际由日本、韩国或土耳其生产，也没有官方查处、法院判决或同柜双段提单。对任何企业只能表述为核查对象，不能写成伪报原产地、走私或逃税主体。</w:t>
            </w:r>
          </w:p>
        </w:tc>
      </w:tr>
    </w:tbl>
    <w:p>
      <w:pPr>
        <w:spacing w:after="40"/>
      </w:pPr>
    </w:p>
    <w:p>
      <w:pPr>
        <w:pStyle w:val="Heading1"/>
      </w:pPr>
      <w:r>
        <w:t>4. 优先核查实体与调证清单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ITEM 31调证清单"/>
      </w:tblPr>
      <w:tblGrid>
        <w:gridCol w:w="900"/>
        <w:gridCol w:w="3100"/>
        <w:gridCol w:w="5360"/>
      </w:tblGrid>
      <w:tr>
        <w:trPr>
          <w:tblHeader w:val="true"/>
          <w:tblHeader w:val="true"/>
        </w:trPr>
        <w:tc>
          <w:tcPr>
            <w:tcW w:type="dxa" w:w="9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优先级</w:t>
            </w:r>
          </w:p>
        </w:tc>
        <w:tc>
          <w:tcPr>
            <w:tcW w:type="dxa" w:w="31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实体/记录</w:t>
            </w:r>
          </w:p>
        </w:tc>
        <w:tc>
          <w:tcPr>
            <w:tcW w:type="dxa" w:w="53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核查资料与目的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C2733"/>
                <w:sz w:val="17"/>
              </w:rPr>
              <w:t>1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Ak-Pa Tekstil / Aksa / 杭州永芳纺织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调2026-01-26报关单、生产商栏、COA、原产地证、反倾销税缴款书和完税价格，确认8.2%或16.1%税档。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C2733"/>
                <w:sz w:val="17"/>
              </w:rPr>
              <w:t>2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Sudamericana de Fibras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按批号核聚合/纺丝工厂、原料账、COA和原产证；如出现受税牌号，回查90日A腿。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C2733"/>
                <w:sz w:val="17"/>
              </w:rPr>
              <w:t>3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中国端隐藏买方232条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向承运人/数据源补提单和中国收货人，排除成衣/制品后再定位进口人和口岸。</w:t>
            </w:r>
          </w:p>
        </w:tc>
      </w:tr>
    </w:tbl>
    <w:p>
      <w:pPr>
        <w:spacing w:after="40"/>
      </w:pPr>
    </w:p>
    <w:p>
      <w:pPr>
        <w:pStyle w:val="Heading2"/>
      </w:pPr>
      <w:r>
        <w:t>4.1 建议核查顺序</w:t>
      </w:r>
    </w:p>
    <w:p>
      <w:pPr>
        <w:numPr>
          <w:ilvl w:val="0"/>
          <w:numId w:val="11"/>
        </w:numPr>
      </w:pPr>
      <w:r>
        <w:rPr>
          <w:rFonts w:ascii="Calibri" w:hAnsi="Calibri" w:eastAsia="微软雅黑"/>
          <w:color w:val="1C2733"/>
          <w:sz w:val="22"/>
        </w:rPr>
        <w:t>先调土耳其直达票的中国报关单、税款书与生产商证明；金额为空，不能测实际少缴税额。</w:t>
      </w:r>
    </w:p>
    <w:p>
      <w:pPr>
        <w:numPr>
          <w:ilvl w:val="0"/>
          <w:numId w:val="11"/>
        </w:numPr>
      </w:pPr>
      <w:r>
        <w:rPr>
          <w:rFonts w:ascii="Calibri" w:hAnsi="Calibri" w:eastAsia="微软雅黑"/>
          <w:color w:val="1C2733"/>
          <w:sz w:val="22"/>
        </w:rPr>
        <w:t>再以AK200、Aksa、Ak-Pa和批号为键，回查土耳其出口及中国进口是否镜像/重复。</w:t>
      </w:r>
    </w:p>
    <w:p>
      <w:pPr>
        <w:numPr>
          <w:ilvl w:val="0"/>
          <w:numId w:val="11"/>
        </w:numPr>
      </w:pPr>
      <w:r>
        <w:rPr>
          <w:rFonts w:ascii="Calibri" w:hAnsi="Calibri" w:eastAsia="微软雅黑"/>
          <w:color w:val="1C2733"/>
          <w:sz w:val="22"/>
        </w:rPr>
        <w:t>对秘鲁大宗只在出现受税牌号、厂批号冲突或受税A腿后升级；否则保留真实生产反证。</w:t>
      </w:r>
    </w:p>
    <w:p>
      <w:pPr>
        <w:pStyle w:val="Heading1"/>
      </w:pPr>
      <w:r>
        <w:t>5. 结论</w:t>
      </w:r>
    </w:p>
    <w:p>
      <w:r>
        <w:rPr>
          <w:rFonts w:ascii="Calibri" w:hAnsi="Calibri" w:eastAsia="微软雅黑"/>
          <w:b w:val="0"/>
          <w:i w:val="0"/>
          <w:color w:val="1C2733"/>
          <w:sz w:val="22"/>
        </w:rPr>
        <w:t>第31项已完成易迅中国B腿全页审计。最具体风险不是第三国绕道，而是一条土耳其受税来源直接对华的AK200短纤票；应核是否按Aksa税率缴纳反倾销税。秘鲁来源数量大，但真实制造能力证据充分，不能由贸易规模反推规避。当前无A等级或B+等级的第三国绕道闭环。</w:t>
      </w:r>
    </w:p>
    <w:p>
      <w:pPr>
        <w:numPr>
          <w:ilvl w:val="0"/>
          <w:numId w:val="10"/>
        </w:numPr>
      </w:pPr>
      <w:r>
        <w:rPr>
          <w:rFonts w:ascii="Calibri" w:hAnsi="Calibri" w:eastAsia="微软雅黑"/>
          <w:color w:val="1C2733"/>
          <w:sz w:val="22"/>
        </w:rPr>
        <w:t>立即核税：土耳其直达票。</w:t>
      </w:r>
    </w:p>
    <w:p>
      <w:pPr>
        <w:numPr>
          <w:ilvl w:val="0"/>
          <w:numId w:val="10"/>
        </w:numPr>
      </w:pPr>
      <w:r>
        <w:rPr>
          <w:rFonts w:ascii="Calibri" w:hAnsi="Calibri" w:eastAsia="微软雅黑"/>
          <w:color w:val="1C2733"/>
          <w:sz w:val="22"/>
        </w:rPr>
        <w:t>条件升级：只有受税A腿+秘鲁/第三国B腿在牌号、批号、重量或柜号闭合时才提升风险。</w:t>
      </w:r>
    </w:p>
    <w:p>
      <w:pPr>
        <w:numPr>
          <w:ilvl w:val="0"/>
          <w:numId w:val="10"/>
        </w:numPr>
      </w:pPr>
      <w:r>
        <w:rPr>
          <w:rFonts w:ascii="Calibri" w:hAnsi="Calibri" w:eastAsia="微软雅黑"/>
          <w:color w:val="1C2733"/>
          <w:sz w:val="22"/>
        </w:rPr>
        <w:t>实际税额：取得中国完税价格和缴款书后计算。</w:t>
      </w:r>
    </w:p>
    <w:p>
      <w:pPr>
        <w:pStyle w:val="Heading1"/>
      </w:pPr>
      <w:r>
        <w:t>6. 公开来源</w:t>
      </w:r>
    </w:p>
    <w:p>
      <w:pPr>
        <w:numPr>
          <w:ilvl w:val="0"/>
          <w:numId w:val="10"/>
        </w:numPr>
      </w:pPr>
      <w:r>
        <w:rPr>
          <w:rFonts w:ascii="Calibri" w:hAnsi="Calibri" w:eastAsia="微软雅黑"/>
          <w:b/>
          <w:color w:val="1C2733"/>
          <w:sz w:val="19"/>
        </w:rPr>
        <w:t>商务部公告2022年第21号：</w:t>
      </w:r>
      <w:hyperlink r:id="rId11">
        <w:r>
          <w:rPr>
            <w:rFonts w:ascii="Calibri" w:hAnsi="Calibri" w:eastAsia="微软雅黑"/>
            <w:color w:val="2E74B5"/>
            <w:u w:val="single"/>
          </w:rPr>
          <w:t>官方/公开原文</w:t>
        </w:r>
      </w:hyperlink>
      <w:r>
        <w:rPr>
          <w:rFonts w:ascii="Calibri" w:hAnsi="Calibri" w:eastAsia="微软雅黑"/>
          <w:color w:val="5C6773"/>
          <w:sz w:val="19"/>
        </w:rPr>
        <w:t>。范围、税号、税率与期限。</w:t>
      </w:r>
    </w:p>
    <w:p>
      <w:pPr>
        <w:numPr>
          <w:ilvl w:val="0"/>
          <w:numId w:val="10"/>
        </w:numPr>
      </w:pPr>
      <w:r>
        <w:rPr>
          <w:rFonts w:ascii="Calibri" w:hAnsi="Calibri" w:eastAsia="微软雅黑"/>
          <w:b/>
          <w:color w:val="1C2733"/>
          <w:sz w:val="19"/>
        </w:rPr>
        <w:t>Aksa官方About Us：</w:t>
      </w:r>
      <w:hyperlink r:id="rId12">
        <w:r>
          <w:rPr>
            <w:rFonts w:ascii="Calibri" w:hAnsi="Calibri" w:eastAsia="微软雅黑"/>
            <w:color w:val="2E74B5"/>
            <w:u w:val="single"/>
          </w:rPr>
          <w:t>官方/公开原文</w:t>
        </w:r>
      </w:hyperlink>
      <w:r>
        <w:rPr>
          <w:rFonts w:ascii="Calibri" w:hAnsi="Calibri" w:eastAsia="微软雅黑"/>
          <w:color w:val="5C6773"/>
          <w:sz w:val="19"/>
        </w:rPr>
        <w:t>。土耳其腈纶产能与全球销售。</w:t>
      </w:r>
    </w:p>
    <w:p>
      <w:pPr>
        <w:numPr>
          <w:ilvl w:val="0"/>
          <w:numId w:val="10"/>
        </w:numPr>
      </w:pPr>
      <w:r>
        <w:rPr>
          <w:rFonts w:ascii="Calibri" w:hAnsi="Calibri" w:eastAsia="微软雅黑"/>
          <w:b/>
          <w:color w:val="1C2733"/>
          <w:sz w:val="19"/>
        </w:rPr>
        <w:t>Akkök官方Ak-Pa介绍：</w:t>
      </w:r>
      <w:hyperlink r:id="rId13">
        <w:r>
          <w:rPr>
            <w:rFonts w:ascii="Calibri" w:hAnsi="Calibri" w:eastAsia="微软雅黑"/>
            <w:color w:val="2E74B5"/>
            <w:u w:val="single"/>
          </w:rPr>
          <w:t>官方/公开原文</w:t>
        </w:r>
      </w:hyperlink>
      <w:r>
        <w:rPr>
          <w:rFonts w:ascii="Calibri" w:hAnsi="Calibri" w:eastAsia="微软雅黑"/>
          <w:color w:val="5C6773"/>
          <w:sz w:val="19"/>
        </w:rPr>
        <w:t>。Ak-Pa为Aksa产品的出口/营销主体。</w:t>
      </w:r>
    </w:p>
    <w:p>
      <w:pPr>
        <w:numPr>
          <w:ilvl w:val="0"/>
          <w:numId w:val="10"/>
        </w:numPr>
      </w:pPr>
      <w:r>
        <w:rPr>
          <w:rFonts w:ascii="Calibri" w:hAnsi="Calibri" w:eastAsia="微软雅黑"/>
          <w:b/>
          <w:color w:val="1C2733"/>
          <w:sz w:val="19"/>
        </w:rPr>
        <w:t>Sudamericana de Fibras公司历史：</w:t>
      </w:r>
      <w:hyperlink r:id="rId14">
        <w:r>
          <w:rPr>
            <w:rFonts w:ascii="Calibri" w:hAnsi="Calibri" w:eastAsia="微软雅黑"/>
            <w:color w:val="2E74B5"/>
            <w:u w:val="single"/>
          </w:rPr>
          <w:t>官方/公开原文</w:t>
        </w:r>
      </w:hyperlink>
      <w:r>
        <w:rPr>
          <w:rFonts w:ascii="Calibri" w:hAnsi="Calibri" w:eastAsia="微软雅黑"/>
          <w:color w:val="5C6773"/>
          <w:sz w:val="19"/>
        </w:rPr>
        <w:t>。秘鲁Callao真实腈纶生产。</w:t>
      </w:r>
    </w:p>
    <w:p>
      <w:pPr>
        <w:numPr>
          <w:ilvl w:val="0"/>
          <w:numId w:val="10"/>
        </w:numPr>
      </w:pPr>
      <w:r>
        <w:rPr>
          <w:rFonts w:ascii="Calibri" w:hAnsi="Calibri" w:eastAsia="微软雅黑"/>
          <w:b/>
          <w:color w:val="1C2733"/>
          <w:sz w:val="19"/>
        </w:rPr>
        <w:t>秘鲁政府产业文件：</w:t>
      </w:r>
      <w:hyperlink r:id="rId15">
        <w:r>
          <w:rPr>
            <w:rFonts w:ascii="Calibri" w:hAnsi="Calibri" w:eastAsia="微软雅黑"/>
            <w:color w:val="2E74B5"/>
            <w:u w:val="single"/>
          </w:rPr>
          <w:t>官方/公开原文</w:t>
        </w:r>
      </w:hyperlink>
      <w:r>
        <w:rPr>
          <w:rFonts w:ascii="Calibri" w:hAnsi="Calibri" w:eastAsia="微软雅黑"/>
          <w:color w:val="5C6773"/>
          <w:sz w:val="19"/>
        </w:rPr>
        <w:t>。Drytex腈纶约36,000吨/年。</w:t>
      </w:r>
    </w:p>
    <w:p>
      <w:pPr>
        <w:numPr>
          <w:ilvl w:val="0"/>
          <w:numId w:val="10"/>
        </w:numPr>
      </w:pPr>
      <w:r>
        <w:rPr>
          <w:rFonts w:ascii="Calibri" w:hAnsi="Calibri" w:eastAsia="微软雅黑"/>
          <w:b/>
          <w:color w:val="1C2733"/>
          <w:sz w:val="19"/>
        </w:rPr>
        <w:t>中国进出口货物原产地条例：</w:t>
      </w:r>
      <w:hyperlink r:id="rId16">
        <w:r>
          <w:rPr>
            <w:rFonts w:ascii="Calibri" w:hAnsi="Calibri" w:eastAsia="微软雅黑"/>
            <w:color w:val="2E74B5"/>
            <w:u w:val="single"/>
          </w:rPr>
          <w:t>官方/公开原文</w:t>
        </w:r>
      </w:hyperlink>
      <w:r>
        <w:rPr>
          <w:rFonts w:ascii="Calibri" w:hAnsi="Calibri" w:eastAsia="微软雅黑"/>
          <w:color w:val="5C6773"/>
          <w:sz w:val="19"/>
        </w:rPr>
        <w:t>。反倾销非优惠原产地法律边界。</w:t>
      </w:r>
    </w:p>
    <w:p>
      <w:r>
        <w:rPr>
          <w:rFonts w:ascii="Calibri" w:hAnsi="Calibri" w:eastAsia="微软雅黑"/>
          <w:b w:val="0"/>
          <w:i w:val="0"/>
          <w:color w:val="5C6773"/>
          <w:sz w:val="18"/>
        </w:rPr>
        <w:t>公开检索的负面结果仅说明未在可索引的官方/公开来源中找到相应案件，不代表不存在未公开调查、行政处理或刑事案件。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微软雅黑"/>
        <w:color w:val="5C6773"/>
        <w:sz w:val="16"/>
      </w:rPr>
      <w:t xml:space="preserve">内部核查材料  |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微软雅黑"/>
        <w:b/>
        <w:color w:val="5C6773"/>
        <w:sz w:val="17"/>
      </w:rPr>
      <w:t>反倾销税深度核查｜ITEM 31｜腈纶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before="0" w:after="16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before="0" w:after="160" w:line="28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微软雅黑"/>
      <w:color w:val="1C27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eastAsia="微软雅黑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mofcom.gov.cn/zcfb/zgdwjjmywg/art/2022/art_c2935f35d87647e586b5a17a6b4eaf0a.html" TargetMode="External"/><Relationship Id="rId12" Type="http://schemas.openxmlformats.org/officeDocument/2006/relationships/hyperlink" Target="https://aksa.com/en/corporate/about-us" TargetMode="External"/><Relationship Id="rId13" Type="http://schemas.openxmlformats.org/officeDocument/2006/relationships/hyperlink" Target="https://akkok.com.tr/en/sektorler/akpa/" TargetMode="External"/><Relationship Id="rId14" Type="http://schemas.openxmlformats.org/officeDocument/2006/relationships/hyperlink" Target="https://sdef.com/historia" TargetMode="External"/><Relationship Id="rId15" Type="http://schemas.openxmlformats.org/officeDocument/2006/relationships/hyperlink" Target="https://spij.minjus.gob.pe/Normas/textos/220312T.pdf" TargetMode="External"/><Relationship Id="rId16" Type="http://schemas.openxmlformats.org/officeDocument/2006/relationships/hyperlink" Target="https://xzfg.moj.gov.cn/front/law/detail?LawID=152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腈纶反倾销税与第三国转运风险深度核查报告</dc:title>
  <dc:subject>反倾销税、易迅逐票数据、第三国转运与原产地核查</dc:subject>
  <dc:creator>反倾销税风险分析项目</dc:creator>
  <cp:keywords>腈纶;反倾销;易迅数据;第三国转运;原产地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