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微软雅黑"/>
          <w:b/>
          <w:i w:val="0"/>
          <w:color w:val="1F4D78"/>
          <w:sz w:val="18"/>
        </w:rPr>
        <w:t>ITEM 32  /  TRADE REMEDY RISK REVIEW</w:t>
      </w:r>
    </w:p>
    <w:p>
      <w:pPr>
        <w:pStyle w:val="Title"/>
      </w:pPr>
      <w:r>
        <w:t>未漂白纸袋纸反倾销税与第三国转运风险深度核查报告</w:t>
      </w:r>
    </w:p>
    <w:p>
      <w:pPr>
        <w:spacing w:after="240"/>
      </w:pPr>
      <w:r>
        <w:rPr>
          <w:rFonts w:ascii="Calibri" w:hAnsi="Calibri" w:eastAsia="微软雅黑"/>
          <w:b w:val="0"/>
          <w:i w:val="0"/>
          <w:color w:val="5C6773"/>
          <w:sz w:val="26"/>
        </w:rPr>
        <w:t>美国、欧盟、日本原产｜物性门槛、加拿大贸易商与直达税源核查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报告状态：</w:t>
      </w:r>
      <w:r>
        <w:rPr>
          <w:rFonts w:ascii="Calibri" w:hAnsi="Calibri" w:eastAsia="微软雅黑"/>
          <w:color w:val="1C2733"/>
          <w:sz w:val="21"/>
        </w:rPr>
        <w:t>易迅两年精准关键词结果全部读取；商业记录归并完成；待七项物性和原厂闭环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风险评级：</w:t>
      </w:r>
      <w:r>
        <w:rPr>
          <w:rFonts w:ascii="Calibri" w:hAnsi="Calibri" w:eastAsia="微软雅黑"/>
          <w:color w:val="1C2733"/>
          <w:sz w:val="21"/>
        </w:rPr>
        <w:t>中高：受税来源直达明确，加拿大贸易商链需穿透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核查基准日：</w:t>
      </w:r>
      <w:r>
        <w:rPr>
          <w:rFonts w:ascii="Calibri" w:hAnsi="Calibri" w:eastAsia="微软雅黑"/>
          <w:color w:val="1C2733"/>
          <w:sz w:val="21"/>
        </w:rPr>
        <w:t>2026年8月21日</w:t>
      </w:r>
    </w:p>
    <w:p>
      <w:pPr>
        <w:spacing w:after="40"/>
      </w:pPr>
      <w:r>
        <w:rPr>
          <w:rFonts w:ascii="Calibri" w:hAnsi="Calibri" w:eastAsia="微软雅黑"/>
          <w:b/>
          <w:color w:val="1C2733"/>
          <w:sz w:val="21"/>
        </w:rPr>
        <w:t>分析口径：</w:t>
      </w:r>
      <w:r>
        <w:rPr>
          <w:rFonts w:ascii="Calibri" w:hAnsi="Calibri" w:eastAsia="微软雅黑"/>
          <w:color w:val="1C2733"/>
          <w:sz w:val="21"/>
        </w:rPr>
        <w:t>UNBLEACHED SACK KRAFT PAPER × China × 两年；51条全读；可见字段去重、CERS/日期商业归并、物性与生产商核查</w:t>
      </w:r>
    </w:p>
    <w:p>
      <w:pPr>
        <w:spacing w:after="80"/>
      </w:pPr>
      <w:r>
        <w:rPr>
          <w:rFonts w:ascii="Calibri" w:hAnsi="Calibri" w:eastAsia="微软雅黑"/>
          <w:b w:val="0"/>
          <w:i w:val="0"/>
          <w:color w:val="1C2733"/>
          <w:sz w:val="22"/>
        </w:rPr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结论先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5D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7A5A00"/>
                <w:sz w:val="22"/>
              </w:rPr>
              <w:t>结论先行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易迅结果51条、可见字段精确去重32条。按日期、供应商、重量及相同CERS归并后，受税来源明确的五个候选物理组约346,097kg：美国260,963kg，欧盟85,134kg，日本0；均需补七项物性和税款书。加拿大Fortis Trading链最值得核原产：归并为7个商业组、约642,742kg，供应商是贸易商且货描未列纸厂和七项指标。但公开贸易资料显示Fortis从巴西、德国、俄罗斯等多源采购，加拿大发货本身不能证明产地，也没有受税国A腿闭合。Bay Hill四组83,525kg写明“rejected silicone release paper”，存在范围外反证。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2阶段判断"/>
      </w:tblPr>
      <w:tblGrid>
        <w:gridCol w:w="1900"/>
        <w:gridCol w:w="1400"/>
        <w:gridCol w:w="6060"/>
      </w:tblGrid>
      <w:tr>
        <w:trPr>
          <w:tblHeader w:val="true"/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判断维度</w:t>
            </w:r>
          </w:p>
        </w:tc>
        <w:tc>
          <w:tcPr>
            <w:tcW w:type="dxa" w:w="1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证据等级</w:t>
            </w:r>
          </w:p>
        </w:tc>
        <w:tc>
          <w:tcPr>
            <w:tcW w:type="dxa" w:w="6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阶段结论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受税来源直达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B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5个候选商业组约346,097kg；核七项物性、生产商税档及缴款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加拿大Fortis链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B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7个商业组约642,742kg；贸易商/无纸厂字段，需穿透原产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第三国绕道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未形成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无受税国→Fortis/加拿大同批A腿、卷号、柜号或CO闭合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alibri" w:hAnsi="Calibri" w:eastAsia="微软雅黑"/>
          <w:b w:val="0"/>
          <w:i w:val="0"/>
          <w:color w:val="5C6773"/>
          <w:sz w:val="18"/>
        </w:rPr>
        <w:t>说明：A=官方查处或同批单证闭环；B+=多项独立证据高度一致但缺决定性单证；B/C=核查线索；反证=存在合法来源或加工解释。</w:t>
      </w:r>
    </w:p>
    <w:p>
      <w:r>
        <w:br w:type="page"/>
      </w:r>
    </w:p>
    <w:p>
      <w:pPr>
        <w:pStyle w:val="Heading1"/>
      </w:pPr>
      <w:r>
        <w:t>1. 措施范围、期限与税率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2政策口径"/>
      </w:tblPr>
      <w:tblGrid>
        <w:gridCol w:w="2100"/>
        <w:gridCol w:w="7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项目</w:t>
            </w:r>
          </w:p>
        </w:tc>
        <w:tc>
          <w:tcPr>
            <w:tcW w:type="dxa" w:w="7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核定内容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措施与期限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商务部2022年第10号：自2022-04-10起继续征收5年，预计至2027-04-09；受税来源美国、欧盟、日本。英国措施已于2021-04-10终止。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税号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48042100、48043100。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七项物性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定量≤115g/m²；抗张指数纵横向之和≥69N·m/g；纵向撕裂指数≥10mN·m²/g；横向/纵向抗张能量吸收指数分别≥1.0/0.8J/g；透气度≥3.4μm/(Pa·s)；纵向伸长率≥2%。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美国税率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所有美国公司14.9%。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欧盟税率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Billerud Sweden 23.5%；Mondi Stambolijski 29.0%；Billerud Finland及Mondi Frantschach/Steti/Dynas 26.2%；其他欧盟29.0%。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日本税率</w:t>
            </w:r>
          </w:p>
        </w:tc>
        <w:tc>
          <w:tcPr>
            <w:tcW w:type="dxa" w:w="7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所有日本公司20.5%。</w:t>
            </w:r>
          </w:p>
        </w:tc>
      </w:tr>
    </w:tbl>
    <w:p>
      <w:pPr>
        <w:spacing w:after="40"/>
      </w:pPr>
    </w:p>
    <w:p>
      <w:pPr>
        <w:pStyle w:val="Heading2"/>
      </w:pPr>
      <w:r>
        <w:t>1.1 条件性税差系数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2税差系数"/>
      </w:tblPr>
      <w:tblGrid>
        <w:gridCol w:w="3300"/>
        <w:gridCol w:w="1600"/>
        <w:gridCol w:w="1960"/>
        <w:gridCol w:w="2500"/>
      </w:tblGrid>
      <w:tr>
        <w:trPr>
          <w:tblHeader w:val="true"/>
          <w:tblHeader w:val="true"/>
        </w:trPr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情景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反倾销税率</w:t>
            </w:r>
          </w:p>
        </w:tc>
        <w:tc>
          <w:tcPr>
            <w:tcW w:type="dxa" w:w="1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AD引致增值税差额</w:t>
            </w:r>
          </w:p>
        </w:tc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综合增量系数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美国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14.9%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1.937%×完税价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16.837%×完税价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Billerud Sweden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23.5%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3.055%×完税价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26.555%×完税价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欧盟26.2%档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26.2%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3.406%×完税价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29.606%×完税价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其他欧盟/部分Mondi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29.0%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3.770%×完税价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32.770%×完税价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日本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20.5%</w:t>
            </w:r>
          </w:p>
        </w:tc>
        <w:tc>
          <w:tcPr>
            <w:tcW w:type="dxa" w:w="1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2.665%×完税价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23.165%×完税价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注：综合增量系数按进口增值税13%作筛查，公式为反倾销税率×1.13。它不含正常关税和正常进口增值税，也不等于整票总税负；正式追税必须使用中国海关完税价格、生产商税档和税款缴款书。</w:t>
      </w:r>
    </w:p>
    <w:p>
      <w:pPr>
        <w:pStyle w:val="Heading1"/>
      </w:pPr>
      <w:r>
        <w:t>2. 易迅查询覆盖与逐票审计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2易迅查询覆盖"/>
      </w:tblPr>
      <w:tblGrid>
        <w:gridCol w:w="2500"/>
        <w:gridCol w:w="6860"/>
      </w:tblGrid>
      <w:tr>
        <w:trPr>
          <w:tblHeader w:val="true"/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口径</w:t>
            </w:r>
          </w:p>
        </w:tc>
        <w:tc>
          <w:tcPr>
            <w:tcW w:type="dxa" w:w="68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结果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查询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UNBLEACHED SACK KRAFT PAPER + 目的国China + 2024-08-14至2026-08-14；结果51条，单页全读。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去重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原始51条；可见字段精确去重32条；重复多余19条；日期2024-08-28至2026-05-27。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可见原产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Canada 21、United States 7、Sweden 2、Poland 1、Germany 1。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商业归并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同日/同供应商/同重量并结合相同CERS跨日归并；Fortis加拿大7组约642,742kg；清晰受税来源5组约346,097kg。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8"/>
              </w:rPr>
              <w:t>物性完整性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8"/>
              </w:rPr>
              <w:t>所有32条都缺至少一项公告物性；货描命中不等于最终落入措施范围。</w:t>
            </w:r>
          </w:p>
        </w:tc>
      </w:tr>
    </w:tbl>
    <w:p>
      <w:pPr>
        <w:spacing w:after="40"/>
      </w:pP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同一可见字段相同的行可能是平台重复，也可能是多票同值；商业归并仅用于筛查，正式票数须以提单号、卷号、箱号和中国报关单确认。</w:t>
      </w:r>
    </w:p>
    <w:p>
      <w:pPr>
        <w:pStyle w:val="Heading2"/>
      </w:pPr>
      <w:r>
        <w:t>2.1 关键记录与实体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2关键记录"/>
      </w:tblPr>
      <w:tblGrid>
        <w:gridCol w:w="1900"/>
        <w:gridCol w:w="1600"/>
        <w:gridCol w:w="3300"/>
        <w:gridCol w:w="2560"/>
      </w:tblGrid>
      <w:tr>
        <w:trPr>
          <w:tblHeader w:val="true"/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路线/实体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归并规模</w:t>
            </w:r>
          </w:p>
        </w:tc>
        <w:tc>
          <w:tcPr>
            <w:tcW w:type="dxa" w:w="3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具体事实</w:t>
            </w:r>
          </w:p>
        </w:tc>
        <w:tc>
          <w:tcPr>
            <w:tcW w:type="dxa" w:w="2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核查判断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美国→中国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2组/260,963kg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Six Continents 27,900kg；FMS/10×40柜233,063kg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受税直达；七项物性和14.9%缴税待核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欧盟→中国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3组/85,134kg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Mondi德国29,166；Billerud瑞典28,368；Stora Enso波兰27,600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受税直达；需对应企业税档与缴款书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加拿大Fortis→中国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7组/642,742kg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上海Yearich、青岛Funderief；部分记录有CERS编号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贸易商链B级；调纸厂、卷号、原产证及A腿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美国Bay Hill→中国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4组/83,525kg</w:t>
            </w:r>
          </w:p>
        </w:tc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货描同时写rejected silicone release paper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范围外反证强；需涂层/硅油、定量和用途</w:t>
            </w:r>
          </w:p>
        </w:tc>
      </w:tr>
    </w:tbl>
    <w:p>
      <w:pPr>
        <w:spacing w:after="40"/>
      </w:pPr>
    </w:p>
    <w:p>
      <w:pPr>
        <w:pStyle w:val="Heading2"/>
      </w:pPr>
      <w:r>
        <w:t>2.2 逐票文件与复核边界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原始页面摘录：未漂白纸袋纸_易迅关键词_China_两年.json.gz.b64。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逐票标准化：32_keyword_易迅逐票标准化.csv，51条均保留并逐条标为七项物性待核。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商业归并口径不替代海关票数；报告并列原始51、精确去重32和归并后的物理/商业组。</w:t>
      </w:r>
    </w:p>
    <w:p>
      <w:pPr>
        <w:pStyle w:val="Heading1"/>
      </w:pPr>
      <w:r>
        <w:t>3. 第三国路径、支持事实与反证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2第三国风险矩阵"/>
      </w:tblPr>
      <w:tblGrid>
        <w:gridCol w:w="2100"/>
        <w:gridCol w:w="900"/>
        <w:gridCol w:w="3100"/>
        <w:gridCol w:w="3260"/>
      </w:tblGrid>
      <w:tr>
        <w:trPr>
          <w:tblHeader w:val="true"/>
          <w:tblHeader w:val="true"/>
        </w:trPr>
        <w:tc>
          <w:tcPr>
            <w:tcW w:type="dxa" w:w="2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线索/路径</w:t>
            </w:r>
          </w:p>
        </w:tc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等级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支持事实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反证或缺口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Fortis Canada→中国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B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贸易商、规模642.742t、买方集中、部分CERS可调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缺原厂/卷号/七项物性；Fortis多源采购可合法解释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美国/欧盟直达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B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来源国、供应商和纸类货描吻合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是否范围内及是否已缴税未知；不是绕道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受税国→加拿大→中国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未形成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公开历史显示Fortis曾从多国采购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无同批A腿、时间/重量/柜号闭合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Bay Hill release paper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反证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货描明确硅离型纸/退货纸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6"/>
              </w:rPr>
              <w:t>可能不满足未漂白纸袋纸物性与用途</w:t>
            </w:r>
          </w:p>
        </w:tc>
      </w:tr>
    </w:tbl>
    <w:p>
      <w:pPr>
        <w:spacing w:after="40"/>
      </w:pPr>
    </w:p>
    <w:p>
      <w:pPr>
        <w:pStyle w:val="Heading2"/>
      </w:pPr>
      <w:r>
        <w:t>3.1 合法第三国产能与供应链反证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加拿大及巴西等地存在真实牛皮纸/纸袋纸产能；Fortis作为贸易商可合法采购非受税来源。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Mondi在Steti、Frantschach、Dynas等地有真实纸袋纸工厂，欧盟来源直达更像正常应税进口而非第三国链。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Billerud Karlsborg等工厂具有真实牛皮纸产能；品牌或贸易商国籍不能替代卷号对应的生产厂。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证据边界提示框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DECE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9B1C1C"/>
                <w:sz w:val="22"/>
              </w:rPr>
              <w:t>证据边界</w:t>
              <w:br/>
            </w:r>
            <w:r>
              <w:rPr>
                <w:rFonts w:ascii="Calibri" w:hAnsi="Calibri" w:eastAsia="微软雅黑"/>
                <w:color w:val="1C2733"/>
                <w:sz w:val="21"/>
              </w:rPr>
              <w:t>Fortis是高优先原产地核查对象，但“加拿大贸易商+中国买方+大批量”仍不足以证明其货物由美国、欧盟或日本生产。只有纸厂、卷号、A/B提单和中国原产申报闭合，才能升级为第三国规避证据。</w:t>
            </w:r>
          </w:p>
        </w:tc>
      </w:tr>
    </w:tbl>
    <w:p>
      <w:pPr>
        <w:spacing w:after="40"/>
      </w:pPr>
    </w:p>
    <w:p>
      <w:pPr>
        <w:pStyle w:val="Heading1"/>
      </w:pPr>
      <w:r>
        <w:t>4. 优先核查实体与调证清单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aption w:val="ITEM 32调证清单"/>
      </w:tblPr>
      <w:tblGrid>
        <w:gridCol w:w="900"/>
        <w:gridCol w:w="3100"/>
        <w:gridCol w:w="5360"/>
      </w:tblGrid>
      <w:tr>
        <w:trPr>
          <w:tblHeader w:val="true"/>
          <w:tblHeader w:val="true"/>
        </w:trPr>
        <w:tc>
          <w:tcPr>
            <w:tcW w:type="dxa" w:w="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优先级</w:t>
            </w:r>
          </w:p>
        </w:tc>
        <w:tc>
          <w:tcPr>
            <w:tcW w:type="dxa" w:w="31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实体/记录</w:t>
            </w:r>
          </w:p>
        </w:tc>
        <w:tc>
          <w:tcPr>
            <w:tcW w:type="dxa" w:w="5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核查资料与目的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1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Fortis Trading / Shanghai Yearich / Qingdao Funderief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调CERS、提单、纸厂发票、卷号、原产证、七项物性和中国报关单；按30—120日回查上游采购。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2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FMS Seaways / 中国收货人隐藏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以合同8931854、船名YM MOBILITY 084W和Long Beach装船信息定位进口人、报关行与税款。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3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Mondi、Billerud、Stora Enso直达票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核生产厂、列名税档、完税价格和AD缴款；不得用出口商名自动套最低税率。</w:t>
            </w:r>
          </w:p>
        </w:tc>
      </w:tr>
      <w:tr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color w:val="1C2733"/>
                <w:sz w:val="17"/>
              </w:rPr>
              <w:t>4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Bay Hill rejected release paper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微软雅黑"/>
                <w:color w:val="1C2733"/>
                <w:sz w:val="17"/>
              </w:rPr>
              <w:t>调TDS/涂层成分、定量、硅油处理和用途，先做范围排除。</w:t>
            </w:r>
          </w:p>
        </w:tc>
      </w:tr>
    </w:tbl>
    <w:p>
      <w:pPr>
        <w:spacing w:after="40"/>
      </w:pPr>
    </w:p>
    <w:p>
      <w:pPr>
        <w:pStyle w:val="Heading2"/>
      </w:pPr>
      <w:r>
        <w:t>4.1 建议核查顺序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先对五个受税来源候选组核物性、生产商和税款书，判断是否已正常缴AD。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再按Fortis每个CERS/日期/重量调纸厂和卷号，回查受税来源A腿；只凭Vancouver装港不定产地。</w:t>
      </w:r>
    </w:p>
    <w:p>
      <w:pPr>
        <w:numPr>
          <w:ilvl w:val="0"/>
          <w:numId w:val="11"/>
        </w:numPr>
      </w:pPr>
      <w:r>
        <w:rPr>
          <w:rFonts w:ascii="Calibri" w:hAnsi="Calibri" w:eastAsia="微软雅黑"/>
          <w:color w:val="1C2733"/>
          <w:sz w:val="22"/>
        </w:rPr>
        <w:t>对离型纸、涂层纸和joblot逐票做产品范围复核，避免把范围外废纸/特种纸计入风险量。</w:t>
      </w:r>
    </w:p>
    <w:p>
      <w:pPr>
        <w:pStyle w:val="Heading1"/>
      </w:pPr>
      <w:r>
        <w:t>5. 结论</w:t>
      </w:r>
    </w:p>
    <w:p>
      <w:r>
        <w:rPr>
          <w:rFonts w:ascii="Calibri" w:hAnsi="Calibri" w:eastAsia="微软雅黑"/>
          <w:b w:val="0"/>
          <w:i w:val="0"/>
          <w:color w:val="1C2733"/>
          <w:sz w:val="22"/>
        </w:rPr>
        <w:t>第32项已完成精准关键词全页审计。已有受税来源直达核税对象约346,097kg；加拿大Fortis链规模更大、实体和CERS可操作性强，是最值得原产地穿透的第三国线索。但没有双段提单或原厂闭环，当前证据等级为B，不得写成已逃反倾销税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核税优先：美国、德国、瑞典、波兰直达候选。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原产优先：Fortis加拿大7个商业组。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color w:val="1C2733"/>
          <w:sz w:val="22"/>
        </w:rPr>
        <w:t>范围优先：Bay Hill硅离型纸及所有缺七项物性的记录。</w:t>
      </w:r>
    </w:p>
    <w:p>
      <w:pPr>
        <w:pStyle w:val="Heading1"/>
      </w:pPr>
      <w:r>
        <w:t>6. 公开来源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商务部公告2022年第10号：</w:t>
      </w:r>
      <w:hyperlink r:id="rId11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。范围、物性、税率与期限。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Mondi 2024年度报告：</w:t>
      </w:r>
      <w:hyperlink r:id="rId12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。欧洲纸袋纸工厂与产能反证。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Mondi Steti工厂：</w:t>
      </w:r>
      <w:hyperlink r:id="rId13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。Steti纸袋纸生产。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Billerud Karlsborg产能公告：</w:t>
      </w:r>
      <w:hyperlink r:id="rId14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。真实生产能力。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ImportGenius Fortis历史公开页：</w:t>
      </w:r>
      <w:hyperlink r:id="rId15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。二级聚合来源，仅用于说明贸易商多源采购；不证明当前批次原产。</w:t>
      </w:r>
    </w:p>
    <w:p>
      <w:pPr>
        <w:numPr>
          <w:ilvl w:val="0"/>
          <w:numId w:val="10"/>
        </w:numPr>
      </w:pPr>
      <w:r>
        <w:rPr>
          <w:rFonts w:ascii="Calibri" w:hAnsi="Calibri" w:eastAsia="微软雅黑"/>
          <w:b/>
          <w:color w:val="1C2733"/>
          <w:sz w:val="19"/>
        </w:rPr>
        <w:t>中国进出口货物原产地条例：</w:t>
      </w:r>
      <w:hyperlink r:id="rId16">
        <w:r>
          <w:rPr>
            <w:rFonts w:ascii="Calibri" w:hAnsi="Calibri" w:eastAsia="微软雅黑"/>
            <w:color w:val="2E74B5"/>
            <w:u w:val="single"/>
          </w:rPr>
          <w:t>官方/公开原文</w:t>
        </w:r>
      </w:hyperlink>
      <w:r>
        <w:rPr>
          <w:rFonts w:ascii="Calibri" w:hAnsi="Calibri" w:eastAsia="微软雅黑"/>
          <w:color w:val="5C6773"/>
          <w:sz w:val="19"/>
        </w:rPr>
        <w:t>。非优惠原产地核定。</w:t>
      </w:r>
    </w:p>
    <w:p>
      <w:r>
        <w:rPr>
          <w:rFonts w:ascii="Calibri" w:hAnsi="Calibri" w:eastAsia="微软雅黑"/>
          <w:b w:val="0"/>
          <w:i w:val="0"/>
          <w:color w:val="5C6773"/>
          <w:sz w:val="18"/>
        </w:rPr>
        <w:t>公开检索的负面结果仅说明未在可索引的官方/公开来源中找到相应案件，不代表不存在未公开调查、行政处理或刑事案件。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微软雅黑"/>
        <w:color w:val="5C6773"/>
        <w:sz w:val="16"/>
      </w:rPr>
      <w:t xml:space="preserve">内部核查材料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微软雅黑"/>
        <w:b/>
        <w:color w:val="5C6773"/>
        <w:sz w:val="17"/>
      </w:rPr>
      <w:t>反倾销税深度核查｜ITEM 32｜未漂白纸袋纸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before="0"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color w:val="1C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rb.mofcom.gov.cn/myjjdc/art/2022/art_2b2552a348664bae9dc5c92554c9a8aa.html" TargetMode="External"/><Relationship Id="rId12" Type="http://schemas.openxmlformats.org/officeDocument/2006/relationships/hyperlink" Target="https://www.mondigroup.com/globalassets/mondigroup.com/investors/results-reports-and-presentations/2024/integrated-report-and-financial-statements/mondi-group-integrated-report-and-financial-statements-2024.pdf" TargetMode="External"/><Relationship Id="rId13" Type="http://schemas.openxmlformats.org/officeDocument/2006/relationships/hyperlink" Target="https://www.mondigroup.com/de/standorte/tschechien/mondi-steti/" TargetMode="External"/><Relationship Id="rId14" Type="http://schemas.openxmlformats.org/officeDocument/2006/relationships/hyperlink" Target="https://www.billerud.com/press--news/press-releases/2017/billerudkorsnas-unit-in-karlsborg-now-back-to-full-production" TargetMode="External"/><Relationship Id="rId15" Type="http://schemas.openxmlformats.org/officeDocument/2006/relationships/hyperlink" Target="https://www.importgenius.cn/importers/fortis-trading-ltd" TargetMode="External"/><Relationship Id="rId16" Type="http://schemas.openxmlformats.org/officeDocument/2006/relationships/hyperlink" Target="https://xzfg.moj.gov.cn/front/law/detail?LawID=15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未漂白纸袋纸反倾销税与第三国转运风险深度核查报告</dc:title>
  <dc:subject>反倾销税、易迅逐票数据、第三国转运与原产地核查</dc:subject>
  <dc:creator>反倾销税风险分析项目</dc:creator>
  <cp:keywords>未漂白纸袋纸;反倾销;易迅数据;第三国转运;原产地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