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120"/>
      </w:pPr>
      <w:r>
        <w:rPr>
          <w:rFonts w:ascii="Calibri" w:hAnsi="Calibri" w:eastAsia="Microsoft YaHei"/>
          <w:b/>
          <w:color w:val="7A5A00"/>
          <w:sz w:val="22"/>
        </w:rPr>
        <w:t>风险分析报告</w:t>
      </w:r>
    </w:p>
    <w:p>
      <w:pPr>
        <w:spacing w:after="160"/>
      </w:pPr>
      <w:r>
        <w:rPr>
          <w:rFonts w:ascii="Calibri" w:hAnsi="Calibri" w:eastAsia="Microsoft YaHei"/>
          <w:b/>
          <w:color w:val="0B2545"/>
          <w:sz w:val="50"/>
        </w:rPr>
        <w:t>粤港澳大湾区重点水运口岸</w:t>
        <w:br/>
        <w:t>冻品夹藏与绕关走私风险分析</w:t>
      </w:r>
    </w:p>
    <w:p>
      <w:pPr>
        <w:spacing w:after="480"/>
      </w:pPr>
      <w:r>
        <w:rPr>
          <w:rFonts w:ascii="Calibri" w:hAnsi="Calibri" w:eastAsia="Microsoft YaHei"/>
          <w:color w:val="1F4D78"/>
          <w:sz w:val="26"/>
        </w:rPr>
        <w:t>——南沙、东莞沙田及拱北海关管辖码头口岸；兼论山姆澳洲牛肉涨价与印度水牛肉经第三国绕道风险</w:t>
      </w:r>
    </w:p>
    <w:p>
      <w:pPr>
        <w:spacing w:before="0" w:after="80" w:line="252" w:lineRule="auto"/>
      </w:pPr>
      <w:r>
        <w:rPr>
          <w:rFonts w:ascii="Calibri" w:hAnsi="Calibri" w:eastAsia="Microsoft YaHei"/>
          <w:b/>
          <w:color w:val="0B2545"/>
          <w:sz w:val="21"/>
        </w:rPr>
        <w:t>评估范围：</w:t>
      </w:r>
      <w:r>
        <w:rPr>
          <w:rFonts w:ascii="Calibri" w:hAnsi="Calibri" w:eastAsia="Microsoft YaHei"/>
          <w:color w:val="000000"/>
          <w:sz w:val="21"/>
        </w:rPr>
        <w:t>正规设关码头的夹藏/伪报风险，以及周边水域、非设关地绕关风险</w:t>
      </w:r>
    </w:p>
    <w:p>
      <w:pPr>
        <w:spacing w:before="0" w:after="80" w:line="252" w:lineRule="auto"/>
      </w:pPr>
      <w:r>
        <w:rPr>
          <w:rFonts w:ascii="Calibri" w:hAnsi="Calibri" w:eastAsia="Microsoft YaHei"/>
          <w:b/>
          <w:color w:val="0B2545"/>
          <w:sz w:val="21"/>
        </w:rPr>
        <w:t>报告基准日：</w:t>
      </w:r>
      <w:r>
        <w:rPr>
          <w:rFonts w:ascii="Calibri" w:hAnsi="Calibri" w:eastAsia="Microsoft YaHei"/>
          <w:color w:val="000000"/>
          <w:sz w:val="21"/>
        </w:rPr>
        <w:t>2026年8月8日</w:t>
      </w:r>
    </w:p>
    <w:p>
      <w:pPr>
        <w:spacing w:before="0" w:after="80" w:line="252" w:lineRule="auto"/>
      </w:pPr>
      <w:r>
        <w:rPr>
          <w:rFonts w:ascii="Calibri" w:hAnsi="Calibri" w:eastAsia="Microsoft YaHei"/>
          <w:b/>
          <w:color w:val="0B2545"/>
          <w:sz w:val="21"/>
        </w:rPr>
        <w:t>资料基础：</w:t>
      </w:r>
      <w:r>
        <w:rPr>
          <w:rFonts w:ascii="Calibri" w:hAnsi="Calibri" w:eastAsia="Microsoft YaHei"/>
          <w:color w:val="000000"/>
          <w:sz w:val="21"/>
        </w:rPr>
        <w:t>政府、海关、司法机关、港口公开资料及公开贸易统计</w:t>
      </w:r>
    </w:p>
    <w:p>
      <w:pPr>
        <w:spacing w:before="0" w:after="80" w:line="252" w:lineRule="auto"/>
      </w:pPr>
      <w:r>
        <w:rPr>
          <w:rFonts w:ascii="Calibri" w:hAnsi="Calibri" w:eastAsia="Microsoft YaHei"/>
          <w:b/>
          <w:color w:val="0B2545"/>
          <w:sz w:val="21"/>
        </w:rPr>
        <w:t>证据边界：</w:t>
      </w:r>
      <w:r>
        <w:rPr>
          <w:rFonts w:ascii="Calibri" w:hAnsi="Calibri" w:eastAsia="Microsoft YaHei"/>
          <w:color w:val="000000"/>
          <w:sz w:val="21"/>
        </w:rPr>
        <w:t>未使用外贸公社数据；未取得企业级提单、报关单、采购合同或批次追溯材料</w:t>
      </w:r>
    </w:p>
    <w:p>
      <w:pPr>
        <w:spacing w:before="0" w:after="80" w:line="252" w:lineRule="auto"/>
      </w:pPr>
      <w:r>
        <w:rPr>
          <w:rFonts w:ascii="Calibri" w:hAnsi="Calibri" w:eastAsia="Microsoft YaHei"/>
          <w:b/>
          <w:color w:val="0B2545"/>
          <w:sz w:val="21"/>
        </w:rPr>
        <w:t>使用提示：</w:t>
      </w:r>
      <w:r>
        <w:rPr>
          <w:rFonts w:ascii="Calibri" w:hAnsi="Calibri" w:eastAsia="Microsoft YaHei"/>
          <w:color w:val="000000"/>
          <w:sz w:val="21"/>
        </w:rPr>
        <w:t>风险研判，不构成对山姆或任何具体企业、人员违法行为的认定</w:t>
      </w:r>
    </w:p>
    <w:p>
      <w:pPr>
        <w:spacing w:after="360"/>
        <w:pBdr>
          <w:bottom w:val="single" w:sz="12" w:space="6" w:color="2E74B5"/>
        </w:pBdr>
      </w:pPr>
    </w:p>
    <w:tbl>
      <w:tblPr>
        <w:tblW w:type="dxa" w:w="9360"/>
        <w:jc w:val="left"/>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tcMar>
              <w:top w:w="80" w:type="dxa"/>
              <w:start w:w="120" w:type="dxa"/>
              <w:bottom w:w="80" w:type="dxa"/>
              <w:end w:w="120" w:type="dxa"/>
            </w:tcMar>
            <w:vAlign w:val="center"/>
            <w:shd w:fill="F4F6F9"/>
          </w:tcPr>
          <w:p>
            <w:pPr>
              <w:spacing w:before="0" w:after="0" w:line="259" w:lineRule="auto"/>
              <w:jc w:val="left"/>
            </w:pPr>
            <w:r/>
            <w:r>
              <w:rPr>
                <w:rFonts w:ascii="Calibri" w:hAnsi="Calibri" w:eastAsia="Microsoft YaHei"/>
                <w:b w:val="0"/>
                <w:color w:val="0B2545"/>
                <w:sz w:val="21"/>
              </w:rPr>
              <w:t>核心提示：山姆澳洲牛肉涨价与2026年澳大利亚国别配额触发、配额外加征55%关税在时间和机制上高度吻合；它会提高灰色市场套利诱因，但公开资料不能据此推出山姆供应链存在走私冻品。当前更值得关注的是涨价外溢至批发、餐饮、加工和电商渠道后，对低价来源不明冻牛肉的需求拉动。</w:t>
            </w:r>
          </w:p>
        </w:tc>
      </w:tr>
    </w:tbl>
    <w:p>
      <w:r>
        <w:br w:type="page"/>
      </w:r>
    </w:p>
    <w:p>
      <w:pPr>
        <w:pStyle w:val="Heading1"/>
      </w:pPr>
      <w:r>
        <w:t>执行摘要</w:t>
      </w:r>
    </w:p>
    <w:p>
      <w:pPr>
        <w:keepLines w:val="0"/>
        <w:spacing w:after="120"/>
      </w:pPr>
      <w:r>
        <w:rPr>
          <w:rFonts w:ascii="Calibri" w:hAnsi="Calibri" w:eastAsia="Microsoft YaHei"/>
          <w:color w:val="000000"/>
          <w:sz w:val="22"/>
        </w:rPr>
        <w:t>本报告把“正规口岸夹藏/伪报”和“非设关地绕关”作为两类不同风险评估。前者依附合法舱单、冷藏箱和申报链条，主要表现为品名、原产地、生产企业、数量或证书异常；后者通常绕开口岸查验，以海上接驳、快艇/小船转运、非设关码头卸载及冻库中转为链条。公开案例表明，珠江口历史上规模更大、可验证性更强的是后者。</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740"/>
        <w:gridCol w:w="1560"/>
        <w:gridCol w:w="4680"/>
        <w:gridCol w:w="1380"/>
      </w:tblGrid>
      <w:tr>
        <w:trPr>
          <w:tblHeader w:val="true"/>
          <w:cantSplit/>
        </w:trPr>
        <w:tc>
          <w:tcPr>
            <w:tcW w:type="dxa" w:w="174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研判对象</w:t>
            </w:r>
          </w:p>
        </w:tc>
        <w:tc>
          <w:tcPr>
            <w:tcW w:type="dxa" w:w="156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风险等级</w:t>
            </w:r>
          </w:p>
        </w:tc>
        <w:tc>
          <w:tcPr>
            <w:tcW w:type="dxa" w:w="46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核心判断</w:t>
            </w:r>
          </w:p>
        </w:tc>
        <w:tc>
          <w:tcPr>
            <w:tcW w:type="dxa" w:w="13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证据置信度</w:t>
            </w:r>
          </w:p>
        </w:tc>
      </w:tr>
      <w:tr>
        <w:trPr>
          <w:cantSplit/>
        </w:trPr>
        <w:tc>
          <w:tcPr>
            <w:tcW w:type="dxa" w:w="17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山姆澳洲牛肉涨价</w:t>
            </w:r>
          </w:p>
        </w:tc>
        <w:tc>
          <w:tcPr>
            <w:tcW w:type="dxa" w:w="15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直接涉私风险：低</w:t>
              <w:br/>
              <w:t>市场外溢风险：中高</w:t>
            </w:r>
          </w:p>
        </w:tc>
        <w:tc>
          <w:tcPr>
            <w:tcW w:type="dxa" w:w="4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涨价与澳洲配额用尽、配额外加征55%关税相吻合；没有公开证据指向山姆采购链涉私。涨价会扩大低价非法冻肉与合规澳牛之间的价差。</w:t>
            </w:r>
          </w:p>
        </w:tc>
        <w:tc>
          <w:tcPr>
            <w:tcW w:type="dxa" w:w="13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中高</w:t>
            </w:r>
          </w:p>
        </w:tc>
      </w:tr>
      <w:tr>
        <w:trPr>
          <w:cantSplit/>
        </w:trPr>
        <w:tc>
          <w:tcPr>
            <w:tcW w:type="dxa" w:w="17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南沙正规口岸</w:t>
            </w:r>
          </w:p>
        </w:tc>
        <w:tc>
          <w:tcPr>
            <w:tcW w:type="dxa" w:w="15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w:t>
            </w:r>
          </w:p>
        </w:tc>
        <w:tc>
          <w:tcPr>
            <w:tcW w:type="dxa" w:w="4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超大冷链和高吞吐带来夹藏/伪报暴露面；指定监管场地和数字化监控形成明显控制抵消。</w:t>
            </w:r>
          </w:p>
        </w:tc>
        <w:tc>
          <w:tcPr>
            <w:tcW w:type="dxa" w:w="13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中高</w:t>
            </w:r>
          </w:p>
        </w:tc>
      </w:tr>
      <w:tr>
        <w:trPr>
          <w:cantSplit/>
        </w:trPr>
        <w:tc>
          <w:tcPr>
            <w:tcW w:type="dxa" w:w="17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南沙周边水域/非设关点</w:t>
            </w:r>
          </w:p>
        </w:tc>
        <w:tc>
          <w:tcPr>
            <w:tcW w:type="dxa" w:w="15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高</w:t>
            </w:r>
          </w:p>
        </w:tc>
        <w:tc>
          <w:tcPr>
            <w:tcW w:type="dxa" w:w="4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典型案例已证实以南沙水道、黑码头、冻库中转实施冻品走私。</w:t>
            </w:r>
          </w:p>
        </w:tc>
        <w:tc>
          <w:tcPr>
            <w:tcW w:type="dxa" w:w="13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高</w:t>
            </w:r>
          </w:p>
        </w:tc>
      </w:tr>
      <w:tr>
        <w:trPr>
          <w:cantSplit/>
        </w:trPr>
        <w:tc>
          <w:tcPr>
            <w:tcW w:type="dxa" w:w="17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东莞沙田正规口岸</w:t>
            </w:r>
          </w:p>
        </w:tc>
        <w:tc>
          <w:tcPr>
            <w:tcW w:type="dxa" w:w="15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w:t>
            </w:r>
          </w:p>
        </w:tc>
        <w:tc>
          <w:tcPr>
            <w:tcW w:type="dxa" w:w="4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对越直航、冷藏插头和综合货流提高第三国货物流入可达性；重点风险在原产地、单证、货物一致性。</w:t>
            </w:r>
          </w:p>
        </w:tc>
        <w:tc>
          <w:tcPr>
            <w:tcW w:type="dxa" w:w="13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w:t>
            </w:r>
          </w:p>
        </w:tc>
      </w:tr>
      <w:tr>
        <w:trPr>
          <w:cantSplit/>
        </w:trPr>
        <w:tc>
          <w:tcPr>
            <w:tcW w:type="dxa" w:w="17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东莞辖区水域/非设关点</w:t>
            </w:r>
          </w:p>
        </w:tc>
        <w:tc>
          <w:tcPr>
            <w:tcW w:type="dxa" w:w="15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中高</w:t>
            </w:r>
          </w:p>
        </w:tc>
        <w:tc>
          <w:tcPr>
            <w:tcW w:type="dxa" w:w="4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2025年东莞辖区海域查获220余吨无合法来源、未经检验检疫冻品，说明现实威胁仍在。</w:t>
            </w:r>
          </w:p>
        </w:tc>
        <w:tc>
          <w:tcPr>
            <w:tcW w:type="dxa" w:w="13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中高</w:t>
            </w:r>
          </w:p>
        </w:tc>
      </w:tr>
      <w:tr>
        <w:trPr>
          <w:cantSplit/>
        </w:trPr>
        <w:tc>
          <w:tcPr>
            <w:tcW w:type="dxa" w:w="17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拱北海关辖区码头及水域</w:t>
            </w:r>
          </w:p>
        </w:tc>
        <w:tc>
          <w:tcPr>
            <w:tcW w:type="dxa" w:w="15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正规港区：中低—中</w:t>
              <w:br/>
              <w:t>万山/担杆等海域：很高</w:t>
            </w:r>
          </w:p>
        </w:tc>
        <w:tc>
          <w:tcPr>
            <w:tcW w:type="dxa" w:w="4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珠海港口岸点多线长；公开案例显示珠江口、担杆岛周边存在大批量海上绕关历史。</w:t>
            </w:r>
          </w:p>
        </w:tc>
        <w:tc>
          <w:tcPr>
            <w:tcW w:type="dxa" w:w="13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高</w:t>
            </w:r>
          </w:p>
        </w:tc>
      </w:tr>
      <w:tr>
        <w:trPr>
          <w:cantSplit/>
        </w:trPr>
        <w:tc>
          <w:tcPr>
            <w:tcW w:type="dxa" w:w="17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印度水牛肉经越南等第三国</w:t>
            </w:r>
          </w:p>
        </w:tc>
        <w:tc>
          <w:tcPr>
            <w:tcW w:type="dxa" w:w="15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总体：中高</w:t>
            </w:r>
          </w:p>
        </w:tc>
        <w:tc>
          <w:tcPr>
            <w:tcW w:type="dxa" w:w="4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印度对越南出口规模大、单位价值低，具备供应与套利基础；风险更可能通过中越边境或珠江口非设关链条兑现。</w:t>
            </w:r>
          </w:p>
        </w:tc>
        <w:tc>
          <w:tcPr>
            <w:tcW w:type="dxa" w:w="13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中高</w:t>
            </w:r>
          </w:p>
        </w:tc>
      </w:tr>
    </w:tbl>
    <w:p>
      <w:pPr>
        <w:spacing w:before="80" w:after="80" w:line="240" w:lineRule="auto"/>
      </w:pPr>
      <w:r>
        <w:rPr>
          <w:rFonts w:ascii="Calibri" w:hAnsi="Calibri" w:eastAsia="Microsoft YaHei"/>
          <w:color w:val="687386"/>
          <w:sz w:val="17"/>
        </w:rPr>
        <w:t>注：等级为定性剩余风险，不代表案件发生概率；“很高”用于需要优先配置核查资源的场景。证据置信度衡量公开资料对该判断的支持程度。</w:t>
      </w:r>
    </w:p>
    <w:p>
      <w:pPr>
        <w:pStyle w:val="Heading2"/>
      </w:pPr>
      <w:r>
        <w:t>结论先行</w:t>
      </w:r>
    </w:p>
    <w:p>
      <w:pPr>
        <w:spacing w:after="160" w:line="280" w:lineRule="auto"/>
        <w:ind w:left="720" w:hanging="360"/>
        <w:numPr>
          <w:ilvl w:val="0"/>
          <w:numId w:val="1"/>
        </w:numPr>
      </w:pPr>
      <w:r>
        <w:rPr>
          <w:rFonts w:ascii="Calibri" w:hAnsi="Calibri" w:eastAsia="Microsoft YaHei"/>
          <w:color w:val="000000"/>
          <w:sz w:val="22"/>
        </w:rPr>
        <w:t>价格信号不是违法证据。2026年6月18日澳大利亚牛肉进口达到年度国别配额100%，自第3日起配额外进口在现行税率基础上加征55%关税；7月初山姆多款澳洲牛肉价格上调，时间上紧随政策成本冲击。[1][2][3]</w:t>
      </w:r>
    </w:p>
    <w:p>
      <w:pPr>
        <w:spacing w:after="160" w:line="280" w:lineRule="auto"/>
        <w:ind w:left="720" w:hanging="360"/>
        <w:numPr>
          <w:ilvl w:val="0"/>
          <w:numId w:val="1"/>
        </w:numPr>
      </w:pPr>
      <w:r>
        <w:rPr>
          <w:rFonts w:ascii="Calibri" w:hAnsi="Calibri" w:eastAsia="Microsoft YaHei"/>
          <w:color w:val="000000"/>
          <w:sz w:val="22"/>
        </w:rPr>
        <w:t>政策冲击会改变走私经济性。合规澳牛的边际进口成本抬升后，未经准入的低价冻肉、虚假原产地货物和来源不明替代品的套利空间增加；最先承压的通常不是大型会员店的封闭采购链，而是价格敏感、追溯较弱的批发、餐饮、加工和电商渠道。</w:t>
      </w:r>
    </w:p>
    <w:p>
      <w:pPr>
        <w:spacing w:after="160" w:line="280" w:lineRule="auto"/>
        <w:ind w:left="720" w:hanging="360"/>
        <w:numPr>
          <w:ilvl w:val="0"/>
          <w:numId w:val="1"/>
        </w:numPr>
      </w:pPr>
      <w:r>
        <w:rPr>
          <w:rFonts w:ascii="Calibri" w:hAnsi="Calibri" w:eastAsia="Microsoft YaHei"/>
          <w:color w:val="000000"/>
          <w:sz w:val="22"/>
        </w:rPr>
        <w:t>三地应分“口岸内”和“口岸外”监管。南沙、沙田正规口岸均有完整舱单、查验和场所控制，夹藏仍有风险但并非最高；珠江口水域、岛屿锚地、非设关码头与冻库的跨链条联动，才是公开案例反复出现的高风险结构。[8][9][10][11]</w:t>
      </w:r>
    </w:p>
    <w:p>
      <w:pPr>
        <w:spacing w:after="160" w:line="280" w:lineRule="auto"/>
        <w:ind w:left="720" w:hanging="360"/>
        <w:numPr>
          <w:ilvl w:val="0"/>
          <w:numId w:val="1"/>
        </w:numPr>
      </w:pPr>
      <w:r>
        <w:rPr>
          <w:rFonts w:ascii="Calibri" w:hAnsi="Calibri" w:eastAsia="Microsoft YaHei"/>
          <w:color w:val="000000"/>
          <w:sz w:val="22"/>
        </w:rPr>
        <w:t>印度货的核心是水牛肉（carabeef），不能与山姆澳大利亚谷饲牛肉作同质商品比较。其低单位价值能强化替代和掺混动机，但若进入中国市场，最可能出现在去骨冻肉、切片、碎肉、调理肉或深加工环节。</w:t>
      </w:r>
    </w:p>
    <w:p>
      <w:pPr>
        <w:spacing w:after="160" w:line="280" w:lineRule="auto"/>
        <w:ind w:left="720" w:hanging="360"/>
        <w:numPr>
          <w:ilvl w:val="0"/>
          <w:numId w:val="1"/>
        </w:numPr>
      </w:pPr>
      <w:r>
        <w:rPr>
          <w:rFonts w:ascii="Calibri" w:hAnsi="Calibri" w:eastAsia="Microsoft YaHei"/>
          <w:color w:val="000000"/>
          <w:sz w:val="22"/>
        </w:rPr>
        <w:t>“印度—越南—中国”具备结构性风险，不等于已证实具体批次绕道。2025年公开贸易数据中，印度对越南HS 020230出口约17.06万吨、约6.24亿美元；越南又具备贴近中国的陆海通道。判断必须进一步依靠企业、提单、报关、冷库和批次数据闭环。</w:t>
      </w:r>
    </w:p>
    <w:p>
      <w:pPr>
        <w:pStyle w:val="Heading1"/>
      </w:pPr>
      <w:r>
        <w:t>1. 范围、定义与方法</w:t>
      </w:r>
    </w:p>
    <w:p>
      <w:pPr>
        <w:pStyle w:val="Heading2"/>
      </w:pPr>
      <w:r>
        <w:t>1.1 研究对象</w:t>
      </w:r>
    </w:p>
    <w:p>
      <w:pPr>
        <w:keepLines w:val="0"/>
        <w:spacing w:after="120"/>
      </w:pPr>
      <w:r>
        <w:rPr>
          <w:rFonts w:ascii="Calibri" w:hAnsi="Calibri" w:eastAsia="Microsoft YaHei"/>
          <w:color w:val="000000"/>
          <w:sz w:val="22"/>
        </w:rPr>
        <w:t>空间范围包括广州南沙口岸及周边水道、东莞港沙田港区及东莞辖区水域，以及拱北海关辖区内珠海港口岸相关港区与邻近万山群岛水域。根据2024年国务院批复后的整合口径，珠海港口岸相应设置高栏、斗门、洪湾、九洲、万山、唐家六个港区。[7]</w:t>
      </w:r>
    </w:p>
    <w:p>
      <w:pPr>
        <w:keepLines w:val="0"/>
        <w:spacing w:after="120"/>
      </w:pPr>
      <w:r>
        <w:rPr>
          <w:rFonts w:ascii="Calibri" w:hAnsi="Calibri" w:eastAsia="Microsoft YaHei"/>
          <w:color w:val="000000"/>
          <w:sz w:val="22"/>
        </w:rPr>
        <w:t>商品范围以冻牛肉为主，并将冻鸡爪、猪副产品等历史查获物作为走私网络能力的旁证。重点关注HS 0201、0202、0206及可能用于加工或伪报的HS 1602等。</w:t>
      </w:r>
    </w:p>
    <w:p>
      <w:pPr>
        <w:pStyle w:val="Heading2"/>
      </w:pPr>
      <w:r>
        <w:t>1.2 概念拆分</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680"/>
        <w:gridCol w:w="4320"/>
        <w:gridCol w:w="3360"/>
      </w:tblGrid>
      <w:tr>
        <w:trPr>
          <w:tblHeader w:val="true"/>
          <w:cantSplit/>
        </w:trPr>
        <w:tc>
          <w:tcPr>
            <w:tcW w:type="dxa" w:w="16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风险类型</w:t>
            </w:r>
          </w:p>
        </w:tc>
        <w:tc>
          <w:tcPr>
            <w:tcW w:type="dxa" w:w="432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定义</w:t>
            </w:r>
          </w:p>
        </w:tc>
        <w:tc>
          <w:tcPr>
            <w:tcW w:type="dxa" w:w="336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主要核查抓手</w:t>
            </w:r>
          </w:p>
        </w:tc>
      </w:tr>
      <w:tr>
        <w:trPr>
          <w:cantSplit/>
        </w:trPr>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正规口岸夹藏</w:t>
            </w:r>
          </w:p>
        </w:tc>
        <w:tc>
          <w:tcPr>
            <w:tcW w:type="dxa" w:w="43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将未申报冻品混入合法冷藏箱或其他申报货物；也包括箱内货物与舱单/装箱单不一致</w:t>
            </w:r>
          </w:p>
        </w:tc>
        <w:tc>
          <w:tcPr>
            <w:tcW w:type="dxa" w:w="33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箱单差异、重量密度、扫描图像、开箱比例、温度曲线</w:t>
            </w:r>
          </w:p>
        </w:tc>
      </w:tr>
      <w:tr>
        <w:trPr>
          <w:cantSplit/>
        </w:trPr>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正规口岸伪报</w:t>
            </w:r>
          </w:p>
        </w:tc>
        <w:tc>
          <w:tcPr>
            <w:tcW w:type="dxa" w:w="43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伪报品名、数量、价格、原产地、生产企业或用途，配套虚假证书/标签</w:t>
            </w:r>
          </w:p>
        </w:tc>
        <w:tc>
          <w:tcPr>
            <w:tcW w:type="dxa" w:w="33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准入清单、CIFER注册、健康证、原产地证、生产批号、估价</w:t>
            </w:r>
          </w:p>
        </w:tc>
      </w:tr>
      <w:tr>
        <w:trPr>
          <w:cantSplit/>
        </w:trPr>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海上绕关</w:t>
            </w:r>
          </w:p>
        </w:tc>
        <w:tc>
          <w:tcPr>
            <w:tcW w:type="dxa" w:w="43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在境外或锚地由母船转驳至小型船舶，经非设关水域/码头卸货</w:t>
            </w:r>
          </w:p>
        </w:tc>
        <w:tc>
          <w:tcPr>
            <w:tcW w:type="dxa" w:w="33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AIS异常、夜间靠泊、船货不匹配、岸线视频、船车接驳</w:t>
            </w:r>
          </w:p>
        </w:tc>
      </w:tr>
      <w:tr>
        <w:trPr>
          <w:cantSplit/>
        </w:trPr>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第三国绕道</w:t>
            </w:r>
          </w:p>
        </w:tc>
        <w:tc>
          <w:tcPr>
            <w:tcW w:type="dxa" w:w="43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货物经越南等地换单、换签、换包装、简单加工或虚构原产地后再进入中国</w:t>
            </w:r>
          </w:p>
        </w:tc>
        <w:tc>
          <w:tcPr>
            <w:tcW w:type="dxa" w:w="33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上游印度货源、短停留再出口、产能不匹配、包装内外层冲突</w:t>
            </w:r>
          </w:p>
        </w:tc>
      </w:tr>
      <w:tr>
        <w:trPr>
          <w:cantSplit/>
        </w:trPr>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掺混/替代</w:t>
            </w:r>
          </w:p>
        </w:tc>
        <w:tc>
          <w:tcPr>
            <w:tcW w:type="dxa" w:w="43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在切片、碎肉、调理或餐饮加工环节，以低价水牛肉替代或混入标称牛肉</w:t>
            </w:r>
          </w:p>
        </w:tc>
        <w:tc>
          <w:tcPr>
            <w:tcW w:type="dxa" w:w="33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批次追溯、物种PCR、采购量—销量平衡、配方和损耗</w:t>
            </w:r>
          </w:p>
        </w:tc>
      </w:tr>
    </w:tbl>
    <w:p>
      <w:pPr>
        <w:pStyle w:val="Heading2"/>
      </w:pPr>
      <w:r>
        <w:t>1.3 评级方法与证据边界</w:t>
      </w:r>
    </w:p>
    <w:p>
      <w:pPr>
        <w:keepLines w:val="0"/>
        <w:spacing w:after="120"/>
      </w:pPr>
      <w:r>
        <w:rPr>
          <w:rFonts w:ascii="Calibri" w:hAnsi="Calibri" w:eastAsia="Microsoft YaHei"/>
          <w:color w:val="000000"/>
          <w:sz w:val="22"/>
        </w:rPr>
        <w:t>评级综合考虑四项因素：可实现性（航线、码头、冷链和周边水域条件）、经济动机（价差、税负和市场需求）、历史验证（司法/执法案例）、控制强度（指定监管场地、单证核验、视频、查验与追溯）。本报告不把单一价格、单一航线或单一历史案件作为当前违法结论。</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9360"/>
      </w:tblGrid>
      <w:tr>
        <w:tc>
          <w:tcPr>
            <w:tcW w:type="dxa" w:w="9360"/>
            <w:tcMar>
              <w:top w:w="80" w:type="dxa"/>
              <w:start w:w="120" w:type="dxa"/>
              <w:bottom w:w="80" w:type="dxa"/>
              <w:end w:w="120" w:type="dxa"/>
            </w:tcMar>
            <w:vAlign w:val="center"/>
            <w:shd w:fill="FFF8E8"/>
          </w:tcPr>
          <w:p>
            <w:pPr>
              <w:spacing w:after="0" w:line="259" w:lineRule="auto"/>
            </w:pPr>
            <w:r/>
            <w:r>
              <w:rPr>
                <w:rFonts w:ascii="Calibri" w:hAnsi="Calibri" w:eastAsia="Microsoft YaHei"/>
                <w:b/>
                <w:color w:val="7A5A00"/>
                <w:sz w:val="20"/>
              </w:rPr>
              <w:t>重要限制：</w:t>
            </w:r>
            <w:r>
              <w:rPr>
                <w:rFonts w:ascii="Calibri" w:hAnsi="Calibri" w:eastAsia="Microsoft YaHei"/>
                <w:color w:val="7A5A00"/>
                <w:sz w:val="20"/>
              </w:rPr>
              <w:t>外贸公社账号已过期，本次未调用、未抓取也未引用其数据。因此，报告不能识别具体提单、发货人、收货人、集装箱或企业关系网络；所有企业级结论均标记为“待核验”。</w:t>
            </w:r>
          </w:p>
        </w:tc>
      </w:tr>
    </w:tbl>
    <w:p>
      <w:pPr>
        <w:pStyle w:val="Heading1"/>
      </w:pPr>
      <w:r>
        <w:t>2. 市场与政策背景：山姆牛肉为何涨价</w:t>
      </w:r>
    </w:p>
    <w:p>
      <w:pPr>
        <w:pStyle w:val="Heading2"/>
      </w:pPr>
      <w:r>
        <w:t>2.1 配额触发构成最强解释变量</w:t>
      </w:r>
    </w:p>
    <w:p>
      <w:pPr>
        <w:keepLines w:val="0"/>
        <w:spacing w:after="120"/>
      </w:pPr>
      <w:r>
        <w:rPr>
          <w:rFonts w:ascii="Calibri" w:hAnsi="Calibri" w:eastAsia="Microsoft YaHei"/>
          <w:color w:val="000000"/>
          <w:sz w:val="22"/>
        </w:rPr>
        <w:t>商务部自2026年1月1日起对进口牛肉实施为期三年的国别配额及配额外加征关税措施。澳大利亚年度配额分别为2026年20.5万吨、2027年20.9万吨、2028年21.3万吨；三年配额外加征税率均为55%。2026年6月18日，澳大利亚进口量达到当年配额100%，按照“达到规定数量第3日起”执行的规则，配额外货物自6月20日起承受显著额外税负。[1][2]</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780"/>
        <w:gridCol w:w="1740"/>
        <w:gridCol w:w="1740"/>
        <w:gridCol w:w="2100"/>
      </w:tblGrid>
      <w:tr>
        <w:trPr>
          <w:tblHeader w:val="true"/>
          <w:cantSplit/>
        </w:trPr>
        <w:tc>
          <w:tcPr>
            <w:tcW w:type="dxa" w:w="37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8"/>
              </w:rPr>
              <w:t>公开报道SKU</w:t>
            </w:r>
          </w:p>
        </w:tc>
        <w:tc>
          <w:tcPr>
            <w:tcW w:type="dxa" w:w="174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8"/>
              </w:rPr>
              <w:t>调整前</w:t>
            </w:r>
          </w:p>
        </w:tc>
        <w:tc>
          <w:tcPr>
            <w:tcW w:type="dxa" w:w="174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8"/>
              </w:rPr>
              <w:t>调整后</w:t>
            </w:r>
          </w:p>
        </w:tc>
        <w:tc>
          <w:tcPr>
            <w:tcW w:type="dxa" w:w="210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8"/>
              </w:rPr>
              <w:t>涨幅</w:t>
            </w:r>
          </w:p>
        </w:tc>
      </w:tr>
      <w:tr>
        <w:trPr>
          <w:cantSplit/>
        </w:trPr>
        <w:tc>
          <w:tcPr>
            <w:tcW w:type="dxa" w:w="37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澳洲谷饲上脑薄切 800g</w:t>
            </w:r>
          </w:p>
        </w:tc>
        <w:tc>
          <w:tcPr>
            <w:tcW w:type="dxa" w:w="17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109.4元</w:t>
            </w:r>
          </w:p>
        </w:tc>
        <w:tc>
          <w:tcPr>
            <w:tcW w:type="dxa" w:w="17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125.4元</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+14.6%</w:t>
            </w:r>
          </w:p>
        </w:tc>
      </w:tr>
      <w:tr>
        <w:trPr>
          <w:cantSplit/>
        </w:trPr>
        <w:tc>
          <w:tcPr>
            <w:tcW w:type="dxa" w:w="37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澳洲谷饲牛霖 1200g</w:t>
            </w:r>
          </w:p>
        </w:tc>
        <w:tc>
          <w:tcPr>
            <w:tcW w:type="dxa" w:w="17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约119.7元</w:t>
            </w:r>
          </w:p>
        </w:tc>
        <w:tc>
          <w:tcPr>
            <w:tcW w:type="dxa" w:w="17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161.7元</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+35.1%</w:t>
            </w:r>
          </w:p>
        </w:tc>
      </w:tr>
      <w:tr>
        <w:trPr>
          <w:cantSplit/>
        </w:trPr>
        <w:tc>
          <w:tcPr>
            <w:tcW w:type="dxa" w:w="37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澳洲谷饲肥牛薄片 900g</w:t>
            </w:r>
          </w:p>
        </w:tc>
        <w:tc>
          <w:tcPr>
            <w:tcW w:type="dxa" w:w="17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105.1元</w:t>
            </w:r>
          </w:p>
        </w:tc>
        <w:tc>
          <w:tcPr>
            <w:tcW w:type="dxa" w:w="17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123.1元</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+17.1%</w:t>
            </w:r>
          </w:p>
        </w:tc>
      </w:tr>
    </w:tbl>
    <w:p>
      <w:pPr>
        <w:spacing w:before="80" w:after="80" w:line="240" w:lineRule="auto"/>
      </w:pPr>
      <w:r>
        <w:rPr>
          <w:rFonts w:ascii="Calibri" w:hAnsi="Calibri" w:eastAsia="Microsoft YaHei"/>
          <w:color w:val="687386"/>
          <w:sz w:val="17"/>
        </w:rPr>
        <w:t>来源：光明网转载经济日报综合报道，2026年7月5日。报道同时引述山姆客服称，涨价与澳洲牛肉进口配额及贸易政策导致供应链成本上升有关。[3] 该表为公开价格样本，不代表全部门店和全部SKU。</w:t>
      </w:r>
    </w:p>
    <w:p>
      <w:pPr>
        <w:pStyle w:val="Heading2"/>
      </w:pPr>
      <w:r>
        <w:t>2.2 涨价与走私风险之间的真实传导</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680"/>
        <w:gridCol w:w="5520"/>
        <w:gridCol w:w="2160"/>
      </w:tblGrid>
      <w:tr>
        <w:trPr>
          <w:tblHeader w:val="true"/>
          <w:cantSplit/>
        </w:trPr>
        <w:tc>
          <w:tcPr>
            <w:tcW w:type="dxa" w:w="16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8"/>
              </w:rPr>
              <w:t>环节</w:t>
            </w:r>
          </w:p>
        </w:tc>
        <w:tc>
          <w:tcPr>
            <w:tcW w:type="dxa" w:w="552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8"/>
              </w:rPr>
              <w:t>机制</w:t>
            </w:r>
          </w:p>
        </w:tc>
        <w:tc>
          <w:tcPr>
            <w:tcW w:type="dxa" w:w="216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8"/>
              </w:rPr>
              <w:t>证据状态</w:t>
            </w:r>
          </w:p>
        </w:tc>
      </w:tr>
      <w:tr>
        <w:trPr>
          <w:cantSplit/>
        </w:trPr>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成本冲击</w:t>
            </w:r>
          </w:p>
        </w:tc>
        <w:tc>
          <w:tcPr>
            <w:tcW w:type="dxa" w:w="55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澳牛配额外税负上升，合规到岸成本提高</w:t>
            </w:r>
          </w:p>
        </w:tc>
        <w:tc>
          <w:tcPr>
            <w:tcW w:type="dxa" w:w="21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已证实</w:t>
            </w:r>
          </w:p>
        </w:tc>
      </w:tr>
      <w:tr>
        <w:trPr>
          <w:cantSplit/>
        </w:trPr>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零售调价</w:t>
            </w:r>
          </w:p>
        </w:tc>
        <w:tc>
          <w:tcPr>
            <w:tcW w:type="dxa" w:w="55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部分山姆澳牛SKU提价或线上供应收紧</w:t>
            </w:r>
          </w:p>
        </w:tc>
        <w:tc>
          <w:tcPr>
            <w:tcW w:type="dxa" w:w="21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公开报道支持</w:t>
            </w:r>
          </w:p>
        </w:tc>
      </w:tr>
      <w:tr>
        <w:trPr>
          <w:cantSplit/>
        </w:trPr>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需求替代</w:t>
            </w:r>
          </w:p>
        </w:tc>
        <w:tc>
          <w:tcPr>
            <w:tcW w:type="dxa" w:w="55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消费者/餐饮转向更便宜部位、其他产地或加工肉</w:t>
            </w:r>
          </w:p>
        </w:tc>
        <w:tc>
          <w:tcPr>
            <w:tcW w:type="dxa" w:w="21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高概率推断</w:t>
            </w:r>
          </w:p>
        </w:tc>
      </w:tr>
      <w:tr>
        <w:trPr>
          <w:cantSplit/>
        </w:trPr>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非法套利</w:t>
            </w:r>
          </w:p>
        </w:tc>
        <w:tc>
          <w:tcPr>
            <w:tcW w:type="dxa" w:w="55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来源不明冻肉、伪原产地或未经准入货物的价差扩大</w:t>
            </w:r>
          </w:p>
        </w:tc>
        <w:tc>
          <w:tcPr>
            <w:tcW w:type="dxa" w:w="21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结构性风险</w:t>
            </w:r>
          </w:p>
        </w:tc>
      </w:tr>
      <w:tr>
        <w:trPr>
          <w:cantSplit/>
        </w:trPr>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山姆供应链被污染</w:t>
            </w:r>
          </w:p>
        </w:tc>
        <w:tc>
          <w:tcPr>
            <w:tcW w:type="dxa" w:w="55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需有采购、报关、批次和检测证据才能成立</w:t>
            </w:r>
          </w:p>
        </w:tc>
        <w:tc>
          <w:tcPr>
            <w:tcW w:type="dxa" w:w="21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当前无公开证据</w:t>
            </w:r>
          </w:p>
        </w:tc>
      </w:tr>
    </w:tbl>
    <w:p>
      <w:pPr>
        <w:keepLines w:val="0"/>
        <w:spacing w:after="120"/>
      </w:pPr>
      <w:r>
        <w:rPr>
          <w:rFonts w:ascii="Calibri" w:hAnsi="Calibri" w:eastAsia="Microsoft YaHei"/>
          <w:color w:val="000000"/>
          <w:sz w:val="22"/>
        </w:rPr>
        <w:t>由此应把“山姆是否涉险”拆成两个问题：其一，价格上涨是否提高整个市场的走私诱因——答案是肯定；其二，山姆自身是否采购了走私或伪报牛肉——当前公开信息不足以支持，直接风险评为低。</w:t>
      </w:r>
    </w:p>
    <w:p>
      <w:pPr>
        <w:pStyle w:val="Heading1"/>
      </w:pPr>
      <w:r>
        <w:t>3. 南沙口岸风险分析</w:t>
      </w:r>
    </w:p>
    <w:p>
      <w:pPr>
        <w:pStyle w:val="Heading2"/>
      </w:pPr>
      <w:r>
        <w:t>3.1 口岸特征与控制基础</w:t>
      </w:r>
    </w:p>
    <w:p>
      <w:pPr>
        <w:keepLines w:val="0"/>
        <w:spacing w:after="120"/>
      </w:pPr>
      <w:r>
        <w:rPr>
          <w:rFonts w:ascii="Calibri" w:hAnsi="Calibri" w:eastAsia="Microsoft YaHei"/>
          <w:color w:val="000000"/>
          <w:sz w:val="22"/>
        </w:rPr>
        <w:t>南沙具备大型国际集装箱和冷链集散能力。南沙区政府公开资料显示，南沙港区国际集装箱航线超过150条，连接100多个国家和地区的300多个港口；南沙国际冷链具有冻肉等进口资质，并可同时查验162个进口冷链货柜，场区配置大量视频监控，形成“港口+园区”冷链集散模式。[5]</w:t>
      </w:r>
    </w:p>
    <w:p>
      <w:pPr>
        <w:keepLines w:val="0"/>
        <w:spacing w:after="120"/>
      </w:pPr>
      <w:r>
        <w:rPr>
          <w:rFonts w:ascii="Calibri" w:hAnsi="Calibri" w:eastAsia="Microsoft YaHei"/>
          <w:color w:val="000000"/>
          <w:sz w:val="22"/>
        </w:rPr>
        <w:t>这组条件同时带来两种相反效应：规模、航线和货物复杂度增加风险暴露面；指定监管场地、电子放货、摄像和集中查验又提高被发现概率。因此，正规口岸的剩余风险不宜简单按吞吐量评为高。</w:t>
      </w:r>
    </w:p>
    <w:p>
      <w:pPr>
        <w:pStyle w:val="Heading2"/>
      </w:pPr>
      <w:r>
        <w:t>3.2 主要风险场景</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20"/>
        <w:gridCol w:w="1080"/>
        <w:gridCol w:w="5760"/>
      </w:tblGrid>
      <w:tr>
        <w:trPr>
          <w:tblHeader w:val="true"/>
          <w:cantSplit/>
        </w:trPr>
        <w:tc>
          <w:tcPr>
            <w:tcW w:type="dxa" w:w="252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场景</w:t>
            </w:r>
          </w:p>
        </w:tc>
        <w:tc>
          <w:tcPr>
            <w:tcW w:type="dxa" w:w="10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风险</w:t>
            </w:r>
          </w:p>
        </w:tc>
        <w:tc>
          <w:tcPr>
            <w:tcW w:type="dxa" w:w="576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判断依据/核查重点</w:t>
            </w:r>
          </w:p>
        </w:tc>
      </w:tr>
      <w:tr>
        <w:trPr>
          <w:cantSplit/>
        </w:trPr>
        <w:tc>
          <w:tcPr>
            <w:tcW w:type="dxa" w:w="25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原产地/生产企业伪报</w:t>
            </w:r>
          </w:p>
        </w:tc>
        <w:tc>
          <w:tcPr>
            <w:tcW w:type="dxa" w:w="10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中高</w:t>
            </w:r>
          </w:p>
        </w:tc>
        <w:tc>
          <w:tcPr>
            <w:tcW w:type="dxa" w:w="57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第三国换单、证书或标签与内包装/生产批次不一致；需联查CIFER和健康证</w:t>
            </w:r>
          </w:p>
        </w:tc>
      </w:tr>
      <w:tr>
        <w:trPr>
          <w:cantSplit/>
        </w:trPr>
        <w:tc>
          <w:tcPr>
            <w:tcW w:type="dxa" w:w="25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冷藏箱内夹藏</w:t>
            </w:r>
          </w:p>
        </w:tc>
        <w:tc>
          <w:tcPr>
            <w:tcW w:type="dxa" w:w="10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w:t>
            </w:r>
          </w:p>
        </w:tc>
        <w:tc>
          <w:tcPr>
            <w:tcW w:type="dxa" w:w="57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依附合法冻品、水产、果蔬或加工食品申报；重点看VGM、净重、箱单和扫描异常</w:t>
            </w:r>
          </w:p>
        </w:tc>
      </w:tr>
      <w:tr>
        <w:trPr>
          <w:cantSplit/>
        </w:trPr>
        <w:tc>
          <w:tcPr>
            <w:tcW w:type="dxa" w:w="25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低报价格/错归税号</w:t>
            </w:r>
          </w:p>
        </w:tc>
        <w:tc>
          <w:tcPr>
            <w:tcW w:type="dxa" w:w="10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w:t>
            </w:r>
          </w:p>
        </w:tc>
        <w:tc>
          <w:tcPr>
            <w:tcW w:type="dxa" w:w="57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配额和税负冲击后估价及归类套利动机上升</w:t>
            </w:r>
          </w:p>
        </w:tc>
      </w:tr>
      <w:tr>
        <w:trPr>
          <w:cantSplit/>
        </w:trPr>
        <w:tc>
          <w:tcPr>
            <w:tcW w:type="dxa" w:w="25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周边水道绕关</w:t>
            </w:r>
          </w:p>
        </w:tc>
        <w:tc>
          <w:tcPr>
            <w:tcW w:type="dxa" w:w="10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高</w:t>
            </w:r>
          </w:p>
        </w:tc>
        <w:tc>
          <w:tcPr>
            <w:tcW w:type="dxa" w:w="57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公开典型案例已证实南沙水道与黑码头可被用于冻品转运</w:t>
            </w:r>
          </w:p>
        </w:tc>
      </w:tr>
      <w:tr>
        <w:trPr>
          <w:cantSplit/>
        </w:trPr>
        <w:tc>
          <w:tcPr>
            <w:tcW w:type="dxa" w:w="25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港后冻库洗白</w:t>
            </w:r>
          </w:p>
        </w:tc>
        <w:tc>
          <w:tcPr>
            <w:tcW w:type="dxa" w:w="10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高</w:t>
            </w:r>
          </w:p>
        </w:tc>
        <w:tc>
          <w:tcPr>
            <w:tcW w:type="dxa" w:w="57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合法货与来源不明货在仓储、分割、换标环节混同，口岸单点检查难覆盖</w:t>
            </w:r>
          </w:p>
        </w:tc>
      </w:tr>
    </w:tbl>
    <w:p>
      <w:pPr>
        <w:pStyle w:val="Heading2"/>
      </w:pPr>
      <w:r>
        <w:t>3.3 案例支撑与总体评级</w:t>
      </w:r>
    </w:p>
    <w:p>
      <w:pPr>
        <w:keepLines w:val="0"/>
        <w:spacing w:after="120"/>
      </w:pPr>
      <w:r>
        <w:rPr>
          <w:rFonts w:ascii="Calibri" w:hAnsi="Calibri" w:eastAsia="Microsoft YaHei"/>
          <w:color w:val="000000"/>
          <w:sz w:val="22"/>
        </w:rPr>
        <w:t>广东高院公布案例显示，2020年一走私团伙在香港龙鼓洲、沙洲附近海域装运冻品，以中山民众、广州南沙、佛山顺德为主要水道，通过多地“黑码头”卸货，再转入冻库，涉案冻品151吨；另有团伙以“蚂蚁搬家、渔船掩护”方式在南沙大岗镇水域活动。[8] 这些案例证明的是南沙周边水网与珠江口网络的可利用性，并非证明南沙正规码头查验失守。</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9360"/>
      </w:tblGrid>
      <w:tr>
        <w:tc>
          <w:tcPr>
            <w:tcW w:type="dxa" w:w="9360"/>
            <w:tcMar>
              <w:top w:w="80" w:type="dxa"/>
              <w:start w:w="120" w:type="dxa"/>
              <w:bottom w:w="80" w:type="dxa"/>
              <w:end w:w="120" w:type="dxa"/>
            </w:tcMar>
            <w:vAlign w:val="center"/>
            <w:shd w:fill="E8EEF5"/>
          </w:tcPr>
          <w:p>
            <w:pPr>
              <w:spacing w:after="0" w:line="259" w:lineRule="auto"/>
            </w:pPr>
            <w:r/>
            <w:r>
              <w:rPr>
                <w:rFonts w:ascii="Calibri" w:hAnsi="Calibri" w:eastAsia="Microsoft YaHei"/>
                <w:b/>
                <w:color w:val="0B2545"/>
                <w:sz w:val="20"/>
              </w:rPr>
              <w:t>南沙结论：</w:t>
            </w:r>
            <w:r>
              <w:rPr>
                <w:rFonts w:ascii="Calibri" w:hAnsi="Calibri" w:eastAsia="Microsoft YaHei"/>
                <w:color w:val="0B2545"/>
                <w:sz w:val="20"/>
              </w:rPr>
              <w:t>正规设关口岸：中等风险；周边水道、非设关卸货点及港后冻库：高风险。资源配置应从单纯增加开箱率，转向“舱单—箱重—证书—冷库—车辆—下游销量”的跨环节比对。</w:t>
            </w:r>
          </w:p>
        </w:tc>
      </w:tr>
    </w:tbl>
    <w:p>
      <w:pPr>
        <w:pStyle w:val="Heading1"/>
      </w:pPr>
      <w:r>
        <w:t>4. 东莞港沙田港区风险分析</w:t>
      </w:r>
    </w:p>
    <w:p>
      <w:pPr>
        <w:pStyle w:val="Heading2"/>
      </w:pPr>
      <w:r>
        <w:t>4.1 对越通道提高可达性，但不等于形成违规事实</w:t>
      </w:r>
    </w:p>
    <w:p>
      <w:pPr>
        <w:keepLines w:val="0"/>
        <w:spacing w:after="120"/>
      </w:pPr>
      <w:r>
        <w:rPr>
          <w:rFonts w:ascii="Calibri" w:hAnsi="Calibri" w:eastAsia="Microsoft YaHei"/>
          <w:color w:val="000000"/>
          <w:sz w:val="22"/>
        </w:rPr>
        <w:t>东莞港已开通至越南海防、胡志明的航线。2024年开通的东莞港—胡志明直航初期每两周一班，约4天抵达，投入船型约2100TEU并配置200个冷藏插头。[6] 对第三国风险而言，这意味着越南冷链货物进入东莞的物流可达性较强；但航线本身是正常贸易基础设施，风险判断仍必须落到货物准入、原产地、企业和批次证据。</w:t>
      </w:r>
    </w:p>
    <w:p>
      <w:pPr>
        <w:pStyle w:val="Heading2"/>
      </w:pPr>
      <w:r>
        <w:t>4.2 风险结构</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20"/>
        <w:gridCol w:w="1080"/>
        <w:gridCol w:w="5760"/>
      </w:tblGrid>
      <w:tr>
        <w:trPr>
          <w:tblHeader w:val="true"/>
          <w:cantSplit/>
        </w:trPr>
        <w:tc>
          <w:tcPr>
            <w:tcW w:type="dxa" w:w="252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场景</w:t>
            </w:r>
          </w:p>
        </w:tc>
        <w:tc>
          <w:tcPr>
            <w:tcW w:type="dxa" w:w="10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风险</w:t>
            </w:r>
          </w:p>
        </w:tc>
        <w:tc>
          <w:tcPr>
            <w:tcW w:type="dxa" w:w="576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判断依据/核查重点</w:t>
            </w:r>
          </w:p>
        </w:tc>
      </w:tr>
      <w:tr>
        <w:trPr>
          <w:cantSplit/>
        </w:trPr>
        <w:tc>
          <w:tcPr>
            <w:tcW w:type="dxa" w:w="25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越南装运、印度来源</w:t>
            </w:r>
          </w:p>
        </w:tc>
        <w:tc>
          <w:tcPr>
            <w:tcW w:type="dxa" w:w="10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中高</w:t>
            </w:r>
          </w:p>
        </w:tc>
        <w:tc>
          <w:tcPr>
            <w:tcW w:type="dxa" w:w="57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装运国与原产国分离并不当然违法；若申报原产地与实质性加工、证书不符，则风险显著</w:t>
            </w:r>
          </w:p>
        </w:tc>
      </w:tr>
      <w:tr>
        <w:trPr>
          <w:cantSplit/>
        </w:trPr>
        <w:tc>
          <w:tcPr>
            <w:tcW w:type="dxa" w:w="25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以水产/果蔬/加工食品名义夹藏</w:t>
            </w:r>
          </w:p>
        </w:tc>
        <w:tc>
          <w:tcPr>
            <w:tcW w:type="dxa" w:w="10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w:t>
            </w:r>
          </w:p>
        </w:tc>
        <w:tc>
          <w:tcPr>
            <w:tcW w:type="dxa" w:w="57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冷藏设备条件可兼容多类商品；需用密度、温度、图像和开箱核对</w:t>
            </w:r>
          </w:p>
        </w:tc>
      </w:tr>
      <w:tr>
        <w:trPr>
          <w:cantSplit/>
        </w:trPr>
        <w:tc>
          <w:tcPr>
            <w:tcW w:type="dxa" w:w="25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新设贸易商+频繁换主体</w:t>
            </w:r>
          </w:p>
        </w:tc>
        <w:tc>
          <w:tcPr>
            <w:tcW w:type="dxa" w:w="10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中高</w:t>
            </w:r>
          </w:p>
        </w:tc>
        <w:tc>
          <w:tcPr>
            <w:tcW w:type="dxa" w:w="57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进口人、报关行、货代、冻库和下游若短期高频轮换，可能是风险隔离</w:t>
            </w:r>
          </w:p>
        </w:tc>
      </w:tr>
      <w:tr>
        <w:trPr>
          <w:cantSplit/>
        </w:trPr>
        <w:tc>
          <w:tcPr>
            <w:tcW w:type="dxa" w:w="25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辖区海域绕关</w:t>
            </w:r>
          </w:p>
        </w:tc>
        <w:tc>
          <w:tcPr>
            <w:tcW w:type="dxa" w:w="10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中高</w:t>
            </w:r>
          </w:p>
        </w:tc>
        <w:tc>
          <w:tcPr>
            <w:tcW w:type="dxa" w:w="57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东莞海警2025年在辖区海域查获220余吨无合法来源、未经检验检疫冻品</w:t>
            </w:r>
          </w:p>
        </w:tc>
      </w:tr>
      <w:tr>
        <w:trPr>
          <w:cantSplit/>
        </w:trPr>
        <w:tc>
          <w:tcPr>
            <w:tcW w:type="dxa" w:w="25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港后加工掺混</w:t>
            </w:r>
          </w:p>
        </w:tc>
        <w:tc>
          <w:tcPr>
            <w:tcW w:type="dxa" w:w="10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高</w:t>
            </w:r>
          </w:p>
        </w:tc>
        <w:tc>
          <w:tcPr>
            <w:tcW w:type="dxa" w:w="57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东莞制造与食品加工物流发达，低价冻肉在分割、切片、调理后更难凭标签识别</w:t>
            </w:r>
          </w:p>
        </w:tc>
      </w:tr>
    </w:tbl>
    <w:p>
      <w:pPr>
        <w:keepLines w:val="0"/>
        <w:spacing w:after="120"/>
      </w:pPr>
      <w:r>
        <w:rPr>
          <w:rFonts w:ascii="Calibri" w:hAnsi="Calibri" w:eastAsia="Microsoft YaHei"/>
          <w:color w:val="000000"/>
          <w:sz w:val="22"/>
        </w:rPr>
        <w:t>2026年4月公开报道披露，东莞海警对2025年10月在辖区海域查获的220余吨鸡爪、猪肚等走私冻品进行无害化处置；货物无合法来源证明且未经检验检疫。[10] 商品虽非牛肉，但该案能证明海上运力、接驳和销毁处置对象仍现实存在。</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9360"/>
      </w:tblGrid>
      <w:tr>
        <w:tc>
          <w:tcPr>
            <w:tcW w:type="dxa" w:w="9360"/>
            <w:tcMar>
              <w:top w:w="80" w:type="dxa"/>
              <w:start w:w="120" w:type="dxa"/>
              <w:bottom w:w="80" w:type="dxa"/>
              <w:end w:w="120" w:type="dxa"/>
            </w:tcMar>
            <w:vAlign w:val="center"/>
            <w:shd w:fill="E8EEF5"/>
          </w:tcPr>
          <w:p>
            <w:pPr>
              <w:spacing w:after="0" w:line="259" w:lineRule="auto"/>
            </w:pPr>
            <w:r/>
            <w:r>
              <w:rPr>
                <w:rFonts w:ascii="Calibri" w:hAnsi="Calibri" w:eastAsia="Microsoft YaHei"/>
                <w:b/>
                <w:color w:val="0B2545"/>
                <w:sz w:val="20"/>
              </w:rPr>
              <w:t>沙田结论：</w:t>
            </w:r>
            <w:r>
              <w:rPr>
                <w:rFonts w:ascii="Calibri" w:hAnsi="Calibri" w:eastAsia="Microsoft YaHei"/>
                <w:color w:val="0B2545"/>
                <w:sz w:val="20"/>
              </w:rPr>
              <w:t>正规口岸：中等风险；辖区海域及港后加工/冻库：中高至高风险。对越航线应实施“正常贸易不预设有罪、异常批次强化核验”的风险分层。</w:t>
            </w:r>
          </w:p>
        </w:tc>
      </w:tr>
    </w:tbl>
    <w:p>
      <w:pPr>
        <w:pStyle w:val="Heading1"/>
      </w:pPr>
      <w:r>
        <w:t>5. 拱北海关管辖码头口岸风险分析</w:t>
      </w:r>
    </w:p>
    <w:p>
      <w:pPr>
        <w:pStyle w:val="Heading2"/>
      </w:pPr>
      <w:r>
        <w:t>5.1 港区差异决定风险差异</w:t>
      </w:r>
    </w:p>
    <w:p>
      <w:pPr>
        <w:keepLines w:val="0"/>
        <w:spacing w:after="120"/>
      </w:pPr>
      <w:r>
        <w:rPr>
          <w:rFonts w:ascii="Calibri" w:hAnsi="Calibri" w:eastAsia="Microsoft YaHei"/>
          <w:color w:val="000000"/>
          <w:sz w:val="22"/>
        </w:rPr>
        <w:t>珠海港口岸整合后设置高栏、斗门、洪湾、九洲、万山、唐家六个港区，且扩大开放及明确水域范围涉及多个作业区。[7] 这意味着“拱北海关管辖的码头口岸”不是单一节点：大宗货运港区、岛屿作业区、客运港区和周边开放水域的货型、船型和监管重点差异明显。</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880"/>
        <w:gridCol w:w="1320"/>
        <w:gridCol w:w="5160"/>
      </w:tblGrid>
      <w:tr>
        <w:trPr>
          <w:tblHeader w:val="true"/>
          <w:cantSplit/>
        </w:trPr>
        <w:tc>
          <w:tcPr>
            <w:tcW w:type="dxa" w:w="28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空间/节点</w:t>
            </w:r>
          </w:p>
        </w:tc>
        <w:tc>
          <w:tcPr>
            <w:tcW w:type="dxa" w:w="132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风险</w:t>
            </w:r>
          </w:p>
        </w:tc>
        <w:tc>
          <w:tcPr>
            <w:tcW w:type="dxa" w:w="516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理由</w:t>
            </w:r>
          </w:p>
        </w:tc>
      </w:tr>
      <w:tr>
        <w:trPr>
          <w:cantSplit/>
        </w:trPr>
        <w:tc>
          <w:tcPr>
            <w:tcW w:type="dxa" w:w="28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高栏等大宗货运港区（正规申报）</w:t>
            </w:r>
          </w:p>
        </w:tc>
        <w:tc>
          <w:tcPr>
            <w:tcW w:type="dxa" w:w="13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中低—中</w:t>
            </w:r>
          </w:p>
        </w:tc>
        <w:tc>
          <w:tcPr>
            <w:tcW w:type="dxa" w:w="51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重点是资质、舱单、原产地和冷藏箱一致性；进口肉类必须以交易时点海关动态指定监管场地和准入清单为准</w:t>
            </w:r>
          </w:p>
        </w:tc>
      </w:tr>
      <w:tr>
        <w:trPr>
          <w:cantSplit/>
        </w:trPr>
        <w:tc>
          <w:tcPr>
            <w:tcW w:type="dxa" w:w="28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斗门/洪湾等内河—近岸节点</w:t>
            </w:r>
          </w:p>
        </w:tc>
        <w:tc>
          <w:tcPr>
            <w:tcW w:type="dxa" w:w="13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中高</w:t>
            </w:r>
          </w:p>
        </w:tc>
        <w:tc>
          <w:tcPr>
            <w:tcW w:type="dxa" w:w="51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水网密集、陆运衔接快，需关注异常夜间船车接驳和冻库流向</w:t>
            </w:r>
          </w:p>
        </w:tc>
      </w:tr>
      <w:tr>
        <w:trPr>
          <w:cantSplit/>
        </w:trPr>
        <w:tc>
          <w:tcPr>
            <w:tcW w:type="dxa" w:w="28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万山、外伶仃、担杆等海域</w:t>
            </w:r>
          </w:p>
        </w:tc>
        <w:tc>
          <w:tcPr>
            <w:tcW w:type="dxa" w:w="13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很高</w:t>
            </w:r>
          </w:p>
        </w:tc>
        <w:tc>
          <w:tcPr>
            <w:tcW w:type="dxa" w:w="51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靠近香港航路和锚地，历史案例显示可发生母船/货船向珠江口方向运输和暴力逃避检查</w:t>
            </w:r>
          </w:p>
        </w:tc>
      </w:tr>
      <w:tr>
        <w:trPr>
          <w:cantSplit/>
        </w:trPr>
        <w:tc>
          <w:tcPr>
            <w:tcW w:type="dxa" w:w="28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九洲等客运属性较强港区</w:t>
            </w:r>
          </w:p>
        </w:tc>
        <w:tc>
          <w:tcPr>
            <w:tcW w:type="dxa" w:w="13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大宗：低</w:t>
              <w:br/>
              <w:t>小批量：中</w:t>
            </w:r>
          </w:p>
        </w:tc>
        <w:tc>
          <w:tcPr>
            <w:tcW w:type="dxa" w:w="51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大宗冻品不适配客运通道；仍需防范化整为零、行邮或“水客”式夹带，但非本报告主风险</w:t>
            </w:r>
          </w:p>
        </w:tc>
      </w:tr>
      <w:tr>
        <w:trPr>
          <w:cantSplit/>
        </w:trPr>
        <w:tc>
          <w:tcPr>
            <w:tcW w:type="dxa" w:w="28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非设关码头—冻库链条</w:t>
            </w:r>
          </w:p>
        </w:tc>
        <w:tc>
          <w:tcPr>
            <w:tcW w:type="dxa" w:w="13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很高</w:t>
            </w:r>
          </w:p>
        </w:tc>
        <w:tc>
          <w:tcPr>
            <w:tcW w:type="dxa" w:w="51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一旦绕开海关，风险从税收问题升级为准入、检疫和食品安全复合风险</w:t>
            </w:r>
          </w:p>
        </w:tc>
      </w:tr>
    </w:tbl>
    <w:p>
      <w:pPr>
        <w:pStyle w:val="Heading2"/>
      </w:pPr>
      <w:r>
        <w:t>5.2 典型案件显示的网络能力</w:t>
      </w:r>
    </w:p>
    <w:p>
      <w:pPr>
        <w:keepLines w:val="0"/>
        <w:spacing w:after="120"/>
      </w:pPr>
      <w:r>
        <w:rPr>
          <w:rFonts w:ascii="Calibri" w:hAnsi="Calibri" w:eastAsia="Microsoft YaHei"/>
          <w:color w:val="000000"/>
          <w:sz w:val="22"/>
        </w:rPr>
        <w:t>2019年拱北海关在珠江口水域截停从香港方向驶来的货船，现场查扣32个集装箱、800余吨冻鸡爪等；当年拱北海关共立案查办冻品走私案件56起、查扣约8146吨。[11] 2022年，广东海警在担杆岛东侧附近海域查获228.26吨牛肉类冻品，涉案船舶曾抗拒检查并撞击执法船。[8]</w:t>
      </w:r>
    </w:p>
    <w:p>
      <w:pPr>
        <w:keepLines w:val="0"/>
        <w:spacing w:after="120"/>
      </w:pPr>
      <w:r>
        <w:rPr>
          <w:rFonts w:ascii="Calibri" w:hAnsi="Calibri" w:eastAsia="Microsoft YaHei"/>
          <w:color w:val="000000"/>
          <w:sz w:val="22"/>
        </w:rPr>
        <w:t>最高人民法院等五部门明确：在非设关地走私进口未取得国家检验检疫准入证书的冻品，应认定为国家禁止进口的货物，构成犯罪的按相应罪名处罚。[9] 因而，印度或其他未准入来源冻肉一旦通过非设关地进入，风险性质不只是逃税，还涉及刑事和公共卫生后果。</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9360"/>
      </w:tblGrid>
      <w:tr>
        <w:tc>
          <w:tcPr>
            <w:tcW w:type="dxa" w:w="9360"/>
            <w:tcMar>
              <w:top w:w="80" w:type="dxa"/>
              <w:start w:w="120" w:type="dxa"/>
              <w:bottom w:w="80" w:type="dxa"/>
              <w:end w:w="120" w:type="dxa"/>
            </w:tcMar>
            <w:vAlign w:val="center"/>
            <w:shd w:fill="E8EEF5"/>
          </w:tcPr>
          <w:p>
            <w:pPr>
              <w:spacing w:after="0" w:line="259" w:lineRule="auto"/>
            </w:pPr>
            <w:r/>
            <w:r>
              <w:rPr>
                <w:rFonts w:ascii="Calibri" w:hAnsi="Calibri" w:eastAsia="Microsoft YaHei"/>
                <w:b/>
                <w:color w:val="0B2545"/>
                <w:sz w:val="20"/>
              </w:rPr>
              <w:t>拱北辖区结论：</w:t>
            </w:r>
            <w:r>
              <w:rPr>
                <w:rFonts w:ascii="Calibri" w:hAnsi="Calibri" w:eastAsia="Microsoft YaHei"/>
                <w:color w:val="0B2545"/>
                <w:sz w:val="20"/>
              </w:rPr>
              <w:t>正规货运港区的夹藏/伪报风险为中低至中；万山—担杆—外伶仃及珠江口西岸非设关链条为很高风险，是三地中最需要进行海陆联动画像的区域。</w:t>
            </w:r>
          </w:p>
        </w:tc>
      </w:tr>
    </w:tbl>
    <w:p>
      <w:pPr>
        <w:pStyle w:val="Heading1"/>
      </w:pPr>
      <w:r>
        <w:t>6. 印度水牛肉经越南等第三国进入中国的风险</w:t>
      </w:r>
    </w:p>
    <w:p>
      <w:pPr>
        <w:pStyle w:val="Heading2"/>
      </w:pPr>
      <w:r>
        <w:t>6.1 供应基础与价差</w:t>
      </w:r>
    </w:p>
    <w:p>
      <w:pPr>
        <w:keepLines w:val="0"/>
        <w:spacing w:after="120"/>
      </w:pPr>
      <w:r>
        <w:rPr>
          <w:rFonts w:ascii="Calibri" w:hAnsi="Calibri" w:eastAsia="Microsoft YaHei"/>
          <w:color w:val="000000"/>
          <w:sz w:val="22"/>
        </w:rPr>
        <w:t>印度官方APEDA数据显示，2024—2025财年印度水牛肉出口量约125.48万吨、出口额约40.61亿美元，越南位列主要目的地。[12] 印度行业中的“beef”出口主体为去骨水牛肉，不等同于澳大利亚谷饲牛肉。</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500"/>
        <w:gridCol w:w="2580"/>
        <w:gridCol w:w="1740"/>
        <w:gridCol w:w="2040"/>
        <w:gridCol w:w="1500"/>
      </w:tblGrid>
      <w:tr>
        <w:trPr>
          <w:tblHeader w:val="true"/>
          <w:cantSplit/>
        </w:trPr>
        <w:tc>
          <w:tcPr>
            <w:tcW w:type="dxa" w:w="150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6"/>
              </w:rPr>
              <w:t>2025年流向</w:t>
            </w:r>
          </w:p>
        </w:tc>
        <w:tc>
          <w:tcPr>
            <w:tcW w:type="dxa" w:w="25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6"/>
              </w:rPr>
              <w:t>口径</w:t>
            </w:r>
          </w:p>
        </w:tc>
        <w:tc>
          <w:tcPr>
            <w:tcW w:type="dxa" w:w="174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6"/>
              </w:rPr>
              <w:t>净重</w:t>
            </w:r>
          </w:p>
        </w:tc>
        <w:tc>
          <w:tcPr>
            <w:tcW w:type="dxa" w:w="204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6"/>
              </w:rPr>
              <w:t>贸易额</w:t>
            </w:r>
          </w:p>
        </w:tc>
        <w:tc>
          <w:tcPr>
            <w:tcW w:type="dxa" w:w="150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6"/>
              </w:rPr>
              <w:t>平均单位价值</w:t>
            </w:r>
          </w:p>
        </w:tc>
      </w:tr>
      <w:tr>
        <w:trPr>
          <w:cantSplit/>
        </w:trPr>
        <w:tc>
          <w:tcPr>
            <w:tcW w:type="dxa" w:w="15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印度→越南</w:t>
            </w:r>
          </w:p>
        </w:tc>
        <w:tc>
          <w:tcPr>
            <w:tcW w:type="dxa" w:w="25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HS 020230 去骨冻牛科动物肉</w:t>
            </w:r>
          </w:p>
        </w:tc>
        <w:tc>
          <w:tcPr>
            <w:tcW w:type="dxa" w:w="17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170,560,950 kg</w:t>
            </w:r>
          </w:p>
        </w:tc>
        <w:tc>
          <w:tcPr>
            <w:tcW w:type="dxa" w:w="20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623,523,679.56 美元</w:t>
            </w:r>
          </w:p>
        </w:tc>
        <w:tc>
          <w:tcPr>
            <w:tcW w:type="dxa" w:w="15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3.66 美元/kg</w:t>
            </w:r>
          </w:p>
        </w:tc>
      </w:tr>
      <w:tr>
        <w:trPr>
          <w:cantSplit/>
        </w:trPr>
        <w:tc>
          <w:tcPr>
            <w:tcW w:type="dxa" w:w="15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澳大利亚→中国</w:t>
            </w:r>
          </w:p>
        </w:tc>
        <w:tc>
          <w:tcPr>
            <w:tcW w:type="dxa" w:w="25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HS 020230 去骨冻牛科动物肉</w:t>
            </w:r>
          </w:p>
        </w:tc>
        <w:tc>
          <w:tcPr>
            <w:tcW w:type="dxa" w:w="17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190,537,074.47 kg</w:t>
            </w:r>
          </w:p>
        </w:tc>
        <w:tc>
          <w:tcPr>
            <w:tcW w:type="dxa" w:w="20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1,458,856,548.33 美元</w:t>
            </w:r>
          </w:p>
        </w:tc>
        <w:tc>
          <w:tcPr>
            <w:tcW w:type="dxa" w:w="15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7.66 美元/kg</w:t>
            </w:r>
          </w:p>
        </w:tc>
      </w:tr>
    </w:tbl>
    <w:p>
      <w:pPr>
        <w:spacing w:before="80" w:after="80" w:line="240" w:lineRule="auto"/>
      </w:pPr>
      <w:r>
        <w:rPr>
          <w:rFonts w:ascii="Calibri" w:hAnsi="Calibri" w:eastAsia="Microsoft YaHei"/>
          <w:color w:val="687386"/>
          <w:sz w:val="17"/>
        </w:rPr>
        <w:t>来源：UN Comtrade公开API。[13][14] 平均单位价值仅是风险筛查代理变量；产品部位、品质、合同条款和运输条件不同，不能把3.66与7.66美元/kg视为同一零售商品的直接价差。按该口径，印度—越南均值约低52%，叠加澳牛配额外税负后，替代或掺混诱因会增强。</w:t>
      </w:r>
    </w:p>
    <w:p>
      <w:pPr>
        <w:pStyle w:val="Heading2"/>
      </w:pPr>
      <w:r>
        <w:t>6.2 准入是决定合法性的第一道门槛</w:t>
      </w:r>
    </w:p>
    <w:p>
      <w:pPr>
        <w:keepLines w:val="0"/>
        <w:spacing w:after="120"/>
      </w:pPr>
      <w:r>
        <w:rPr>
          <w:rFonts w:ascii="Calibri" w:hAnsi="Calibri" w:eastAsia="Microsoft YaHei"/>
          <w:color w:val="000000"/>
          <w:sz w:val="22"/>
        </w:rPr>
        <w:t>中国进口肉类的一般合规链条包括：输出国家/地区通过体系评估，产品在准入清单内，境外生产企业完成注册，进口人取得必要许可并提交官方检疫（卫生）证书、原产地证明等，货到口岸接受检验检疫。[4][15] “从越南装船”不自动把印度来源货物变成越南原产；仅换包装、分装、转口或简单处理通常不能替代实质性原产地规则和检疫准入要求。</w:t>
      </w:r>
    </w:p>
    <w:p>
      <w:pPr>
        <w:keepLines w:val="0"/>
        <w:spacing w:after="120"/>
      </w:pPr>
      <w:r>
        <w:rPr>
          <w:rFonts w:ascii="Calibri" w:hAnsi="Calibri" w:eastAsia="Microsoft YaHei"/>
          <w:color w:val="000000"/>
          <w:sz w:val="22"/>
        </w:rPr>
        <w:t>截至报告基准日，本次公开检索未能确认印度水牛肉或越南国产牛肉已获得普通商业渠道对华合法准入。该判断必须在具体交易日以海关总署“符合评估审查要求的国家或地区输华肉类产品名单”、境外生产企业注册名单及对应议定书为最终依据；名单为动态信息，不能仅凭历史截图作绝对结论。</w:t>
      </w:r>
    </w:p>
    <w:p>
      <w:pPr>
        <w:pStyle w:val="Heading2"/>
      </w:pPr>
      <w:r>
        <w:t>6.3 路径风险排序</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600"/>
        <w:gridCol w:w="4140"/>
        <w:gridCol w:w="1380"/>
        <w:gridCol w:w="3240"/>
      </w:tblGrid>
      <w:tr>
        <w:trPr>
          <w:tblHeader w:val="true"/>
          <w:cantSplit/>
        </w:trPr>
        <w:tc>
          <w:tcPr>
            <w:tcW w:type="dxa" w:w="60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排序</w:t>
            </w:r>
          </w:p>
        </w:tc>
        <w:tc>
          <w:tcPr>
            <w:tcW w:type="dxa" w:w="414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潜在路径</w:t>
            </w:r>
          </w:p>
        </w:tc>
        <w:tc>
          <w:tcPr>
            <w:tcW w:type="dxa" w:w="13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风险</w:t>
            </w:r>
          </w:p>
        </w:tc>
        <w:tc>
          <w:tcPr>
            <w:tcW w:type="dxa" w:w="324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研判</w:t>
            </w:r>
          </w:p>
        </w:tc>
      </w:tr>
      <w:tr>
        <w:trPr>
          <w:cantSplit/>
        </w:trPr>
        <w:tc>
          <w:tcPr>
            <w:tcW w:type="dxa" w:w="6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1</w:t>
            </w:r>
          </w:p>
        </w:tc>
        <w:tc>
          <w:tcPr>
            <w:tcW w:type="dxa" w:w="41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印度→越南集散→中越陆路边境→广西/广东冻库</w:t>
            </w:r>
          </w:p>
        </w:tc>
        <w:tc>
          <w:tcPr>
            <w:tcW w:type="dxa" w:w="13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高</w:t>
            </w:r>
          </w:p>
        </w:tc>
        <w:tc>
          <w:tcPr>
            <w:tcW w:type="dxa" w:w="32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地理连续、物流成熟；关键在边境申报、来源证书和跨省冷库流向</w:t>
            </w:r>
          </w:p>
        </w:tc>
      </w:tr>
      <w:tr>
        <w:trPr>
          <w:cantSplit/>
        </w:trPr>
        <w:tc>
          <w:tcPr>
            <w:tcW w:type="dxa" w:w="6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2</w:t>
            </w:r>
          </w:p>
        </w:tc>
        <w:tc>
          <w:tcPr>
            <w:tcW w:type="dxa" w:w="41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印度→越南/香港集散→珠江口海上转驳→非设关码头</w:t>
            </w:r>
          </w:p>
        </w:tc>
        <w:tc>
          <w:tcPr>
            <w:tcW w:type="dxa" w:w="13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高</w:t>
            </w:r>
          </w:p>
        </w:tc>
        <w:tc>
          <w:tcPr>
            <w:tcW w:type="dxa" w:w="32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历史海上网络可验证；无需通过正规进口肉类场地，但执法和损耗风险高</w:t>
            </w:r>
          </w:p>
        </w:tc>
      </w:tr>
      <w:tr>
        <w:trPr>
          <w:cantSplit/>
        </w:trPr>
        <w:tc>
          <w:tcPr>
            <w:tcW w:type="dxa" w:w="6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3</w:t>
            </w:r>
          </w:p>
        </w:tc>
        <w:tc>
          <w:tcPr>
            <w:tcW w:type="dxa" w:w="41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越南装运→南沙/沙田正规冷藏箱→夹藏或伪报</w:t>
            </w:r>
          </w:p>
        </w:tc>
        <w:tc>
          <w:tcPr>
            <w:tcW w:type="dxa" w:w="13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w:t>
            </w:r>
          </w:p>
        </w:tc>
        <w:tc>
          <w:tcPr>
            <w:tcW w:type="dxa" w:w="32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需突破舱单、证书、注册企业、扫描和开箱等多重控制</w:t>
            </w:r>
          </w:p>
        </w:tc>
      </w:tr>
      <w:tr>
        <w:trPr>
          <w:cantSplit/>
        </w:trPr>
        <w:tc>
          <w:tcPr>
            <w:tcW w:type="dxa" w:w="6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4</w:t>
            </w:r>
          </w:p>
        </w:tc>
        <w:tc>
          <w:tcPr>
            <w:tcW w:type="dxa" w:w="41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伪造越南原产/卫生证书→正规申报为越南牛肉</w:t>
            </w:r>
          </w:p>
        </w:tc>
        <w:tc>
          <w:tcPr>
            <w:tcW w:type="dxa" w:w="13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中低（概率）</w:t>
              <w:br/>
              <w:t>高（影响）</w:t>
            </w:r>
          </w:p>
        </w:tc>
        <w:tc>
          <w:tcPr>
            <w:tcW w:type="dxa" w:w="32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文件链可核验且后果严重；若准入不成立，单证再完整也不能合法化</w:t>
            </w:r>
          </w:p>
        </w:tc>
      </w:tr>
      <w:tr>
        <w:trPr>
          <w:cantSplit/>
        </w:trPr>
        <w:tc>
          <w:tcPr>
            <w:tcW w:type="dxa" w:w="6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5</w:t>
            </w:r>
          </w:p>
        </w:tc>
        <w:tc>
          <w:tcPr>
            <w:tcW w:type="dxa" w:w="41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进入加工厂后掺混/替换标签再销售</w:t>
            </w:r>
          </w:p>
        </w:tc>
        <w:tc>
          <w:tcPr>
            <w:tcW w:type="dxa" w:w="13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中高</w:t>
            </w:r>
          </w:p>
        </w:tc>
        <w:tc>
          <w:tcPr>
            <w:tcW w:type="dxa" w:w="32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物种和批次追踪难度上升，是印度水牛肉最可能影响终端市场的环节</w:t>
            </w:r>
          </w:p>
        </w:tc>
      </w:tr>
    </w:tbl>
    <w:p>
      <w:pPr>
        <w:pStyle w:val="Heading1"/>
      </w:pPr>
      <w:r>
        <w:t>7. 山姆供应链专项研判</w:t>
      </w:r>
    </w:p>
    <w:p>
      <w:pPr>
        <w:pStyle w:val="Heading2"/>
      </w:pPr>
      <w:r>
        <w:t>7.1 直接风险为何评为低</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460"/>
        <w:gridCol w:w="6900"/>
      </w:tblGrid>
      <w:tr>
        <w:trPr>
          <w:tblHeader w:val="true"/>
          <w:cantSplit/>
        </w:trPr>
        <w:tc>
          <w:tcPr>
            <w:tcW w:type="dxa" w:w="246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8"/>
              </w:rPr>
              <w:t>控制/证据</w:t>
            </w:r>
          </w:p>
        </w:tc>
        <w:tc>
          <w:tcPr>
            <w:tcW w:type="dxa" w:w="690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8"/>
              </w:rPr>
              <w:t>含义</w:t>
            </w:r>
          </w:p>
        </w:tc>
      </w:tr>
      <w:tr>
        <w:trPr>
          <w:cantSplit/>
        </w:trPr>
        <w:tc>
          <w:tcPr>
            <w:tcW w:type="dxa" w:w="24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品牌与会员制约束</w:t>
            </w:r>
          </w:p>
        </w:tc>
        <w:tc>
          <w:tcPr>
            <w:tcW w:type="dxa" w:w="69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重大来源造假会造成全国性召回、声誉和监管损失，风险收益比不利</w:t>
            </w:r>
          </w:p>
        </w:tc>
      </w:tr>
      <w:tr>
        <w:trPr>
          <w:cantSplit/>
        </w:trPr>
        <w:tc>
          <w:tcPr>
            <w:tcW w:type="dxa" w:w="24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合规采购可追溯</w:t>
            </w:r>
          </w:p>
        </w:tc>
        <w:tc>
          <w:tcPr>
            <w:tcW w:type="dxa" w:w="69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大型零售通常掌握供应商、批次、标签、入库和销售数据，便于反向核验</w:t>
            </w:r>
          </w:p>
        </w:tc>
      </w:tr>
      <w:tr>
        <w:trPr>
          <w:cantSplit/>
        </w:trPr>
        <w:tc>
          <w:tcPr>
            <w:tcW w:type="dxa" w:w="24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产品差异明显</w:t>
            </w:r>
          </w:p>
        </w:tc>
        <w:tc>
          <w:tcPr>
            <w:tcW w:type="dxa" w:w="69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澳洲谷饲部位肉与印度去骨水牛肉在定位、规格、包装和感官上并非天然等价替代</w:t>
            </w:r>
          </w:p>
        </w:tc>
      </w:tr>
      <w:tr>
        <w:trPr>
          <w:cantSplit/>
        </w:trPr>
        <w:tc>
          <w:tcPr>
            <w:tcW w:type="dxa" w:w="24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涨价解释完整</w:t>
            </w:r>
          </w:p>
        </w:tc>
        <w:tc>
          <w:tcPr>
            <w:tcW w:type="dxa" w:w="69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配额触发、税负上升和客服解释构成可验证的合规成本链</w:t>
            </w:r>
          </w:p>
        </w:tc>
      </w:tr>
      <w:tr>
        <w:trPr>
          <w:cantSplit/>
        </w:trPr>
        <w:tc>
          <w:tcPr>
            <w:tcW w:type="dxa" w:w="24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缺乏指向性证据</w:t>
            </w:r>
          </w:p>
        </w:tc>
        <w:tc>
          <w:tcPr>
            <w:tcW w:type="dxa" w:w="69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未发现公开案件、监管通报、召回或批次证据把山姆与走私冻牛肉相连</w:t>
            </w:r>
          </w:p>
        </w:tc>
      </w:tr>
    </w:tbl>
    <w:p>
      <w:pPr>
        <w:pStyle w:val="Heading2"/>
      </w:pPr>
      <w:r>
        <w:t>7.2 仍需保留的间接与尾部风险</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040"/>
        <w:gridCol w:w="3600"/>
        <w:gridCol w:w="3720"/>
      </w:tblGrid>
      <w:tr>
        <w:trPr>
          <w:tblHeader w:val="true"/>
          <w:cantSplit/>
        </w:trPr>
        <w:tc>
          <w:tcPr>
            <w:tcW w:type="dxa" w:w="204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风险点</w:t>
            </w:r>
          </w:p>
        </w:tc>
        <w:tc>
          <w:tcPr>
            <w:tcW w:type="dxa" w:w="360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可能表现</w:t>
            </w:r>
          </w:p>
        </w:tc>
        <w:tc>
          <w:tcPr>
            <w:tcW w:type="dxa" w:w="372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核验方法</w:t>
            </w:r>
          </w:p>
        </w:tc>
      </w:tr>
      <w:tr>
        <w:trPr>
          <w:cantSplit/>
        </w:trPr>
        <w:tc>
          <w:tcPr>
            <w:tcW w:type="dxa" w:w="20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供应商上游替代</w:t>
            </w:r>
          </w:p>
        </w:tc>
        <w:tc>
          <w:tcPr>
            <w:tcW w:type="dxa" w:w="36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代工、分切或调理供应商采购来源与申报来源不一致</w:t>
            </w:r>
          </w:p>
        </w:tc>
        <w:tc>
          <w:tcPr>
            <w:tcW w:type="dxa" w:w="37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核对工厂投料、损耗、批次、进口单证与产出销量</w:t>
            </w:r>
          </w:p>
        </w:tc>
      </w:tr>
      <w:tr>
        <w:trPr>
          <w:cantSplit/>
        </w:trPr>
        <w:tc>
          <w:tcPr>
            <w:tcW w:type="dxa" w:w="20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标签/批次错配</w:t>
            </w:r>
          </w:p>
        </w:tc>
        <w:tc>
          <w:tcPr>
            <w:tcW w:type="dxa" w:w="36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外包装标称澳洲，内包装生产企业代码或日期冲突</w:t>
            </w:r>
          </w:p>
        </w:tc>
        <w:tc>
          <w:tcPr>
            <w:tcW w:type="dxa" w:w="37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抽样拆包，核查内外标签、注册号和生产批号</w:t>
            </w:r>
          </w:p>
        </w:tc>
      </w:tr>
      <w:tr>
        <w:trPr>
          <w:cantSplit/>
        </w:trPr>
        <w:tc>
          <w:tcPr>
            <w:tcW w:type="dxa" w:w="20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SKU结构调整</w:t>
            </w:r>
          </w:p>
        </w:tc>
        <w:tc>
          <w:tcPr>
            <w:tcW w:type="dxa" w:w="36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涨价后转用其他产地或部位，但营销表述未同步</w:t>
            </w:r>
          </w:p>
        </w:tc>
        <w:tc>
          <w:tcPr>
            <w:tcW w:type="dxa" w:w="37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连续采集SKU、产地、价格、规格、供应商变化</w:t>
            </w:r>
          </w:p>
        </w:tc>
      </w:tr>
      <w:tr>
        <w:trPr>
          <w:cantSplit/>
        </w:trPr>
        <w:tc>
          <w:tcPr>
            <w:tcW w:type="dxa" w:w="20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市场冒用品牌</w:t>
            </w:r>
          </w:p>
        </w:tc>
        <w:tc>
          <w:tcPr>
            <w:tcW w:type="dxa" w:w="36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非正规渠道假冒“山姆同款/尾货/临期货”销售来源不明冻肉</w:t>
            </w:r>
          </w:p>
        </w:tc>
        <w:tc>
          <w:tcPr>
            <w:tcW w:type="dxa" w:w="37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区分门店/官方App与社群、电商、二手渠道</w:t>
            </w:r>
          </w:p>
        </w:tc>
      </w:tr>
      <w:tr>
        <w:trPr>
          <w:cantSplit/>
        </w:trPr>
        <w:tc>
          <w:tcPr>
            <w:tcW w:type="dxa" w:w="20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餐饮端外溢</w:t>
            </w:r>
          </w:p>
        </w:tc>
        <w:tc>
          <w:tcPr>
            <w:tcW w:type="dxa" w:w="36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消费者从高价澳牛转向低价切片/调理肉，灰色需求上升</w:t>
            </w:r>
          </w:p>
        </w:tc>
        <w:tc>
          <w:tcPr>
            <w:tcW w:type="dxa" w:w="37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监测批发价差、餐饮采购和物种检测</w:t>
            </w:r>
          </w:p>
        </w:tc>
      </w:tr>
    </w:tbl>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9360"/>
      </w:tblGrid>
      <w:tr>
        <w:tc>
          <w:tcPr>
            <w:tcW w:type="dxa" w:w="9360"/>
            <w:tcMar>
              <w:top w:w="80" w:type="dxa"/>
              <w:start w:w="120" w:type="dxa"/>
              <w:bottom w:w="80" w:type="dxa"/>
              <w:end w:w="120" w:type="dxa"/>
            </w:tcMar>
            <w:vAlign w:val="center"/>
            <w:shd w:fill="E2F0D9"/>
          </w:tcPr>
          <w:p>
            <w:pPr>
              <w:spacing w:after="0" w:line="259" w:lineRule="auto"/>
            </w:pPr>
            <w:r/>
            <w:r>
              <w:rPr>
                <w:rFonts w:ascii="Calibri" w:hAnsi="Calibri" w:eastAsia="Microsoft YaHei"/>
                <w:b/>
                <w:color w:val="2F6B3B"/>
                <w:sz w:val="20"/>
              </w:rPr>
              <w:t>山姆专项结论：</w:t>
            </w:r>
            <w:r>
              <w:rPr>
                <w:rFonts w:ascii="Calibri" w:hAnsi="Calibri" w:eastAsia="Microsoft YaHei"/>
                <w:color w:val="2F6B3B"/>
                <w:sz w:val="20"/>
              </w:rPr>
              <w:t>现阶段不应把价格上涨转化为对山姆的合规指控。更有价值的核验是：对涨价前后同一SKU做“门店价格—标签产地—境外工厂注册号—进口批次—采购量—销量”闭环；任何一环出现数量或身份不匹配，再升级调查。</w:t>
            </w:r>
          </w:p>
        </w:tc>
      </w:tr>
    </w:tbl>
    <w:p>
      <w:pPr>
        <w:pStyle w:val="Heading1"/>
      </w:pPr>
      <w:r>
        <w:t>8. 风险指标与监测框架</w:t>
      </w:r>
    </w:p>
    <w:p>
      <w:pPr>
        <w:pStyle w:val="Heading2"/>
      </w:pPr>
      <w:r>
        <w:t>8.1 单证与贸易流指标</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280"/>
        <w:gridCol w:w="5880"/>
        <w:gridCol w:w="1200"/>
      </w:tblGrid>
      <w:tr>
        <w:trPr>
          <w:tblHeader w:val="true"/>
          <w:cantSplit/>
        </w:trPr>
        <w:tc>
          <w:tcPr>
            <w:tcW w:type="dxa" w:w="22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指标</w:t>
            </w:r>
          </w:p>
        </w:tc>
        <w:tc>
          <w:tcPr>
            <w:tcW w:type="dxa" w:w="58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触发表现</w:t>
            </w:r>
          </w:p>
        </w:tc>
        <w:tc>
          <w:tcPr>
            <w:tcW w:type="dxa" w:w="120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优先级</w:t>
            </w:r>
          </w:p>
        </w:tc>
      </w:tr>
      <w:tr>
        <w:trPr>
          <w:cantSplit/>
        </w:trPr>
        <w:tc>
          <w:tcPr>
            <w:tcW w:type="dxa" w:w="2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装运国—原产国分离</w:t>
            </w:r>
          </w:p>
        </w:tc>
        <w:tc>
          <w:tcPr>
            <w:tcW w:type="dxa" w:w="58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越南装运但上游发货人、付款方或品牌关联印度肉类企业</w:t>
            </w:r>
          </w:p>
        </w:tc>
        <w:tc>
          <w:tcPr>
            <w:tcW w:type="dxa" w:w="12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高</w:t>
            </w:r>
          </w:p>
        </w:tc>
      </w:tr>
      <w:tr>
        <w:trPr>
          <w:cantSplit/>
        </w:trPr>
        <w:tc>
          <w:tcPr>
            <w:tcW w:type="dxa" w:w="2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短停留再出口</w:t>
            </w:r>
          </w:p>
        </w:tc>
        <w:tc>
          <w:tcPr>
            <w:tcW w:type="dxa" w:w="58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越南进口印度冻肉后短期内以近似重量/规格再出口中国</w:t>
            </w:r>
          </w:p>
        </w:tc>
        <w:tc>
          <w:tcPr>
            <w:tcW w:type="dxa" w:w="12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高</w:t>
            </w:r>
          </w:p>
        </w:tc>
      </w:tr>
      <w:tr>
        <w:trPr>
          <w:cantSplit/>
        </w:trPr>
        <w:tc>
          <w:tcPr>
            <w:tcW w:type="dxa" w:w="2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产能不匹配</w:t>
            </w:r>
          </w:p>
        </w:tc>
        <w:tc>
          <w:tcPr>
            <w:tcW w:type="dxa" w:w="58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越南出口商缺乏对应屠宰/加工能力，出口量显著超过可解释产量</w:t>
            </w:r>
          </w:p>
        </w:tc>
        <w:tc>
          <w:tcPr>
            <w:tcW w:type="dxa" w:w="12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高</w:t>
            </w:r>
          </w:p>
        </w:tc>
      </w:tr>
      <w:tr>
        <w:trPr>
          <w:cantSplit/>
        </w:trPr>
        <w:tc>
          <w:tcPr>
            <w:tcW w:type="dxa" w:w="2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注册/证书异常</w:t>
            </w:r>
          </w:p>
        </w:tc>
        <w:tc>
          <w:tcPr>
            <w:tcW w:type="dxa" w:w="58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CIFER状态、卫生证书、原产地证、船名航次、集装箱或封志相互矛盾</w:t>
            </w:r>
          </w:p>
        </w:tc>
        <w:tc>
          <w:tcPr>
            <w:tcW w:type="dxa" w:w="12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很高</w:t>
            </w:r>
          </w:p>
        </w:tc>
      </w:tr>
      <w:tr>
        <w:trPr>
          <w:cantSplit/>
        </w:trPr>
        <w:tc>
          <w:tcPr>
            <w:tcW w:type="dxa" w:w="2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申报与冷链不匹配</w:t>
            </w:r>
          </w:p>
        </w:tc>
        <w:tc>
          <w:tcPr>
            <w:tcW w:type="dxa" w:w="58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申报常温/低密度货物，却使用冷藏箱且温度记录指向冻品</w:t>
            </w:r>
          </w:p>
        </w:tc>
        <w:tc>
          <w:tcPr>
            <w:tcW w:type="dxa" w:w="12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很高</w:t>
            </w:r>
          </w:p>
        </w:tc>
      </w:tr>
      <w:tr>
        <w:trPr>
          <w:cantSplit/>
        </w:trPr>
        <w:tc>
          <w:tcPr>
            <w:tcW w:type="dxa" w:w="2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重量与包装异常</w:t>
            </w:r>
          </w:p>
        </w:tc>
        <w:tc>
          <w:tcPr>
            <w:tcW w:type="dxa" w:w="58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VGM、毛重、净重、件数、箱型和扫描图像无法相互解释</w:t>
            </w:r>
          </w:p>
        </w:tc>
        <w:tc>
          <w:tcPr>
            <w:tcW w:type="dxa" w:w="12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高</w:t>
            </w:r>
          </w:p>
        </w:tc>
      </w:tr>
      <w:tr>
        <w:trPr>
          <w:cantSplit/>
        </w:trPr>
        <w:tc>
          <w:tcPr>
            <w:tcW w:type="dxa" w:w="2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主体快速轮换</w:t>
            </w:r>
          </w:p>
        </w:tc>
        <w:tc>
          <w:tcPr>
            <w:tcW w:type="dxa" w:w="58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新设进口商频繁更换收货人、报关行、货代、冻库或联系电话</w:t>
            </w:r>
          </w:p>
        </w:tc>
        <w:tc>
          <w:tcPr>
            <w:tcW w:type="dxa" w:w="12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中高</w:t>
            </w:r>
          </w:p>
        </w:tc>
      </w:tr>
      <w:tr>
        <w:trPr>
          <w:cantSplit/>
        </w:trPr>
        <w:tc>
          <w:tcPr>
            <w:tcW w:type="dxa" w:w="2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销售量倒挂</w:t>
            </w:r>
          </w:p>
        </w:tc>
        <w:tc>
          <w:tcPr>
            <w:tcW w:type="dxa" w:w="58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标称澳洲/合规来源产品销量超过可核验进口和国内采购量</w:t>
            </w:r>
          </w:p>
        </w:tc>
        <w:tc>
          <w:tcPr>
            <w:tcW w:type="dxa" w:w="12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很高</w:t>
            </w:r>
          </w:p>
        </w:tc>
      </w:tr>
    </w:tbl>
    <w:p>
      <w:pPr>
        <w:pStyle w:val="Heading2"/>
      </w:pPr>
      <w:r>
        <w:t>8.2 实物、仓储与海陆联动指标</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560"/>
        <w:gridCol w:w="7800"/>
      </w:tblGrid>
      <w:tr>
        <w:trPr>
          <w:tblHeader w:val="true"/>
          <w:cantSplit/>
        </w:trPr>
        <w:tc>
          <w:tcPr>
            <w:tcW w:type="dxa" w:w="156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维度</w:t>
            </w:r>
          </w:p>
        </w:tc>
        <w:tc>
          <w:tcPr>
            <w:tcW w:type="dxa" w:w="780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异常信号</w:t>
            </w:r>
          </w:p>
        </w:tc>
      </w:tr>
      <w:tr>
        <w:trPr>
          <w:cantSplit/>
        </w:trPr>
        <w:tc>
          <w:tcPr>
            <w:tcW w:type="dxa" w:w="15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包装</w:t>
            </w:r>
          </w:p>
        </w:tc>
        <w:tc>
          <w:tcPr>
            <w:tcW w:type="dxa" w:w="78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外层越南标签、内层出现印度APEDA/工厂代码、日期或品牌；封志更换无合理记录</w:t>
            </w:r>
          </w:p>
        </w:tc>
      </w:tr>
      <w:tr>
        <w:trPr>
          <w:cantSplit/>
        </w:trPr>
        <w:tc>
          <w:tcPr>
            <w:tcW w:type="dxa" w:w="15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检测</w:t>
            </w:r>
          </w:p>
        </w:tc>
        <w:tc>
          <w:tcPr>
            <w:tcW w:type="dxa" w:w="78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标称牛肉检出水牛成分；或同一批次不同包装的物种结果不一致</w:t>
            </w:r>
          </w:p>
        </w:tc>
      </w:tr>
      <w:tr>
        <w:trPr>
          <w:cantSplit/>
        </w:trPr>
        <w:tc>
          <w:tcPr>
            <w:tcW w:type="dxa" w:w="15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仓储</w:t>
            </w:r>
          </w:p>
        </w:tc>
        <w:tc>
          <w:tcPr>
            <w:tcW w:type="dxa" w:w="78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冻库无对应入境证明但库存突增；凌晨集中入库；货物多次换库、换标、分装</w:t>
            </w:r>
          </w:p>
        </w:tc>
      </w:tr>
      <w:tr>
        <w:trPr>
          <w:cantSplit/>
        </w:trPr>
        <w:tc>
          <w:tcPr>
            <w:tcW w:type="dxa" w:w="15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车辆</w:t>
            </w:r>
          </w:p>
        </w:tc>
        <w:tc>
          <w:tcPr>
            <w:tcW w:type="dxa" w:w="78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非设关码头夜间出现冷藏车，车辆载重、进出时间与港区/冻库记录不一致</w:t>
            </w:r>
          </w:p>
        </w:tc>
      </w:tr>
      <w:tr>
        <w:trPr>
          <w:cantSplit/>
        </w:trPr>
        <w:tc>
          <w:tcPr>
            <w:tcW w:type="dxa" w:w="15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船舶</w:t>
            </w:r>
          </w:p>
        </w:tc>
        <w:tc>
          <w:tcPr>
            <w:tcW w:type="dxa" w:w="78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AIS长时间缺口、异常低速会合、无合理作业计划靠近岛屿或岸线，随后出现岸上冷链活动</w:t>
            </w:r>
          </w:p>
        </w:tc>
      </w:tr>
    </w:tbl>
    <w:p>
      <w:pPr>
        <w:spacing w:before="80" w:after="80" w:line="240" w:lineRule="auto"/>
      </w:pPr>
      <w:r>
        <w:rPr>
          <w:rFonts w:ascii="Calibri" w:hAnsi="Calibri" w:eastAsia="Microsoft YaHei"/>
          <w:color w:val="687386"/>
          <w:sz w:val="17"/>
        </w:rPr>
        <w:t>检测提示：物种PCR可区分水牛/牛等成分，但通常不能单独证明地理原产国；原产地判断需要单证、生产企业、供应链和必要的同位素/溯源证据组合。</w:t>
      </w:r>
    </w:p>
    <w:p>
      <w:pPr>
        <w:pStyle w:val="Heading1"/>
      </w:pPr>
      <w:r>
        <w:t>9. 建议的核查与控制措施</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920"/>
        <w:gridCol w:w="7440"/>
      </w:tblGrid>
      <w:tr>
        <w:trPr>
          <w:tblHeader w:val="true"/>
          <w:cantSplit/>
        </w:trPr>
        <w:tc>
          <w:tcPr>
            <w:tcW w:type="dxa" w:w="192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阶段</w:t>
            </w:r>
          </w:p>
        </w:tc>
        <w:tc>
          <w:tcPr>
            <w:tcW w:type="dxa" w:w="744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措施</w:t>
            </w:r>
          </w:p>
        </w:tc>
      </w:tr>
      <w:tr>
        <w:trPr>
          <w:cantSplit/>
        </w:trPr>
        <w:tc>
          <w:tcPr>
            <w:tcW w:type="dxa" w:w="19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立即（0—30天）</w:t>
            </w:r>
          </w:p>
        </w:tc>
        <w:tc>
          <w:tcPr>
            <w:tcW w:type="dxa" w:w="74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建立三地口岸风险清单；冻结式保存准入名单快照；对越南装运冻品开展原产地/企业注册交叉核验；采集山姆重点SKU基线</w:t>
            </w:r>
          </w:p>
        </w:tc>
      </w:tr>
      <w:tr>
        <w:trPr>
          <w:cantSplit/>
        </w:trPr>
        <w:tc>
          <w:tcPr>
            <w:tcW w:type="dxa" w:w="19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短期（1—3个月）</w:t>
            </w:r>
          </w:p>
        </w:tc>
        <w:tc>
          <w:tcPr>
            <w:tcW w:type="dxa" w:w="74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形成舱单—VGM—箱温—扫描—查验—冻库—车辆闭环；对异常批次抽取内外包装和物种样本；建立进口量—销售量平衡</w:t>
            </w:r>
          </w:p>
        </w:tc>
      </w:tr>
      <w:tr>
        <w:trPr>
          <w:cantSplit/>
        </w:trPr>
        <w:tc>
          <w:tcPr>
            <w:tcW w:type="dxa" w:w="19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中期（3—6个月）</w:t>
            </w:r>
          </w:p>
        </w:tc>
        <w:tc>
          <w:tcPr>
            <w:tcW w:type="dxa" w:w="74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把AIS、港区闸口、非设关码头视频、冷藏车和冻库数据进行时空关联；绘制企业/电话/地址/付款关系图谱</w:t>
            </w:r>
          </w:p>
        </w:tc>
      </w:tr>
      <w:tr>
        <w:trPr>
          <w:cantSplit/>
        </w:trPr>
        <w:tc>
          <w:tcPr>
            <w:tcW w:type="dxa" w:w="19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触发调查</w:t>
            </w:r>
          </w:p>
        </w:tc>
        <w:tc>
          <w:tcPr>
            <w:tcW w:type="dxa" w:w="74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出现证书冲突、产能不匹配、短停留再出口、物种不符或销量倒挂两项以上时，升级为企业和批次专项核查</w:t>
            </w:r>
          </w:p>
        </w:tc>
      </w:tr>
    </w:tbl>
    <w:p>
      <w:pPr>
        <w:pStyle w:val="Heading1"/>
      </w:pPr>
      <w:r>
        <w:t>10. 后续需要补充的数据清单</w:t>
      </w:r>
    </w:p>
    <w:p>
      <w:pPr>
        <w:keepLines w:val="0"/>
        <w:spacing w:after="120"/>
      </w:pPr>
      <w:r>
        <w:rPr>
          <w:rFonts w:ascii="Calibri" w:hAnsi="Calibri" w:eastAsia="Microsoft YaHei"/>
          <w:color w:val="000000"/>
          <w:sz w:val="22"/>
        </w:rPr>
        <w:t>以下数据用于把“结构性风险”推进到“企业—批次—路径”可验证结论。建议以2024年1月至今为基础窗口；印度—越南贸易流为观察长期模式，可回溯至2023年。</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780"/>
        <w:gridCol w:w="1680"/>
        <w:gridCol w:w="4920"/>
        <w:gridCol w:w="1980"/>
      </w:tblGrid>
      <w:tr>
        <w:trPr>
          <w:tblHeader w:val="true"/>
          <w:cantSplit/>
        </w:trPr>
        <w:tc>
          <w:tcPr>
            <w:tcW w:type="dxa" w:w="7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5"/>
              </w:rPr>
              <w:t>优先级</w:t>
            </w:r>
          </w:p>
        </w:tc>
        <w:tc>
          <w:tcPr>
            <w:tcW w:type="dxa" w:w="16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5"/>
              </w:rPr>
              <w:t>数据包</w:t>
            </w:r>
          </w:p>
        </w:tc>
        <w:tc>
          <w:tcPr>
            <w:tcW w:type="dxa" w:w="492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5"/>
              </w:rPr>
              <w:t>最小字段</w:t>
            </w:r>
          </w:p>
        </w:tc>
        <w:tc>
          <w:tcPr>
            <w:tcW w:type="dxa" w:w="19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5"/>
              </w:rPr>
              <w:t>用途</w:t>
            </w:r>
          </w:p>
        </w:tc>
      </w:tr>
      <w:tr>
        <w:trPr>
          <w:cantSplit/>
        </w:trPr>
        <w:tc>
          <w:tcPr>
            <w:tcW w:type="dxa" w:w="7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P0</w:t>
            </w:r>
          </w:p>
        </w:tc>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海关准入与注册快照</w:t>
            </w:r>
          </w:p>
        </w:tc>
        <w:tc>
          <w:tcPr>
            <w:tcW w:type="dxa" w:w="49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按日期保存国家/产品准入、境外生产企业注册、暂停/恢复状态、卫生证书样本、指定监管场地名单</w:t>
            </w:r>
          </w:p>
        </w:tc>
        <w:tc>
          <w:tcPr>
            <w:tcW w:type="dxa" w:w="19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先判断是否具备合法进口前提；避免用当前名单倒推历史</w:t>
            </w:r>
          </w:p>
        </w:tc>
      </w:tr>
      <w:tr>
        <w:trPr>
          <w:cantSplit/>
        </w:trPr>
        <w:tc>
          <w:tcPr>
            <w:tcW w:type="dxa" w:w="7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P0</w:t>
            </w:r>
          </w:p>
        </w:tc>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中国进口报关与舱单</w:t>
            </w:r>
          </w:p>
        </w:tc>
        <w:tc>
          <w:tcPr>
            <w:tcW w:type="dxa" w:w="49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报关号/日期、口岸、监管方式、HS/品名、毛净重、金额、原产地、启运/装运/中转港、船名航次、箱号/箱型、封志、提单号、收货人、申报企业、境内目的地、查验结果</w:t>
            </w:r>
          </w:p>
        </w:tc>
        <w:tc>
          <w:tcPr>
            <w:tcW w:type="dxa" w:w="19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识别正规口岸伪报、夹藏、估价和原产地异常</w:t>
            </w:r>
          </w:p>
        </w:tc>
      </w:tr>
      <w:tr>
        <w:trPr>
          <w:cantSplit/>
        </w:trPr>
        <w:tc>
          <w:tcPr>
            <w:tcW w:type="dxa" w:w="7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P0</w:t>
            </w:r>
          </w:p>
        </w:tc>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配额与实际税负</w:t>
            </w:r>
          </w:p>
        </w:tc>
        <w:tc>
          <w:tcPr>
            <w:tcW w:type="dxa" w:w="49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各国配额逐日使用量、达量日期、配额外申报、实际税率、完税价格、担保/补税情况</w:t>
            </w:r>
          </w:p>
        </w:tc>
        <w:tc>
          <w:tcPr>
            <w:tcW w:type="dxa" w:w="19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量化价格冲击和异常低价</w:t>
            </w:r>
          </w:p>
        </w:tc>
      </w:tr>
      <w:tr>
        <w:trPr>
          <w:cantSplit/>
        </w:trPr>
        <w:tc>
          <w:tcPr>
            <w:tcW w:type="dxa" w:w="7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P1</w:t>
            </w:r>
          </w:p>
        </w:tc>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印度→越南明细贸易</w:t>
            </w:r>
          </w:p>
        </w:tc>
        <w:tc>
          <w:tcPr>
            <w:tcW w:type="dxa" w:w="49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2023年至今月度HS 020230/0206/1602；出口商、进口商、数量、金额、港口、生产企业、提单/箱号、到港日</w:t>
            </w:r>
          </w:p>
        </w:tc>
        <w:tc>
          <w:tcPr>
            <w:tcW w:type="dxa" w:w="19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识别上游供应商和越南进口节点</w:t>
            </w:r>
          </w:p>
        </w:tc>
      </w:tr>
      <w:tr>
        <w:trPr>
          <w:cantSplit/>
        </w:trPr>
        <w:tc>
          <w:tcPr>
            <w:tcW w:type="dxa" w:w="7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P1</w:t>
            </w:r>
          </w:p>
        </w:tc>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越南→中国明细贸易</w:t>
            </w:r>
          </w:p>
        </w:tc>
        <w:tc>
          <w:tcPr>
            <w:tcW w:type="dxa" w:w="49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与上项相同并增加原产地、再出口日期、加工企业、证书号；支持进出批次匹配</w:t>
            </w:r>
          </w:p>
        </w:tc>
        <w:tc>
          <w:tcPr>
            <w:tcW w:type="dxa" w:w="19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计算短停留、重量相似度和产能异常</w:t>
            </w:r>
          </w:p>
        </w:tc>
      </w:tr>
    </w:tbl>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780"/>
        <w:gridCol w:w="1680"/>
        <w:gridCol w:w="4920"/>
        <w:gridCol w:w="1980"/>
      </w:tblGrid>
      <w:tr>
        <w:trPr>
          <w:tblHeader w:val="true"/>
          <w:cantSplit/>
        </w:trPr>
        <w:tc>
          <w:tcPr>
            <w:tcW w:type="dxa" w:w="7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5"/>
              </w:rPr>
              <w:t>优先级</w:t>
            </w:r>
          </w:p>
        </w:tc>
        <w:tc>
          <w:tcPr>
            <w:tcW w:type="dxa" w:w="16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5"/>
              </w:rPr>
              <w:t>数据包</w:t>
            </w:r>
          </w:p>
        </w:tc>
        <w:tc>
          <w:tcPr>
            <w:tcW w:type="dxa" w:w="492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5"/>
              </w:rPr>
              <w:t>最小字段</w:t>
            </w:r>
          </w:p>
        </w:tc>
        <w:tc>
          <w:tcPr>
            <w:tcW w:type="dxa" w:w="19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5"/>
              </w:rPr>
              <w:t>用途</w:t>
            </w:r>
          </w:p>
        </w:tc>
      </w:tr>
      <w:tr>
        <w:trPr>
          <w:cantSplit/>
        </w:trPr>
        <w:tc>
          <w:tcPr>
            <w:tcW w:type="dxa" w:w="7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P1</w:t>
            </w:r>
          </w:p>
        </w:tc>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冷库与国内流向</w:t>
            </w:r>
          </w:p>
        </w:tc>
        <w:tc>
          <w:tcPr>
            <w:tcW w:type="dxa" w:w="49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冻库名称/库位、入出库时间、品名批次、重量、温度、货主、车辆、司机、上游单证、下游客户</w:t>
            </w:r>
          </w:p>
        </w:tc>
        <w:tc>
          <w:tcPr>
            <w:tcW w:type="dxa" w:w="19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识别港后洗白、混货和批量分销</w:t>
            </w:r>
          </w:p>
        </w:tc>
      </w:tr>
      <w:tr>
        <w:trPr>
          <w:cantSplit/>
        </w:trPr>
        <w:tc>
          <w:tcPr>
            <w:tcW w:type="dxa" w:w="7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P1</w:t>
            </w:r>
          </w:p>
        </w:tc>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山姆SKU与批次</w:t>
            </w:r>
          </w:p>
        </w:tc>
        <w:tc>
          <w:tcPr>
            <w:tcW w:type="dxa" w:w="49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门店/日期/SKU/价格/规格/标签产地、境外工厂号、生产包装日期、批号、进口商、采购/入库/销售量、对应报关单</w:t>
            </w:r>
          </w:p>
        </w:tc>
        <w:tc>
          <w:tcPr>
            <w:tcW w:type="dxa" w:w="19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区分政策调价、换产地、上游替代与假冒渠道</w:t>
            </w:r>
          </w:p>
        </w:tc>
      </w:tr>
      <w:tr>
        <w:trPr>
          <w:cantSplit/>
        </w:trPr>
        <w:tc>
          <w:tcPr>
            <w:tcW w:type="dxa" w:w="7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P1</w:t>
            </w:r>
          </w:p>
        </w:tc>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抽样检测</w:t>
            </w:r>
          </w:p>
        </w:tc>
        <w:tc>
          <w:tcPr>
            <w:tcW w:type="dxa" w:w="49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样品封存链、物种PCR、水牛/牛鉴别、病原体、兽药残留、包装油墨/标签/批号比对</w:t>
            </w:r>
          </w:p>
        </w:tc>
        <w:tc>
          <w:tcPr>
            <w:tcW w:type="dxa" w:w="19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验证掺混、未经检疫和标签冲突；不单凭物种判断地理原产</w:t>
            </w:r>
          </w:p>
        </w:tc>
      </w:tr>
      <w:tr>
        <w:trPr>
          <w:cantSplit/>
        </w:trPr>
        <w:tc>
          <w:tcPr>
            <w:tcW w:type="dxa" w:w="7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P2</w:t>
            </w:r>
          </w:p>
        </w:tc>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执法案件底表</w:t>
            </w:r>
          </w:p>
        </w:tc>
        <w:tc>
          <w:tcPr>
            <w:tcW w:type="dxa" w:w="49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2023年至今案件时间、地点、手法、品类、数量、标称/实际来源、船舶/车辆/箱号、冻库和下游</w:t>
            </w:r>
          </w:p>
        </w:tc>
        <w:tc>
          <w:tcPr>
            <w:tcW w:type="dxa" w:w="19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校准高风险水域、时段和网络复用</w:t>
            </w:r>
          </w:p>
        </w:tc>
      </w:tr>
      <w:tr>
        <w:trPr>
          <w:cantSplit/>
        </w:trPr>
        <w:tc>
          <w:tcPr>
            <w:tcW w:type="dxa" w:w="7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P2</w:t>
            </w:r>
          </w:p>
        </w:tc>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AIS与港区通行</w:t>
            </w:r>
          </w:p>
        </w:tc>
        <w:tc>
          <w:tcPr>
            <w:tcW w:type="dxa" w:w="49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MMSI/IMO、轨迹和缺口、会合、靠泊、闸口进出、冷藏插电/箱温、VGM/地磅、视频索引</w:t>
            </w:r>
          </w:p>
        </w:tc>
        <w:tc>
          <w:tcPr>
            <w:tcW w:type="dxa" w:w="19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验证海上转驳—岸上车辆时空链</w:t>
            </w:r>
          </w:p>
        </w:tc>
      </w:tr>
      <w:tr>
        <w:trPr>
          <w:cantSplit/>
        </w:trPr>
        <w:tc>
          <w:tcPr>
            <w:tcW w:type="dxa" w:w="7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P2</w:t>
            </w:r>
          </w:p>
        </w:tc>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企业与资金关系</w:t>
            </w:r>
          </w:p>
        </w:tc>
        <w:tc>
          <w:tcPr>
            <w:tcW w:type="dxa" w:w="49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工商、股东、电话、地址、历史进出口、发票、付款、关联货代/报关行/冷库/物流</w:t>
            </w:r>
          </w:p>
        </w:tc>
        <w:tc>
          <w:tcPr>
            <w:tcW w:type="dxa" w:w="19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识别空壳公司、主体轮换和共同控制</w:t>
            </w:r>
          </w:p>
        </w:tc>
      </w:tr>
    </w:tbl>
    <w:p>
      <w:pPr>
        <w:pStyle w:val="Heading2"/>
      </w:pPr>
      <w:r>
        <w:t>10.1 建议的最小可行数据组合</w:t>
      </w:r>
    </w:p>
    <w:p>
      <w:pPr>
        <w:keepLines w:val="0"/>
        <w:spacing w:after="120"/>
      </w:pPr>
      <w:r>
        <w:rPr>
          <w:rFonts w:ascii="Calibri" w:hAnsi="Calibri" w:eastAsia="Microsoft YaHei"/>
          <w:color w:val="000000"/>
          <w:sz w:val="22"/>
        </w:rPr>
        <w:t>若短期只能取得少量数据，优先组合为：①交易时点准入/注册快照；②中国报关单、舱单和提单字段；③印度—越南与越南—中国月度及企业级流向；④目的冻库入出库和下游销量；⑤对异常批次实施内外包装核对与物种PCR。前四项建立“来源—入境—仓储—销售”数量链，第五项验证实物。</w:t>
      </w:r>
    </w:p>
    <w:p>
      <w:pPr>
        <w:keepLines w:val="0"/>
        <w:spacing w:after="120"/>
      </w:pPr>
      <w:r>
        <w:rPr>
          <w:rFonts w:ascii="Calibri" w:hAnsi="Calibri" w:eastAsia="Microsoft YaHei"/>
          <w:color w:val="000000"/>
          <w:sz w:val="22"/>
        </w:rPr>
        <w:t>若无法获得完整提单数据，可先用月度贸易、船期、港区到港、冷库库存和零售批次做时间窗匹配；这只能生成核查名单，不能替代提单/报关级证据。</w:t>
      </w:r>
    </w:p>
    <w:p>
      <w:pPr>
        <w:pStyle w:val="Heading1"/>
      </w:pPr>
      <w:r>
        <w:t>11. 综合结论</w:t>
      </w:r>
    </w:p>
    <w:p>
      <w:pPr>
        <w:keepLines w:val="0"/>
        <w:spacing w:after="120"/>
      </w:pPr>
      <w:r>
        <w:rPr>
          <w:rFonts w:ascii="Calibri" w:hAnsi="Calibri" w:eastAsia="Microsoft YaHei"/>
          <w:color w:val="000000"/>
          <w:sz w:val="22"/>
        </w:rPr>
        <w:t>第一，2026年山姆澳洲牛肉涨价主要可由澳大利亚牛肉国别配额提前用尽及配额外55%加征关税解释。价格上升会增加全市场非法套利诱因，但对山姆自身的直接走私风险，当前证据仅支持“低”，不能作涉私推断。</w:t>
      </w:r>
    </w:p>
    <w:p>
      <w:pPr>
        <w:keepLines w:val="0"/>
        <w:spacing w:after="120"/>
      </w:pPr>
      <w:r>
        <w:rPr>
          <w:rFonts w:ascii="Calibri" w:hAnsi="Calibri" w:eastAsia="Microsoft YaHei"/>
          <w:color w:val="000000"/>
          <w:sz w:val="22"/>
        </w:rPr>
        <w:t>第二，三地风险的共同特征是“正规口岸有控制、周边水域和港后链条更脆弱”。南沙和沙田正规口岸的重点是原产地、证书、箱货和估价一致性；拱北辖区的万山—担杆等海域以及珠江口非设关链条，应按很高风险实施海陆联动监测。</w:t>
      </w:r>
    </w:p>
    <w:p>
      <w:pPr>
        <w:keepLines w:val="0"/>
        <w:spacing w:after="120"/>
      </w:pPr>
      <w:r>
        <w:rPr>
          <w:rFonts w:ascii="Calibri" w:hAnsi="Calibri" w:eastAsia="Microsoft YaHei"/>
          <w:color w:val="000000"/>
          <w:sz w:val="22"/>
        </w:rPr>
        <w:t>第三，印度水牛肉经越南等第三国进入中国具备供应规模、价差和物流可达性，整体风险评为中高；更可能经中越陆路或珠江口海上绕关兑现，其次才是正规口岸伪报。任何具体认定都必须落到准入状态、生产企业、证书、提单、集装箱、冻库和批次检测。</w:t>
      </w:r>
    </w:p>
    <w:p>
      <w:pPr>
        <w:keepLines w:val="0"/>
        <w:spacing w:after="120"/>
      </w:pPr>
      <w:r>
        <w:rPr>
          <w:rFonts w:ascii="Calibri" w:hAnsi="Calibri" w:eastAsia="Microsoft YaHei"/>
          <w:color w:val="000000"/>
          <w:sz w:val="22"/>
        </w:rPr>
        <w:t>第四，下一阶段的核心不是继续堆叠公开新闻，而是补齐企业级和批次级数据。以“准入合法性—原产地真实性—货物一致性—数量平衡—实物检测”五条证据链并行，才能把风险地图转化为可执法、可审计、可复核的结论。</w:t>
      </w:r>
    </w:p>
    <w:p>
      <w:pPr>
        <w:pStyle w:val="Heading1"/>
      </w:pPr>
      <w:r>
        <w:t>参考资料</w:t>
      </w:r>
    </w:p>
    <w:p>
      <w:pPr>
        <w:spacing w:before="0" w:after="80" w:line="240" w:lineRule="auto"/>
      </w:pPr>
      <w:r>
        <w:rPr>
          <w:rFonts w:ascii="Calibri" w:hAnsi="Calibri" w:eastAsia="Microsoft YaHei"/>
          <w:color w:val="000000"/>
          <w:sz w:val="17"/>
        </w:rPr>
        <w:t xml:space="preserve">[1] 中华人民共和国商务部公告2025年第87号及附件2《配额数量及加征关税税率表》，商务部，2025-12-31。 </w:t>
      </w:r>
      <w:hyperlink r:id="rId11">
        <w:r>
          <w:rPr>
            <w:rFonts w:ascii="Calibri" w:hAnsi="Calibri" w:eastAsia="Microsoft YaHei"/>
            <w:color w:val="2E74B5"/>
            <w:sz w:val="17"/>
            <w:u w:val="single"/>
          </w:rPr>
          <w:t>在线来源</w:t>
        </w:r>
      </w:hyperlink>
    </w:p>
    <w:p>
      <w:pPr>
        <w:spacing w:before="0" w:after="80" w:line="240" w:lineRule="auto"/>
      </w:pPr>
      <w:r>
        <w:rPr>
          <w:rFonts w:ascii="Calibri" w:hAnsi="Calibri" w:eastAsia="Microsoft YaHei"/>
          <w:color w:val="000000"/>
          <w:sz w:val="17"/>
        </w:rPr>
        <w:t xml:space="preserve">[2] 关于2026年度牛肉保障措施执行提示信息（五）/澳大利亚配额达到100%，商务部贸易救济调查局，2026-06-19。 </w:t>
      </w:r>
      <w:hyperlink r:id="rId12">
        <w:r>
          <w:rPr>
            <w:rFonts w:ascii="Calibri" w:hAnsi="Calibri" w:eastAsia="Microsoft YaHei"/>
            <w:color w:val="2E74B5"/>
            <w:sz w:val="17"/>
            <w:u w:val="single"/>
          </w:rPr>
          <w:t>在线来源</w:t>
        </w:r>
      </w:hyperlink>
    </w:p>
    <w:p>
      <w:pPr>
        <w:spacing w:before="0" w:after="80" w:line="240" w:lineRule="auto"/>
      </w:pPr>
      <w:r>
        <w:rPr>
          <w:rFonts w:ascii="Calibri" w:hAnsi="Calibri" w:eastAsia="Microsoft YaHei"/>
          <w:color w:val="000000"/>
          <w:sz w:val="17"/>
        </w:rPr>
        <w:t xml:space="preserve">[3] “昨天109元，今天125元”——山姆多款牛肉被曝涨价，光明网转载经济日报综合，2026-07-05。 </w:t>
      </w:r>
      <w:hyperlink r:id="rId13">
        <w:r>
          <w:rPr>
            <w:rFonts w:ascii="Calibri" w:hAnsi="Calibri" w:eastAsia="Microsoft YaHei"/>
            <w:color w:val="2E74B5"/>
            <w:sz w:val="17"/>
            <w:u w:val="single"/>
          </w:rPr>
          <w:t>在线来源</w:t>
        </w:r>
      </w:hyperlink>
    </w:p>
    <w:p>
      <w:pPr>
        <w:spacing w:before="0" w:after="80" w:line="240" w:lineRule="auto"/>
      </w:pPr>
      <w:r>
        <w:rPr>
          <w:rFonts w:ascii="Calibri" w:hAnsi="Calibri" w:eastAsia="Microsoft YaHei"/>
          <w:color w:val="000000"/>
          <w:sz w:val="17"/>
        </w:rPr>
        <w:t xml:space="preserve">[4] Safety of Imported and Exported Food，中华人民共和国海关总署，2020-09-03。 </w:t>
      </w:r>
      <w:hyperlink r:id="rId14">
        <w:r>
          <w:rPr>
            <w:rFonts w:ascii="Calibri" w:hAnsi="Calibri" w:eastAsia="Microsoft YaHei"/>
            <w:color w:val="2E74B5"/>
            <w:sz w:val="17"/>
            <w:u w:val="single"/>
          </w:rPr>
          <w:t>在线来源</w:t>
        </w:r>
      </w:hyperlink>
    </w:p>
    <w:p>
      <w:pPr>
        <w:spacing w:before="0" w:after="80" w:line="240" w:lineRule="auto"/>
      </w:pPr>
      <w:r>
        <w:rPr>
          <w:rFonts w:ascii="Calibri" w:hAnsi="Calibri" w:eastAsia="Microsoft YaHei"/>
          <w:color w:val="000000"/>
          <w:sz w:val="17"/>
        </w:rPr>
        <w:t xml:space="preserve">[5] 钻进零下23℃的国内最大临港单体冷库——广州南沙港口边的“超级冰箱”，广州市南沙区人民政府，2023。 </w:t>
      </w:r>
      <w:hyperlink r:id="rId15">
        <w:r>
          <w:rPr>
            <w:rFonts w:ascii="Calibri" w:hAnsi="Calibri" w:eastAsia="Microsoft YaHei"/>
            <w:color w:val="2E74B5"/>
            <w:sz w:val="17"/>
            <w:u w:val="single"/>
          </w:rPr>
          <w:t>在线来源</w:t>
        </w:r>
      </w:hyperlink>
    </w:p>
    <w:p>
      <w:pPr>
        <w:spacing w:before="0" w:after="80" w:line="240" w:lineRule="auto"/>
      </w:pPr>
      <w:r>
        <w:rPr>
          <w:rFonts w:ascii="Calibri" w:hAnsi="Calibri" w:eastAsia="Microsoft YaHei"/>
          <w:color w:val="000000"/>
          <w:sz w:val="17"/>
        </w:rPr>
        <w:t xml:space="preserve">[6] 东莞港—越南胡志明直航正式开通，东莞市国资委/东莞港务集团，2024-04-17。 </w:t>
      </w:r>
      <w:hyperlink r:id="rId16">
        <w:r>
          <w:rPr>
            <w:rFonts w:ascii="Calibri" w:hAnsi="Calibri" w:eastAsia="Microsoft YaHei"/>
            <w:color w:val="2E74B5"/>
            <w:sz w:val="17"/>
            <w:u w:val="single"/>
          </w:rPr>
          <w:t>在线来源</w:t>
        </w:r>
      </w:hyperlink>
    </w:p>
    <w:p>
      <w:pPr>
        <w:spacing w:before="0" w:after="80" w:line="240" w:lineRule="auto"/>
      </w:pPr>
      <w:r>
        <w:rPr>
          <w:rFonts w:ascii="Calibri" w:hAnsi="Calibri" w:eastAsia="Microsoft YaHei"/>
          <w:color w:val="000000"/>
          <w:sz w:val="17"/>
        </w:rPr>
        <w:t xml:space="preserve">[7] 国务院批复同意珠海港口岸整合并扩大开放工作，广东省委港澳工作办公室转载央视新闻，2024-03-15。 </w:t>
      </w:r>
      <w:hyperlink r:id="rId17">
        <w:r>
          <w:rPr>
            <w:rFonts w:ascii="Calibri" w:hAnsi="Calibri" w:eastAsia="Microsoft YaHei"/>
            <w:color w:val="2E74B5"/>
            <w:sz w:val="17"/>
            <w:u w:val="single"/>
          </w:rPr>
          <w:t>在线来源</w:t>
        </w:r>
      </w:hyperlink>
    </w:p>
    <w:p>
      <w:pPr>
        <w:spacing w:before="0" w:after="80" w:line="240" w:lineRule="auto"/>
      </w:pPr>
      <w:r>
        <w:rPr>
          <w:rFonts w:ascii="Calibri" w:hAnsi="Calibri" w:eastAsia="Microsoft YaHei"/>
          <w:color w:val="000000"/>
          <w:sz w:val="17"/>
        </w:rPr>
        <w:t xml:space="preserve">[8] 打击走私犯罪典型案例，广东省高级人民法院，2024-07-17。 </w:t>
      </w:r>
      <w:hyperlink r:id="rId18">
        <w:r>
          <w:rPr>
            <w:rFonts w:ascii="Calibri" w:hAnsi="Calibri" w:eastAsia="Microsoft YaHei"/>
            <w:color w:val="2E74B5"/>
            <w:sz w:val="17"/>
            <w:u w:val="single"/>
          </w:rPr>
          <w:t>在线来源</w:t>
        </w:r>
      </w:hyperlink>
    </w:p>
    <w:p>
      <w:pPr>
        <w:spacing w:before="0" w:after="80" w:line="240" w:lineRule="auto"/>
      </w:pPr>
      <w:r>
        <w:rPr>
          <w:rFonts w:ascii="Calibri" w:hAnsi="Calibri" w:eastAsia="Microsoft YaHei"/>
          <w:color w:val="000000"/>
          <w:sz w:val="17"/>
        </w:rPr>
        <w:t xml:space="preserve">[9] 关于打击粤港澳海上跨境走私犯罪适用法律若干问题的指导意见，最高人民法院等五部门，2021-12-14。 </w:t>
      </w:r>
      <w:hyperlink r:id="rId19">
        <w:r>
          <w:rPr>
            <w:rFonts w:ascii="Calibri" w:hAnsi="Calibri" w:eastAsia="Microsoft YaHei"/>
            <w:color w:val="2E74B5"/>
            <w:sz w:val="17"/>
            <w:u w:val="single"/>
          </w:rPr>
          <w:t>在线来源</w:t>
        </w:r>
      </w:hyperlink>
    </w:p>
    <w:p>
      <w:pPr>
        <w:spacing w:before="0" w:after="80" w:line="240" w:lineRule="auto"/>
      </w:pPr>
      <w:r>
        <w:rPr>
          <w:rFonts w:ascii="Calibri" w:hAnsi="Calibri" w:eastAsia="Microsoft YaHei"/>
          <w:color w:val="000000"/>
          <w:sz w:val="17"/>
        </w:rPr>
        <w:t xml:space="preserve">[10] 广东东莞海警集中无害化处置走私冻品220余吨，中国新闻网，2026-04-02。 </w:t>
      </w:r>
      <w:hyperlink r:id="rId20">
        <w:r>
          <w:rPr>
            <w:rFonts w:ascii="Calibri" w:hAnsi="Calibri" w:eastAsia="Microsoft YaHei"/>
            <w:color w:val="2E74B5"/>
            <w:sz w:val="17"/>
            <w:u w:val="single"/>
          </w:rPr>
          <w:t>在线来源</w:t>
        </w:r>
      </w:hyperlink>
    </w:p>
    <w:p>
      <w:pPr>
        <w:spacing w:before="0" w:after="80" w:line="240" w:lineRule="auto"/>
      </w:pPr>
      <w:r>
        <w:rPr>
          <w:rFonts w:ascii="Calibri" w:hAnsi="Calibri" w:eastAsia="Microsoft YaHei"/>
          <w:color w:val="000000"/>
          <w:sz w:val="17"/>
        </w:rPr>
        <w:t xml:space="preserve">[11] 珠海拱北海关查获走私冻品入境案，查扣走私冻品800余吨，央视网，2019-12-07。 </w:t>
      </w:r>
      <w:hyperlink r:id="rId21">
        <w:r>
          <w:rPr>
            <w:rFonts w:ascii="Calibri" w:hAnsi="Calibri" w:eastAsia="Microsoft YaHei"/>
            <w:color w:val="2E74B5"/>
            <w:sz w:val="17"/>
            <w:u w:val="single"/>
          </w:rPr>
          <w:t>在线来源</w:t>
        </w:r>
      </w:hyperlink>
    </w:p>
    <w:p>
      <w:pPr>
        <w:spacing w:before="0" w:after="80" w:line="240" w:lineRule="auto"/>
      </w:pPr>
      <w:r>
        <w:rPr>
          <w:rFonts w:ascii="Calibri" w:hAnsi="Calibri" w:eastAsia="Microsoft YaHei"/>
          <w:color w:val="000000"/>
          <w:sz w:val="17"/>
        </w:rPr>
        <w:t xml:space="preserve">[12] Buffalo Meat: India Facts and Figures，印度APEDA，访问于2026-08-08。 </w:t>
      </w:r>
      <w:hyperlink r:id="rId22">
        <w:r>
          <w:rPr>
            <w:rFonts w:ascii="Calibri" w:hAnsi="Calibri" w:eastAsia="Microsoft YaHei"/>
            <w:color w:val="2E74B5"/>
            <w:sz w:val="17"/>
            <w:u w:val="single"/>
          </w:rPr>
          <w:t>在线来源</w:t>
        </w:r>
      </w:hyperlink>
    </w:p>
    <w:p>
      <w:pPr>
        <w:spacing w:before="0" w:after="80" w:line="240" w:lineRule="auto"/>
      </w:pPr>
      <w:r>
        <w:rPr>
          <w:rFonts w:ascii="Calibri" w:hAnsi="Calibri" w:eastAsia="Microsoft YaHei"/>
          <w:color w:val="000000"/>
          <w:sz w:val="17"/>
        </w:rPr>
        <w:t xml:space="preserve">[13] India exports to Viet Nam, HS 020230, 2025，UN Comtrade公开API，访问于2026-08-08。 </w:t>
      </w:r>
      <w:hyperlink r:id="rId23">
        <w:r>
          <w:rPr>
            <w:rFonts w:ascii="Calibri" w:hAnsi="Calibri" w:eastAsia="Microsoft YaHei"/>
            <w:color w:val="2E74B5"/>
            <w:sz w:val="17"/>
            <w:u w:val="single"/>
          </w:rPr>
          <w:t>在线来源</w:t>
        </w:r>
      </w:hyperlink>
    </w:p>
    <w:p>
      <w:pPr>
        <w:spacing w:before="0" w:after="80" w:line="240" w:lineRule="auto"/>
      </w:pPr>
      <w:r>
        <w:rPr>
          <w:rFonts w:ascii="Calibri" w:hAnsi="Calibri" w:eastAsia="Microsoft YaHei"/>
          <w:color w:val="000000"/>
          <w:sz w:val="17"/>
        </w:rPr>
        <w:t xml:space="preserve">[14] Australia exports to China, HS 020230, 2025，UN Comtrade公开API，访问于2026-08-08。 </w:t>
      </w:r>
      <w:hyperlink r:id="rId24">
        <w:r>
          <w:rPr>
            <w:rFonts w:ascii="Calibri" w:hAnsi="Calibri" w:eastAsia="Microsoft YaHei"/>
            <w:color w:val="2E74B5"/>
            <w:sz w:val="17"/>
            <w:u w:val="single"/>
          </w:rPr>
          <w:t>在线来源</w:t>
        </w:r>
      </w:hyperlink>
    </w:p>
    <w:p>
      <w:pPr>
        <w:spacing w:before="0" w:after="80" w:line="240" w:lineRule="auto"/>
      </w:pPr>
      <w:r>
        <w:rPr>
          <w:rFonts w:ascii="Calibri" w:hAnsi="Calibri" w:eastAsia="Microsoft YaHei"/>
          <w:color w:val="000000"/>
          <w:sz w:val="17"/>
        </w:rPr>
        <w:t xml:space="preserve">[15] Assessment procedure for meat products intended to be exported to China，中华人民共和国海关总署，2018-05-24。 </w:t>
      </w:r>
      <w:hyperlink r:id="rId25">
        <w:r>
          <w:rPr>
            <w:rFonts w:ascii="Calibri" w:hAnsi="Calibri" w:eastAsia="Microsoft YaHei"/>
            <w:color w:val="2E74B5"/>
            <w:sz w:val="17"/>
            <w:u w:val="single"/>
          </w:rPr>
          <w:t>在线来源</w:t>
        </w:r>
      </w:hyperlink>
    </w:p>
    <w:p>
      <w:pPr>
        <w:spacing w:before="0" w:after="80" w:line="240" w:lineRule="auto"/>
      </w:pPr>
      <w:r>
        <w:rPr>
          <w:rFonts w:ascii="Calibri" w:hAnsi="Calibri" w:eastAsia="Microsoft YaHei"/>
          <w:color w:val="000000"/>
          <w:sz w:val="17"/>
        </w:rPr>
        <w:t xml:space="preserve">[16] 进口肉类指定监管场地动态管理说明（海关总署公告2019年第74号），海关总署/商务部政策转载，2019。 </w:t>
      </w:r>
      <w:hyperlink r:id="rId26">
        <w:r>
          <w:rPr>
            <w:rFonts w:ascii="Calibri" w:hAnsi="Calibri" w:eastAsia="Microsoft YaHei"/>
            <w:color w:val="2E74B5"/>
            <w:sz w:val="17"/>
            <w:u w:val="single"/>
          </w:rPr>
          <w:t>在线来源</w:t>
        </w:r>
      </w:hyperlink>
    </w:p>
    <w:p>
      <w:pPr>
        <w:pStyle w:val="Heading2"/>
      </w:pPr>
      <w:r>
        <w:t>附注：判断口径</w:t>
      </w:r>
    </w:p>
    <w:p>
      <w:pPr>
        <w:spacing w:before="80" w:after="80" w:line="240" w:lineRule="auto"/>
      </w:pPr>
      <w:r>
        <w:rPr>
          <w:rFonts w:ascii="Calibri" w:hAnsi="Calibri" w:eastAsia="Microsoft YaHei"/>
          <w:color w:val="687386"/>
          <w:sz w:val="17"/>
        </w:rPr>
        <w:t>1. “未发现公开证据”不等于证明不存在风险，只表示本次公开资料检索未形成指向具体主体的证据。</w:t>
      </w:r>
    </w:p>
    <w:p>
      <w:pPr>
        <w:spacing w:before="80" w:after="80" w:line="240" w:lineRule="auto"/>
      </w:pPr>
      <w:r>
        <w:rPr>
          <w:rFonts w:ascii="Calibri" w:hAnsi="Calibri" w:eastAsia="Microsoft YaHei"/>
          <w:color w:val="687386"/>
          <w:sz w:val="17"/>
        </w:rPr>
        <w:t>2. 港区资质、国家/产品准入和境外企业注册均可能动态调整，应以具体交易日的海关总署系统记录为准。</w:t>
      </w:r>
    </w:p>
    <w:p>
      <w:pPr>
        <w:spacing w:before="80" w:after="80" w:line="240" w:lineRule="auto"/>
      </w:pPr>
      <w:r>
        <w:rPr>
          <w:rFonts w:ascii="Calibri" w:hAnsi="Calibri" w:eastAsia="Microsoft YaHei"/>
          <w:color w:val="687386"/>
          <w:sz w:val="17"/>
        </w:rPr>
        <w:t>3. 贸易统计中的“报告国、伙伴国、装运国、原产国”含义不同；企业级再出口判断必须回到报关、提单、生产和库存记录。</w:t>
      </w:r>
    </w:p>
    <w:p>
      <w:pPr>
        <w:spacing w:before="80" w:after="80" w:line="240" w:lineRule="auto"/>
      </w:pPr>
      <w:r>
        <w:rPr>
          <w:rFonts w:ascii="Calibri" w:hAnsi="Calibri" w:eastAsia="Microsoft YaHei"/>
          <w:color w:val="687386"/>
          <w:sz w:val="17"/>
        </w:rPr>
        <w:t>4. 本报告仅用于风险筛查、合规审计和数据需求设计，不替代执法调查、司法认定或食品安全检测结论。</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3120"/>
      <w:gridCol w:w="3120"/>
      <w:gridCol w:w="3120"/>
    </w:tblGrid>
    <w:tr>
      <w:tc>
        <w:tcPr>
          <w:tcW w:type="dxa" w:w="3120"/>
          <w:tcMar>
            <w:top w:w="80" w:type="dxa"/>
            <w:start w:w="120" w:type="dxa"/>
            <w:bottom w:w="80" w:type="dxa"/>
            <w:end w:w="120" w:type="dxa"/>
          </w:tcMar>
          <w:vAlign w:val="center"/>
        </w:tcPr>
        <w:p>
          <w:pPr>
            <w:spacing w:after="0"/>
            <w:jc w:val="left"/>
          </w:pPr>
          <w:r>
            <w:rPr>
              <w:rFonts w:ascii="Calibri" w:hAnsi="Calibri" w:eastAsia="Microsoft YaHei"/>
              <w:color w:val="687386"/>
              <w:sz w:val="16"/>
            </w:rPr>
            <w:t>基准日：2026-08-08</w:t>
          </w:r>
        </w:p>
      </w:tc>
      <w:tc>
        <w:tcPr>
          <w:tcW w:type="dxa" w:w="3120"/>
          <w:tcMar>
            <w:top w:w="80" w:type="dxa"/>
            <w:start w:w="120" w:type="dxa"/>
            <w:bottom w:w="80" w:type="dxa"/>
            <w:end w:w="120" w:type="dxa"/>
          </w:tcMar>
          <w:vAlign w:val="center"/>
        </w:tcPr>
        <w:p>
          <w:pPr>
            <w:spacing w:after="0"/>
            <w:jc w:val="center"/>
          </w:pPr>
          <w:r>
            <w:rPr>
              <w:rFonts w:ascii="Calibri" w:hAnsi="Calibri" w:eastAsia="Microsoft YaHei"/>
              <w:color w:val="687386"/>
              <w:sz w:val="16"/>
            </w:rPr>
            <w:t>内部研判参考｜非执法结论</w:t>
          </w:r>
        </w:p>
      </w:tc>
      <w:tc>
        <w:tcPr>
          <w:tcW w:type="dxa" w:w="3120"/>
          <w:tcMar>
            <w:top w:w="80" w:type="dxa"/>
            <w:start w:w="120" w:type="dxa"/>
            <w:bottom w:w="80" w:type="dxa"/>
            <w:end w:w="120" w:type="dxa"/>
          </w:tcMar>
          <w:vAlign w:val="center"/>
        </w:tcPr>
        <w:p>
          <w:pPr>
            <w:spacing w:after="0"/>
            <w:jc w:val="right"/>
          </w:pPr>
          <w:r>
            <w:rPr>
              <w:rFonts w:ascii="Calibri" w:hAnsi="Calibri" w:eastAsia="Microsoft YaHei"/>
              <w:color w:val="687386"/>
              <w:sz w:val="16"/>
            </w:rPr>
            <w:t xml:space="preserve">第 </w:t>
          </w:r>
          <w:r>
            <w:rPr>
              <w:rFonts w:ascii="Calibri" w:hAnsi="Calibri" w:eastAsia="Microsoft YaHei"/>
              <w:color w:val="687386"/>
              <w:sz w:val="16"/>
            </w:rPr>
            <w:fldChar w:fldCharType="begin"/>
            <w:instrText xml:space="preserve">PAGE</w:instrText>
            <w:fldChar w:fldCharType="end"/>
          </w:r>
          <w:r>
            <w:rPr>
              <w:rFonts w:ascii="Calibri" w:hAnsi="Calibri" w:eastAsia="Microsoft YaHei"/>
              <w:color w:val="687386"/>
              <w:sz w:val="16"/>
            </w:rPr>
            <w:t xml:space="preserve"> / </w:t>
          </w:r>
          <w:r>
            <w:rPr>
              <w:rFonts w:ascii="Calibri" w:hAnsi="Calibri" w:eastAsia="Microsoft YaHei"/>
              <w:color w:val="687386"/>
              <w:sz w:val="16"/>
            </w:rPr>
            <w:fldChar w:fldCharType="begin"/>
            <w:instrText xml:space="preserve">NUMPAGES</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687386"/>
        <w:sz w:val="17"/>
      </w:rPr>
      <w:t>重点水运口岸冻品走私风险分析</w:t>
    </w:r>
    <w:r>
      <w:rPr>
        <w:rFonts w:ascii="Calibri" w:hAnsi="Calibri" w:eastAsia="Microsoft YaHei"/>
        <w:color w:val="687386"/>
        <w:sz w:val="17"/>
      </w:rPr>
      <w:t xml:space="preserve">    |    公开来源初步评估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hAnsi="Calibri" w:eastAsia="Microsoft YaHei"/>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ofcom.gov.cn/zcfb/zgdwjjmywg/art/2026/art_eb20ffdc45374e469571312d1498beda.html" TargetMode="External"/><Relationship Id="rId12" Type="http://schemas.openxmlformats.org/officeDocument/2006/relationships/hyperlink" Target="https://cacs.mofcom.gov.cn/cacscms/article/jkdc?articleId=188390&amp;type=" TargetMode="External"/><Relationship Id="rId13" Type="http://schemas.openxmlformats.org/officeDocument/2006/relationships/hyperlink" Target="https://m.gmw.cn/2026-07/05/content_1304520541.htm" TargetMode="External"/><Relationship Id="rId14" Type="http://schemas.openxmlformats.org/officeDocument/2006/relationships/hyperlink" Target="https://english.customs.gov.cn/statics/a77a49cf-3fbe-48ac-854a-be507d7c620b.html" TargetMode="External"/><Relationship Id="rId15" Type="http://schemas.openxmlformats.org/officeDocument/2006/relationships/hyperlink" Target="https://www.gzns.gov.cn/zwgk/rdzt/nanshafangan/nszxd/content/post_9260418.html" TargetMode="External"/><Relationship Id="rId16" Type="http://schemas.openxmlformats.org/officeDocument/2006/relationships/hyperlink" Target="https://www.dg.gov.cn/gzw/qyjj/qydt/content/post_4189746.html" TargetMode="External"/><Relationship Id="rId17" Type="http://schemas.openxmlformats.org/officeDocument/2006/relationships/hyperlink" Target="https://www.gdhmo.gov.cn/ygadwqcs/zh/content/post_70831.html" TargetMode="External"/><Relationship Id="rId18" Type="http://schemas.openxmlformats.org/officeDocument/2006/relationships/hyperlink" Target="https://www.gdcourts.gov.cn/gsxx/quanweifabu/anlihuicui/content/post_1842696.html" TargetMode="External"/><Relationship Id="rId19" Type="http://schemas.openxmlformats.org/officeDocument/2006/relationships/hyperlink" Target="https://www.court.gov.cn/zixun/xiangqing/337391.html" TargetMode="External"/><Relationship Id="rId20" Type="http://schemas.openxmlformats.org/officeDocument/2006/relationships/hyperlink" Target="https://www.chinanews.com.cn/sh/2026/04-02/10597735.shtml" TargetMode="External"/><Relationship Id="rId21" Type="http://schemas.openxmlformats.org/officeDocument/2006/relationships/hyperlink" Target="https://news.cctv.com/2019/12/07/ARTIddErmIBBG4JoTy1khlmy191207.shtml" TargetMode="External"/><Relationship Id="rId22" Type="http://schemas.openxmlformats.org/officeDocument/2006/relationships/hyperlink" Target="https://apeda.gov.in/BuffaloMeat" TargetMode="External"/><Relationship Id="rId23" Type="http://schemas.openxmlformats.org/officeDocument/2006/relationships/hyperlink" Target="https://comtradeapi.un.org/public/v1/preview/C/A/HS?period=2025&amp;reporterCode=699&amp;cmdCode=020230&amp;flowCode=X&amp;partnerCode=704&amp;partner2Code=0&amp;customsCode=C00&amp;motCode=0&amp;maxRecords=500" TargetMode="External"/><Relationship Id="rId24" Type="http://schemas.openxmlformats.org/officeDocument/2006/relationships/hyperlink" Target="https://comtradeapi.un.org/public/v1/preview/C/A/HS?period=2025&amp;reporterCode=36&amp;cmdCode=020230&amp;flowCode=X&amp;partnerCode=156&amp;partner2Code=0&amp;customsCode=C00&amp;motCode=0&amp;maxRecords=500" TargetMode="External"/><Relationship Id="rId25" Type="http://schemas.openxmlformats.org/officeDocument/2006/relationships/hyperlink" Target="https://english.customs.gov.cn/inspection/html/news1.html" TargetMode="External"/><Relationship Id="rId26" Type="http://schemas.openxmlformats.org/officeDocument/2006/relationships/hyperlink" Target="https://www.mofcom.gov.cn/zcfb/zgdwjjmywg/art/2019/art_233dc3d7537540de9e69dd23f0bee8d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粤港澳大湾区重点水运口岸冻品夹藏与绕关走私风险分析报告</dc:title>
  <dc:subject>南沙、东莞沙田、拱北海关辖区；山姆澳洲牛肉与印度水牛肉第三国绕道风险</dc:subject>
  <dc:creator>研究分析</dc:creator>
  <cp:keywords>冻品走私, 南沙, 沙田, 拱北海关, 山姆牛肉, 印度水牛肉, 越南绕道</cp:keywords>
  <dc:description>基于公开资料形成；未使用外贸公社数据。</dc:description>
  <cp:lastModifiedBy/>
  <cp:revision>1</cp:revision>
  <dcterms:created xsi:type="dcterms:W3CDTF">2013-12-23T23:15:00Z</dcterms:created>
  <dcterms:modified xsi:type="dcterms:W3CDTF">2013-12-23T23:15:00Z</dcterms:modified>
  <cp:category/>
</cp:coreProperties>
</file>