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40"/>
      </w:pPr>
      <w:r>
        <w:rPr>
          <w:b/>
          <w:color w:val="7A5A00"/>
          <w:sz w:val="20"/>
        </w:rPr>
        <w:t>专题核查报告</w:t>
      </w:r>
    </w:p>
    <w:p>
      <w:pPr>
        <w:pStyle w:val="Title"/>
      </w:pPr>
      <w:r>
        <w:t>韩国两家材料企业国内合作线索及黄埔口岸风险分析</w:t>
      </w:r>
    </w:p>
    <w:p>
      <w:pPr>
        <w:pStyle w:val="Subtitle"/>
      </w:pPr>
      <w:r>
        <w:t>围绕 Seoul Metal Tech、Korea Advanced Material 与境内供货主体的证据分级、风险识别及黄埔口岸指向性核查</w:t>
      </w:r>
    </w:p>
    <w:tbl>
      <w:tblPr>
        <w:tblW w:type="auto" w:w="0"/>
        <w:jc w:val="left"/>
        <w:tblLayout w:type="fixed"/>
        <w:tblLook w:firstColumn="1" w:firstRow="1" w:lastColumn="0" w:lastRow="0" w:noHBand="0" w:noVBand="1" w:val="04A0"/>
      </w:tblPr>
      <w:tblGrid>
        <w:gridCol w:w="9360"/>
      </w:tblGrid>
      <w:tr>
        <w:tc>
          <w:tcPr>
            <w:tcW w:type="dxa" w:w="9360"/>
            <w:shd w:fill="F4F6F9"/>
            <w:tcMar>
              <w:top w:w="120" w:type="dxa"/>
              <w:start w:w="160" w:type="dxa"/>
              <w:bottom w:w="120" w:type="dxa"/>
              <w:end w:w="160" w:type="dxa"/>
            </w:tcMar>
          </w:tcPr>
          <w:p>
            <w:r/>
            <w:r>
              <w:rPr>
                <w:rFonts w:ascii="Microsoft YaHei" w:hAnsi="Microsoft YaHei" w:eastAsia="微软雅黑"/>
                <w:b/>
                <w:color w:val="9B1C1C"/>
                <w:sz w:val="20"/>
              </w:rPr>
              <w:t xml:space="preserve">结论先行  </w:t>
            </w:r>
            <w:r>
              <w:rPr>
                <w:rFonts w:ascii="Microsoft YaHei" w:hAnsi="Microsoft YaHei" w:eastAsia="微软雅黑"/>
                <w:color w:val="222222"/>
                <w:sz w:val="20"/>
              </w:rPr>
              <w:t>现有材料足以形成风险线索池，但不足以把全部主体列为“已立案查实企业”。对黄埔口岸的直接指向目前仅来自匿名走访线索；东莞主体与黄埔海关关区存在监管联系，但不能据此证明货物实际经黄埔口岸出境。</w:t>
            </w:r>
          </w:p>
        </w:tc>
      </w:tr>
    </w:tbl>
    <w:p>
      <w:pPr>
        <w:spacing w:after="0"/>
      </w:pPr>
    </w:p>
    <w:p>
      <w:pPr>
        <w:pStyle w:val="Heading1"/>
      </w:pPr>
      <w:r>
        <w:t>一、核查结论</w:t>
      </w:r>
    </w:p>
    <w:p>
      <w:pPr>
        <w:pStyle w:val="ListBullet"/>
        <w:spacing w:after="100"/>
        <w:ind w:left="720" w:hanging="360"/>
      </w:pPr>
      <w:r>
        <w:t>企业层面：共梳理13个境内主体条目，其中1个匿名、1个为描述性名称，另有2个企业名称疑似不完整。公开资料仅对杭州新川、南京达迈的部分海关违法事实形成交叉印证；其余与两家韩企的交易关系、拆票数量、最终用户和转运日本等描述，尚需报关单、提运单、合同、付款及海关文书全文支撑。</w:t>
      </w:r>
    </w:p>
    <w:p>
      <w:pPr>
        <w:pStyle w:val="ListBullet"/>
        <w:spacing w:after="100"/>
        <w:ind w:left="720" w:hanging="360"/>
      </w:pPr>
      <w:r>
        <w:t>韩国主体层面：公开资料可确认名为 Korea Advanced Material Co., Ltd. 的韩国企业存在，但其公开主营为铂族金属化合物和催化剂，不能自然推导为镍基高温合金采购商；Seoul Metal Tech 公开信息更偏汽车零部件/机械加工集团，未找到其采购中国军工级镍合金并转供日本的公开证据。</w:t>
      </w:r>
    </w:p>
    <w:p>
      <w:pPr>
        <w:pStyle w:val="ListBullet"/>
        <w:spacing w:after="100"/>
        <w:ind w:left="720" w:hanging="360"/>
      </w:pPr>
      <w:r>
        <w:t>黄埔层面：匿名“深圳XX金属材料贸易有限公司”被描述为轮换盐田、黄埔口岸，这是唯一直接口岸指向；东莞长安、沙田企业可作为黄埔海关关区协查对象，但必须用申报地海关代码、出境关别、运输工具及舱单确认是否实际走黄埔口岸。</w:t>
      </w:r>
    </w:p>
    <w:p>
      <w:pPr>
        <w:pStyle w:val="ListBullet"/>
        <w:spacing w:after="100"/>
        <w:ind w:left="720" w:hanging="360"/>
      </w:pPr>
      <w:r>
        <w:t>文书号层面：材料中的“南东关知字”与知识产权类文书编号样式高度相似，和镍合金涉证/申报不实案的叙述存在类型错配风险；应优先调取原文核验案由、当事人、货物和处罚依据。</w:t>
      </w:r>
    </w:p>
    <w:p>
      <w:pPr>
        <w:pStyle w:val="Heading1"/>
      </w:pPr>
      <w:r>
        <w:t>二、证据分级与口径调整</w:t>
      </w:r>
    </w:p>
    <w:tbl>
      <w:tblPr>
        <w:tblStyle w:val="TableGrid"/>
        <w:tblW w:type="auto" w:w="0"/>
        <w:jc w:val="left"/>
        <w:tblLayout w:type="fixed"/>
        <w:tblLook w:firstColumn="1" w:firstRow="1" w:lastColumn="0" w:lastRow="0" w:noHBand="0" w:noVBand="1" w:val="04A0"/>
      </w:tblPr>
      <w:tblGrid>
        <w:gridCol w:w="3120"/>
        <w:gridCol w:w="3120"/>
        <w:gridCol w:w="3120"/>
      </w:tblGrid>
      <w:tr>
        <w:trPr>
          <w:tblHeader w:val="true"/>
        </w:trPr>
        <w:tc>
          <w:tcPr>
            <w:tcW w:type="dxa" w:w="1512"/>
            <w:vAlign w:val="center"/>
            <w:tcMar>
              <w:top w:w="80" w:type="dxa"/>
              <w:start w:w="120" w:type="dxa"/>
              <w:bottom w:w="80" w:type="dxa"/>
              <w:end w:w="120" w:type="dxa"/>
            </w:tcMar>
            <w:shd w:fill="E8EEF5"/>
          </w:tcPr>
          <w:p>
            <w:pPr>
              <w:spacing w:after="0" w:line="252" w:lineRule="auto"/>
            </w:pPr>
            <w:r/>
            <w:r>
              <w:rPr>
                <w:rFonts w:ascii="Microsoft YaHei" w:hAnsi="Microsoft YaHei" w:eastAsia="微软雅黑"/>
                <w:b/>
                <w:color w:val="17365D"/>
                <w:sz w:val="18"/>
              </w:rPr>
              <w:t>等级</w:t>
            </w:r>
          </w:p>
        </w:tc>
        <w:tc>
          <w:tcPr>
            <w:tcW w:type="dxa" w:w="2592"/>
            <w:vAlign w:val="center"/>
            <w:tcMar>
              <w:top w:w="80" w:type="dxa"/>
              <w:start w:w="120" w:type="dxa"/>
              <w:bottom w:w="80" w:type="dxa"/>
              <w:end w:w="120" w:type="dxa"/>
            </w:tcMar>
            <w:shd w:fill="E8EEF5"/>
          </w:tcPr>
          <w:p>
            <w:pPr>
              <w:spacing w:after="0" w:line="252" w:lineRule="auto"/>
            </w:pPr>
            <w:r/>
            <w:r>
              <w:rPr>
                <w:rFonts w:ascii="Microsoft YaHei" w:hAnsi="Microsoft YaHei" w:eastAsia="微软雅黑"/>
                <w:b/>
                <w:color w:val="17365D"/>
                <w:sz w:val="18"/>
              </w:rPr>
              <w:t>定义</w:t>
            </w:r>
          </w:p>
        </w:tc>
        <w:tc>
          <w:tcPr>
            <w:tcW w:type="dxa" w:w="5256"/>
            <w:vAlign w:val="center"/>
            <w:tcMar>
              <w:top w:w="80" w:type="dxa"/>
              <w:start w:w="120" w:type="dxa"/>
              <w:bottom w:w="80" w:type="dxa"/>
              <w:end w:w="120" w:type="dxa"/>
            </w:tcMar>
            <w:shd w:fill="E8EEF5"/>
          </w:tcPr>
          <w:p>
            <w:pPr>
              <w:spacing w:after="0" w:line="252" w:lineRule="auto"/>
            </w:pPr>
            <w:r/>
            <w:r>
              <w:rPr>
                <w:rFonts w:ascii="Microsoft YaHei" w:hAnsi="Microsoft YaHei" w:eastAsia="微软雅黑"/>
                <w:b/>
                <w:color w:val="17365D"/>
                <w:sz w:val="18"/>
              </w:rPr>
              <w:t>本专题采用口径</w:t>
            </w:r>
          </w:p>
        </w:tc>
      </w:tr>
      <w:tr>
        <w:trPr>
          <w:cantSplit w:val="true"/>
        </w:trPr>
        <w:tc>
          <w:tcPr>
            <w:tcW w:type="dxa" w:w="1512"/>
            <w:vAlign w:val="center"/>
            <w:tcMar>
              <w:top w:w="80" w:type="dxa"/>
              <w:start w:w="120" w:type="dxa"/>
              <w:bottom w:w="80" w:type="dxa"/>
              <w:end w:w="120" w:type="dxa"/>
            </w:tcMar>
          </w:tcPr>
          <w:p>
            <w:pPr>
              <w:spacing w:after="0" w:line="252" w:lineRule="auto"/>
            </w:pPr>
            <w:r/>
            <w:r>
              <w:rPr>
                <w:rFonts w:ascii="Microsoft YaHei" w:hAnsi="Microsoft YaHei" w:eastAsia="微软雅黑"/>
                <w:b w:val="0"/>
                <w:color w:val="222222"/>
                <w:sz w:val="17"/>
              </w:rPr>
              <w:t>A 已公开核实</w:t>
            </w:r>
          </w:p>
        </w:tc>
        <w:tc>
          <w:tcPr>
            <w:tcW w:type="dxa" w:w="2592"/>
            <w:vAlign w:val="center"/>
            <w:tcMar>
              <w:top w:w="80" w:type="dxa"/>
              <w:start w:w="120" w:type="dxa"/>
              <w:bottom w:w="80" w:type="dxa"/>
              <w:end w:w="120" w:type="dxa"/>
            </w:tcMar>
          </w:tcPr>
          <w:p>
            <w:pPr>
              <w:spacing w:after="0" w:line="252" w:lineRule="auto"/>
            </w:pPr>
            <w:r/>
            <w:r>
              <w:rPr>
                <w:rFonts w:ascii="Microsoft YaHei" w:hAnsi="Microsoft YaHei" w:eastAsia="微软雅黑"/>
                <w:b w:val="0"/>
                <w:color w:val="222222"/>
                <w:sz w:val="17"/>
              </w:rPr>
              <w:t>官方文书/权威平台可对应到企业与具体违法事实</w:t>
            </w:r>
          </w:p>
        </w:tc>
        <w:tc>
          <w:tcPr>
            <w:tcW w:type="dxa" w:w="5256"/>
            <w:vAlign w:val="center"/>
            <w:tcMar>
              <w:top w:w="80" w:type="dxa"/>
              <w:start w:w="120" w:type="dxa"/>
              <w:bottom w:w="80" w:type="dxa"/>
              <w:end w:w="120" w:type="dxa"/>
            </w:tcMar>
          </w:tcPr>
          <w:p>
            <w:pPr>
              <w:spacing w:after="0" w:line="252" w:lineRule="auto"/>
            </w:pPr>
            <w:r/>
            <w:r>
              <w:rPr>
                <w:rFonts w:ascii="Microsoft YaHei" w:hAnsi="Microsoft YaHei" w:eastAsia="微软雅黑"/>
                <w:b w:val="0"/>
                <w:color w:val="222222"/>
                <w:sz w:val="17"/>
              </w:rPr>
              <w:t>仅写公开文书明确记载的行为，不外推境外客户或最终用途</w:t>
            </w:r>
          </w:p>
        </w:tc>
      </w:tr>
      <w:tr>
        <w:trPr>
          <w:cantSplit w:val="true"/>
        </w:trPr>
        <w:tc>
          <w:tcPr>
            <w:tcW w:type="dxa" w:w="1512"/>
            <w:vAlign w:val="center"/>
            <w:tcMar>
              <w:top w:w="80" w:type="dxa"/>
              <w:start w:w="120" w:type="dxa"/>
              <w:bottom w:w="80" w:type="dxa"/>
              <w:end w:w="120" w:type="dxa"/>
            </w:tcMar>
          </w:tcPr>
          <w:p>
            <w:pPr>
              <w:spacing w:after="0" w:line="252" w:lineRule="auto"/>
            </w:pPr>
            <w:r/>
            <w:r>
              <w:rPr>
                <w:rFonts w:ascii="Microsoft YaHei" w:hAnsi="Microsoft YaHei" w:eastAsia="微软雅黑"/>
                <w:b w:val="0"/>
                <w:color w:val="222222"/>
                <w:sz w:val="17"/>
              </w:rPr>
              <w:t>B 关联可确认</w:t>
            </w:r>
          </w:p>
        </w:tc>
        <w:tc>
          <w:tcPr>
            <w:tcW w:type="dxa" w:w="2592"/>
            <w:vAlign w:val="center"/>
            <w:tcMar>
              <w:top w:w="80" w:type="dxa"/>
              <w:start w:w="120" w:type="dxa"/>
              <w:bottom w:w="80" w:type="dxa"/>
              <w:end w:w="120" w:type="dxa"/>
            </w:tcMar>
          </w:tcPr>
          <w:p>
            <w:pPr>
              <w:spacing w:after="0" w:line="252" w:lineRule="auto"/>
            </w:pPr>
            <w:r/>
            <w:r>
              <w:rPr>
                <w:rFonts w:ascii="Microsoft YaHei" w:hAnsi="Microsoft YaHei" w:eastAsia="微软雅黑"/>
                <w:b w:val="0"/>
                <w:color w:val="222222"/>
                <w:sz w:val="17"/>
              </w:rPr>
              <w:t>企业官网、展会名录、官方口岸资料可确认主体、产品或管辖关系</w:t>
            </w:r>
          </w:p>
        </w:tc>
        <w:tc>
          <w:tcPr>
            <w:tcW w:type="dxa" w:w="5256"/>
            <w:vAlign w:val="center"/>
            <w:tcMar>
              <w:top w:w="80" w:type="dxa"/>
              <w:start w:w="120" w:type="dxa"/>
              <w:bottom w:w="80" w:type="dxa"/>
              <w:end w:w="120" w:type="dxa"/>
            </w:tcMar>
          </w:tcPr>
          <w:p>
            <w:pPr>
              <w:spacing w:after="0" w:line="252" w:lineRule="auto"/>
            </w:pPr>
            <w:r/>
            <w:r>
              <w:rPr>
                <w:rFonts w:ascii="Microsoft YaHei" w:hAnsi="Microsoft YaHei" w:eastAsia="微软雅黑"/>
                <w:b w:val="0"/>
                <w:color w:val="222222"/>
                <w:sz w:val="17"/>
              </w:rPr>
              <w:t>可作为背景，不作为违法证明</w:t>
            </w:r>
          </w:p>
        </w:tc>
      </w:tr>
      <w:tr>
        <w:trPr>
          <w:cantSplit w:val="true"/>
        </w:trPr>
        <w:tc>
          <w:tcPr>
            <w:tcW w:type="dxa" w:w="1512"/>
            <w:vAlign w:val="center"/>
            <w:tcMar>
              <w:top w:w="80" w:type="dxa"/>
              <w:start w:w="120" w:type="dxa"/>
              <w:bottom w:w="80" w:type="dxa"/>
              <w:end w:w="120" w:type="dxa"/>
            </w:tcMar>
          </w:tcPr>
          <w:p>
            <w:pPr>
              <w:spacing w:after="0" w:line="252" w:lineRule="auto"/>
            </w:pPr>
            <w:r/>
            <w:r>
              <w:rPr>
                <w:rFonts w:ascii="Microsoft YaHei" w:hAnsi="Microsoft YaHei" w:eastAsia="微软雅黑"/>
                <w:b w:val="0"/>
                <w:color w:val="222222"/>
                <w:sz w:val="17"/>
              </w:rPr>
              <w:t>C 待核线索</w:t>
            </w:r>
          </w:p>
        </w:tc>
        <w:tc>
          <w:tcPr>
            <w:tcW w:type="dxa" w:w="2592"/>
            <w:vAlign w:val="center"/>
            <w:tcMar>
              <w:top w:w="80" w:type="dxa"/>
              <w:start w:w="120" w:type="dxa"/>
              <w:bottom w:w="80" w:type="dxa"/>
              <w:end w:w="120" w:type="dxa"/>
            </w:tcMar>
          </w:tcPr>
          <w:p>
            <w:pPr>
              <w:spacing w:after="0" w:line="252" w:lineRule="auto"/>
            </w:pPr>
            <w:r/>
            <w:r>
              <w:rPr>
                <w:rFonts w:ascii="Microsoft YaHei" w:hAnsi="Microsoft YaHei" w:eastAsia="微软雅黑"/>
                <w:b w:val="0"/>
                <w:color w:val="222222"/>
                <w:sz w:val="17"/>
              </w:rPr>
              <w:t>走访、行业调研、匿名描述或单一来源指控</w:t>
            </w:r>
          </w:p>
        </w:tc>
        <w:tc>
          <w:tcPr>
            <w:tcW w:type="dxa" w:w="5256"/>
            <w:vAlign w:val="center"/>
            <w:tcMar>
              <w:top w:w="80" w:type="dxa"/>
              <w:start w:w="120" w:type="dxa"/>
              <w:bottom w:w="80" w:type="dxa"/>
              <w:end w:w="120" w:type="dxa"/>
            </w:tcMar>
          </w:tcPr>
          <w:p>
            <w:pPr>
              <w:spacing w:after="0" w:line="252" w:lineRule="auto"/>
            </w:pPr>
            <w:r/>
            <w:r>
              <w:rPr>
                <w:rFonts w:ascii="Microsoft YaHei" w:hAnsi="Microsoft YaHei" w:eastAsia="微软雅黑"/>
                <w:b w:val="0"/>
                <w:color w:val="222222"/>
                <w:sz w:val="17"/>
              </w:rPr>
              <w:t>使用“据材料反映/待核”，不得写成定论</w:t>
            </w:r>
          </w:p>
        </w:tc>
      </w:tr>
      <w:tr>
        <w:trPr>
          <w:cantSplit w:val="true"/>
        </w:trPr>
        <w:tc>
          <w:tcPr>
            <w:tcW w:type="dxa" w:w="1512"/>
            <w:vAlign w:val="center"/>
            <w:tcMar>
              <w:top w:w="80" w:type="dxa"/>
              <w:start w:w="120" w:type="dxa"/>
              <w:bottom w:w="80" w:type="dxa"/>
              <w:end w:w="120" w:type="dxa"/>
            </w:tcMar>
          </w:tcPr>
          <w:p>
            <w:pPr>
              <w:spacing w:after="0" w:line="252" w:lineRule="auto"/>
            </w:pPr>
            <w:r/>
            <w:r>
              <w:rPr>
                <w:rFonts w:ascii="Microsoft YaHei" w:hAnsi="Microsoft YaHei" w:eastAsia="微软雅黑"/>
                <w:b w:val="0"/>
                <w:color w:val="222222"/>
                <w:sz w:val="17"/>
              </w:rPr>
              <w:t>D 分析推断</w:t>
            </w:r>
          </w:p>
        </w:tc>
        <w:tc>
          <w:tcPr>
            <w:tcW w:type="dxa" w:w="2592"/>
            <w:vAlign w:val="center"/>
            <w:tcMar>
              <w:top w:w="80" w:type="dxa"/>
              <w:start w:w="120" w:type="dxa"/>
              <w:bottom w:w="80" w:type="dxa"/>
              <w:end w:w="120" w:type="dxa"/>
            </w:tcMar>
          </w:tcPr>
          <w:p>
            <w:pPr>
              <w:spacing w:after="0" w:line="252" w:lineRule="auto"/>
            </w:pPr>
            <w:r/>
            <w:r>
              <w:rPr>
                <w:rFonts w:ascii="Microsoft YaHei" w:hAnsi="Microsoft YaHei" w:eastAsia="微软雅黑"/>
                <w:b w:val="0"/>
                <w:color w:val="222222"/>
                <w:sz w:val="17"/>
              </w:rPr>
              <w:t>由地域、产品、增幅或经营能力推导的风险判断</w:t>
            </w:r>
          </w:p>
        </w:tc>
        <w:tc>
          <w:tcPr>
            <w:tcW w:type="dxa" w:w="5256"/>
            <w:vAlign w:val="center"/>
            <w:tcMar>
              <w:top w:w="80" w:type="dxa"/>
              <w:start w:w="120" w:type="dxa"/>
              <w:bottom w:w="80" w:type="dxa"/>
              <w:end w:w="120" w:type="dxa"/>
            </w:tcMar>
          </w:tcPr>
          <w:p>
            <w:pPr>
              <w:spacing w:after="0" w:line="252" w:lineRule="auto"/>
            </w:pPr>
            <w:r/>
            <w:r>
              <w:rPr>
                <w:rFonts w:ascii="Microsoft YaHei" w:hAnsi="Microsoft YaHei" w:eastAsia="微软雅黑"/>
                <w:b w:val="0"/>
                <w:color w:val="222222"/>
                <w:sz w:val="17"/>
              </w:rPr>
              <w:t>必须标明推断依据及替代解释</w:t>
            </w:r>
          </w:p>
        </w:tc>
      </w:tr>
    </w:tbl>
    <w:p>
      <w:pPr>
        <w:spacing w:after="0"/>
      </w:pPr>
    </w:p>
    <w:p>
      <w:pPr>
        <w:pStyle w:val="Heading1"/>
      </w:pPr>
      <w:r>
        <w:t>三、境内企业清单与核查状态</w:t>
      </w:r>
    </w:p>
    <w:tbl>
      <w:tblPr>
        <w:tblStyle w:val="TableGrid"/>
        <w:tblW w:type="auto" w:w="0"/>
        <w:jc w:val="left"/>
        <w:tblLayout w:type="fixed"/>
        <w:tblLook w:firstColumn="1" w:firstRow="1" w:lastColumn="0" w:lastRow="0" w:noHBand="0" w:noVBand="1" w:val="04A0"/>
      </w:tblPr>
      <w:tblGrid>
        <w:gridCol w:w="1872"/>
        <w:gridCol w:w="1872"/>
        <w:gridCol w:w="1872"/>
        <w:gridCol w:w="1872"/>
        <w:gridCol w:w="1872"/>
      </w:tblGrid>
      <w:tr>
        <w:trPr>
          <w:tblHeader w:val="true"/>
        </w:trPr>
        <w:tc>
          <w:tcPr>
            <w:tcW w:type="dxa" w:w="1944"/>
            <w:vAlign w:val="center"/>
            <w:tcMar>
              <w:top w:w="80" w:type="dxa"/>
              <w:start w:w="120" w:type="dxa"/>
              <w:bottom w:w="80" w:type="dxa"/>
              <w:end w:w="120" w:type="dxa"/>
            </w:tcMar>
            <w:shd w:fill="E8EEF5"/>
          </w:tcPr>
          <w:p>
            <w:pPr>
              <w:spacing w:after="0" w:line="252" w:lineRule="auto"/>
            </w:pPr>
            <w:r/>
            <w:r>
              <w:rPr>
                <w:rFonts w:ascii="Microsoft YaHei" w:hAnsi="Microsoft YaHei" w:eastAsia="微软雅黑"/>
                <w:b/>
                <w:color w:val="17365D"/>
                <w:sz w:val="18"/>
              </w:rPr>
              <w:t>境内主体</w:t>
            </w:r>
          </w:p>
        </w:tc>
        <w:tc>
          <w:tcPr>
            <w:tcW w:type="dxa" w:w="1512"/>
            <w:vAlign w:val="center"/>
            <w:tcMar>
              <w:top w:w="80" w:type="dxa"/>
              <w:start w:w="120" w:type="dxa"/>
              <w:bottom w:w="80" w:type="dxa"/>
              <w:end w:w="120" w:type="dxa"/>
            </w:tcMar>
            <w:shd w:fill="E8EEF5"/>
          </w:tcPr>
          <w:p>
            <w:pPr>
              <w:spacing w:after="0" w:line="252" w:lineRule="auto"/>
            </w:pPr>
            <w:r/>
            <w:r>
              <w:rPr>
                <w:rFonts w:ascii="Microsoft YaHei" w:hAnsi="Microsoft YaHei" w:eastAsia="微软雅黑"/>
                <w:b/>
                <w:color w:val="17365D"/>
                <w:sz w:val="18"/>
              </w:rPr>
              <w:t>所称韩方</w:t>
            </w:r>
          </w:p>
        </w:tc>
        <w:tc>
          <w:tcPr>
            <w:tcW w:type="dxa" w:w="792"/>
            <w:vAlign w:val="center"/>
            <w:tcMar>
              <w:top w:w="80" w:type="dxa"/>
              <w:start w:w="120" w:type="dxa"/>
              <w:bottom w:w="80" w:type="dxa"/>
              <w:end w:w="120" w:type="dxa"/>
            </w:tcMar>
            <w:shd w:fill="E8EEF5"/>
          </w:tcPr>
          <w:p>
            <w:pPr>
              <w:spacing w:after="0" w:line="252" w:lineRule="auto"/>
            </w:pPr>
            <w:r/>
            <w:r>
              <w:rPr>
                <w:rFonts w:ascii="Microsoft YaHei" w:hAnsi="Microsoft YaHei" w:eastAsia="微软雅黑"/>
                <w:b/>
                <w:color w:val="17365D"/>
                <w:sz w:val="18"/>
              </w:rPr>
              <w:t>等级</w:t>
            </w:r>
          </w:p>
        </w:tc>
        <w:tc>
          <w:tcPr>
            <w:tcW w:type="dxa" w:w="3888"/>
            <w:vAlign w:val="center"/>
            <w:tcMar>
              <w:top w:w="80" w:type="dxa"/>
              <w:start w:w="120" w:type="dxa"/>
              <w:bottom w:w="80" w:type="dxa"/>
              <w:end w:w="120" w:type="dxa"/>
            </w:tcMar>
            <w:shd w:fill="E8EEF5"/>
          </w:tcPr>
          <w:p>
            <w:pPr>
              <w:spacing w:after="0" w:line="252" w:lineRule="auto"/>
            </w:pPr>
            <w:r/>
            <w:r>
              <w:rPr>
                <w:rFonts w:ascii="Microsoft YaHei" w:hAnsi="Microsoft YaHei" w:eastAsia="微软雅黑"/>
                <w:b/>
                <w:color w:val="17365D"/>
                <w:sz w:val="18"/>
              </w:rPr>
              <w:t>可确认事实/主要缺口</w:t>
            </w:r>
          </w:p>
        </w:tc>
        <w:tc>
          <w:tcPr>
            <w:tcW w:type="dxa" w:w="1224"/>
            <w:vAlign w:val="center"/>
            <w:tcMar>
              <w:top w:w="80" w:type="dxa"/>
              <w:start w:w="120" w:type="dxa"/>
              <w:bottom w:w="80" w:type="dxa"/>
              <w:end w:w="120" w:type="dxa"/>
            </w:tcMar>
            <w:shd w:fill="E8EEF5"/>
          </w:tcPr>
          <w:p>
            <w:pPr>
              <w:spacing w:after="0" w:line="252" w:lineRule="auto"/>
            </w:pPr>
            <w:r/>
            <w:r>
              <w:rPr>
                <w:rFonts w:ascii="Microsoft YaHei" w:hAnsi="Microsoft YaHei" w:eastAsia="微软雅黑"/>
                <w:b/>
                <w:color w:val="17365D"/>
                <w:sz w:val="18"/>
              </w:rPr>
              <w:t>黄埔关联</w:t>
            </w:r>
          </w:p>
        </w:tc>
      </w:tr>
      <w:tr>
        <w:trPr>
          <w:cantSplit w:val="true"/>
        </w:trPr>
        <w:tc>
          <w:tcPr>
            <w:tcW w:type="dxa" w:w="1944"/>
            <w:vAlign w:val="center"/>
            <w:tcMar>
              <w:top w:w="80" w:type="dxa"/>
              <w:start w:w="120" w:type="dxa"/>
              <w:bottom w:w="80" w:type="dxa"/>
              <w:end w:w="120" w:type="dxa"/>
            </w:tcMar>
          </w:tcPr>
          <w:p>
            <w:pPr>
              <w:spacing w:after="0" w:line="252" w:lineRule="auto"/>
            </w:pPr>
            <w:r/>
            <w:r>
              <w:rPr>
                <w:rFonts w:ascii="Microsoft YaHei" w:hAnsi="Microsoft YaHei" w:eastAsia="微软雅黑"/>
                <w:b w:val="0"/>
                <w:color w:val="222222"/>
                <w:sz w:val="17"/>
              </w:rPr>
              <w:t>澜笙科技（深圳）有限公司</w:t>
            </w:r>
          </w:p>
        </w:tc>
        <w:tc>
          <w:tcPr>
            <w:tcW w:type="dxa" w:w="1512"/>
            <w:vAlign w:val="center"/>
            <w:tcMar>
              <w:top w:w="80" w:type="dxa"/>
              <w:start w:w="120" w:type="dxa"/>
              <w:bottom w:w="80" w:type="dxa"/>
              <w:end w:w="120" w:type="dxa"/>
            </w:tcMar>
          </w:tcPr>
          <w:p>
            <w:pPr>
              <w:spacing w:after="0" w:line="252" w:lineRule="auto"/>
            </w:pPr>
            <w:r/>
            <w:r>
              <w:rPr>
                <w:rFonts w:ascii="Microsoft YaHei" w:hAnsi="Microsoft YaHei" w:eastAsia="微软雅黑"/>
                <w:b w:val="0"/>
                <w:color w:val="222222"/>
                <w:sz w:val="17"/>
              </w:rPr>
              <w:t>Seoul Metal Tech</w:t>
            </w:r>
          </w:p>
        </w:tc>
        <w:tc>
          <w:tcPr>
            <w:tcW w:type="dxa" w:w="792"/>
            <w:vAlign w:val="center"/>
            <w:tcMar>
              <w:top w:w="80" w:type="dxa"/>
              <w:start w:w="120" w:type="dxa"/>
              <w:bottom w:w="80" w:type="dxa"/>
              <w:end w:w="120" w:type="dxa"/>
            </w:tcMar>
          </w:tcPr>
          <w:p>
            <w:pPr>
              <w:spacing w:after="0" w:line="252" w:lineRule="auto"/>
            </w:pPr>
            <w:r/>
            <w:r>
              <w:rPr>
                <w:rFonts w:ascii="Microsoft YaHei" w:hAnsi="Microsoft YaHei" w:eastAsia="微软雅黑"/>
                <w:b w:val="0"/>
                <w:color w:val="222222"/>
                <w:sz w:val="17"/>
              </w:rPr>
              <w:t>C</w:t>
            </w:r>
          </w:p>
        </w:tc>
        <w:tc>
          <w:tcPr>
            <w:tcW w:type="dxa" w:w="3888"/>
            <w:vAlign w:val="center"/>
            <w:tcMar>
              <w:top w:w="80" w:type="dxa"/>
              <w:start w:w="120" w:type="dxa"/>
              <w:bottom w:w="80" w:type="dxa"/>
              <w:end w:w="120" w:type="dxa"/>
            </w:tcMar>
          </w:tcPr>
          <w:p>
            <w:pPr>
              <w:spacing w:after="0" w:line="252" w:lineRule="auto"/>
            </w:pPr>
            <w:r/>
            <w:r>
              <w:rPr>
                <w:rFonts w:ascii="Microsoft YaHei" w:hAnsi="Microsoft YaHei" w:eastAsia="微软雅黑"/>
                <w:b w:val="0"/>
                <w:color w:val="222222"/>
                <w:sz w:val="17"/>
              </w:rPr>
              <w:t>材料称有“南东关知字〔2026〕0054号”；公开检索未核到原文，且“关知字”通常提示知识产权案件编号，需防止文书与案情错配。</w:t>
            </w:r>
          </w:p>
        </w:tc>
        <w:tc>
          <w:tcPr>
            <w:tcW w:type="dxa" w:w="1224"/>
            <w:vAlign w:val="center"/>
            <w:tcMar>
              <w:top w:w="80" w:type="dxa"/>
              <w:start w:w="120" w:type="dxa"/>
              <w:bottom w:w="80" w:type="dxa"/>
              <w:end w:w="120" w:type="dxa"/>
            </w:tcMar>
          </w:tcPr>
          <w:p>
            <w:pPr>
              <w:spacing w:after="0" w:line="252" w:lineRule="auto"/>
            </w:pPr>
            <w:r/>
            <w:r>
              <w:rPr>
                <w:rFonts w:ascii="Microsoft YaHei" w:hAnsi="Microsoft YaHei" w:eastAsia="微软雅黑"/>
                <w:b w:val="0"/>
                <w:color w:val="222222"/>
                <w:sz w:val="17"/>
              </w:rPr>
              <w:t>未指向黄埔</w:t>
            </w:r>
          </w:p>
        </w:tc>
      </w:tr>
      <w:tr>
        <w:trPr>
          <w:cantSplit w:val="true"/>
        </w:trPr>
        <w:tc>
          <w:tcPr>
            <w:tcW w:type="dxa" w:w="1944"/>
            <w:vAlign w:val="center"/>
            <w:tcMar>
              <w:top w:w="80" w:type="dxa"/>
              <w:start w:w="120" w:type="dxa"/>
              <w:bottom w:w="80" w:type="dxa"/>
              <w:end w:w="120" w:type="dxa"/>
            </w:tcMar>
          </w:tcPr>
          <w:p>
            <w:pPr>
              <w:spacing w:after="0" w:line="252" w:lineRule="auto"/>
            </w:pPr>
            <w:r/>
            <w:r>
              <w:rPr>
                <w:rFonts w:ascii="Microsoft YaHei" w:hAnsi="Microsoft YaHei" w:eastAsia="微软雅黑"/>
                <w:b w:val="0"/>
                <w:color w:val="222222"/>
                <w:sz w:val="17"/>
              </w:rPr>
              <w:t>深圳XX金属材料贸易有限公司（匿名）</w:t>
            </w:r>
          </w:p>
        </w:tc>
        <w:tc>
          <w:tcPr>
            <w:tcW w:type="dxa" w:w="1512"/>
            <w:vAlign w:val="center"/>
            <w:tcMar>
              <w:top w:w="80" w:type="dxa"/>
              <w:start w:w="120" w:type="dxa"/>
              <w:bottom w:w="80" w:type="dxa"/>
              <w:end w:w="120" w:type="dxa"/>
            </w:tcMar>
          </w:tcPr>
          <w:p>
            <w:pPr>
              <w:spacing w:after="0" w:line="252" w:lineRule="auto"/>
            </w:pPr>
            <w:r/>
            <w:r>
              <w:rPr>
                <w:rFonts w:ascii="Microsoft YaHei" w:hAnsi="Microsoft YaHei" w:eastAsia="微软雅黑"/>
                <w:b w:val="0"/>
                <w:color w:val="222222"/>
                <w:sz w:val="17"/>
              </w:rPr>
              <w:t>Seoul Metal Tech</w:t>
            </w:r>
          </w:p>
        </w:tc>
        <w:tc>
          <w:tcPr>
            <w:tcW w:type="dxa" w:w="792"/>
            <w:vAlign w:val="center"/>
            <w:tcMar>
              <w:top w:w="80" w:type="dxa"/>
              <w:start w:w="120" w:type="dxa"/>
              <w:bottom w:w="80" w:type="dxa"/>
              <w:end w:w="120" w:type="dxa"/>
            </w:tcMar>
          </w:tcPr>
          <w:p>
            <w:pPr>
              <w:spacing w:after="0" w:line="252" w:lineRule="auto"/>
            </w:pPr>
            <w:r/>
            <w:r>
              <w:rPr>
                <w:rFonts w:ascii="Microsoft YaHei" w:hAnsi="Microsoft YaHei" w:eastAsia="微软雅黑"/>
                <w:b w:val="0"/>
                <w:color w:val="222222"/>
                <w:sz w:val="17"/>
              </w:rPr>
              <w:t>C</w:t>
            </w:r>
          </w:p>
        </w:tc>
        <w:tc>
          <w:tcPr>
            <w:tcW w:type="dxa" w:w="3888"/>
            <w:vAlign w:val="center"/>
            <w:tcMar>
              <w:top w:w="80" w:type="dxa"/>
              <w:start w:w="120" w:type="dxa"/>
              <w:bottom w:w="80" w:type="dxa"/>
              <w:end w:w="120" w:type="dxa"/>
            </w:tcMar>
          </w:tcPr>
          <w:p>
            <w:pPr>
              <w:spacing w:after="0" w:line="252" w:lineRule="auto"/>
            </w:pPr>
            <w:r/>
            <w:r>
              <w:rPr>
                <w:rFonts w:ascii="Microsoft YaHei" w:hAnsi="Microsoft YaHei" w:eastAsia="微软雅黑"/>
                <w:b w:val="0"/>
                <w:color w:val="222222"/>
                <w:sz w:val="17"/>
              </w:rPr>
              <w:t>材料称1.8吨合金丝拆36票并轮换盐田、黄埔；无全称、统一信用代码、报关单号。</w:t>
            </w:r>
          </w:p>
        </w:tc>
        <w:tc>
          <w:tcPr>
            <w:tcW w:type="dxa" w:w="1224"/>
            <w:vAlign w:val="center"/>
            <w:tcMar>
              <w:top w:w="80" w:type="dxa"/>
              <w:start w:w="120" w:type="dxa"/>
              <w:bottom w:w="80" w:type="dxa"/>
              <w:end w:w="120" w:type="dxa"/>
            </w:tcMar>
          </w:tcPr>
          <w:p>
            <w:pPr>
              <w:spacing w:after="0" w:line="252" w:lineRule="auto"/>
            </w:pPr>
            <w:r/>
            <w:r>
              <w:rPr>
                <w:rFonts w:ascii="Microsoft YaHei" w:hAnsi="Microsoft YaHei" w:eastAsia="微软雅黑"/>
                <w:b w:val="0"/>
                <w:color w:val="222222"/>
                <w:sz w:val="17"/>
              </w:rPr>
              <w:t>直接线索，证据不足</w:t>
            </w:r>
          </w:p>
        </w:tc>
      </w:tr>
      <w:tr>
        <w:trPr>
          <w:cantSplit w:val="true"/>
        </w:trPr>
        <w:tc>
          <w:tcPr>
            <w:tcW w:type="dxa" w:w="1944"/>
            <w:vAlign w:val="center"/>
            <w:tcMar>
              <w:top w:w="80" w:type="dxa"/>
              <w:start w:w="120" w:type="dxa"/>
              <w:bottom w:w="80" w:type="dxa"/>
              <w:end w:w="120" w:type="dxa"/>
            </w:tcMar>
          </w:tcPr>
          <w:p>
            <w:pPr>
              <w:spacing w:after="0" w:line="252" w:lineRule="auto"/>
            </w:pPr>
            <w:r/>
            <w:r>
              <w:rPr>
                <w:rFonts w:ascii="Microsoft YaHei" w:hAnsi="Microsoft YaHei" w:eastAsia="微软雅黑"/>
                <w:b w:val="0"/>
                <w:color w:val="222222"/>
                <w:sz w:val="17"/>
              </w:rPr>
              <w:t>东莞市扬驰精密五金有限公司</w:t>
            </w:r>
          </w:p>
        </w:tc>
        <w:tc>
          <w:tcPr>
            <w:tcW w:type="dxa" w:w="1512"/>
            <w:vAlign w:val="center"/>
            <w:tcMar>
              <w:top w:w="80" w:type="dxa"/>
              <w:start w:w="120" w:type="dxa"/>
              <w:bottom w:w="80" w:type="dxa"/>
              <w:end w:w="120" w:type="dxa"/>
            </w:tcMar>
          </w:tcPr>
          <w:p>
            <w:pPr>
              <w:spacing w:after="0" w:line="252" w:lineRule="auto"/>
            </w:pPr>
            <w:r/>
            <w:r>
              <w:rPr>
                <w:rFonts w:ascii="Microsoft YaHei" w:hAnsi="Microsoft YaHei" w:eastAsia="微软雅黑"/>
                <w:b w:val="0"/>
                <w:color w:val="222222"/>
                <w:sz w:val="17"/>
              </w:rPr>
              <w:t>Seoul Metal Tech</w:t>
            </w:r>
          </w:p>
        </w:tc>
        <w:tc>
          <w:tcPr>
            <w:tcW w:type="dxa" w:w="792"/>
            <w:vAlign w:val="center"/>
            <w:tcMar>
              <w:top w:w="80" w:type="dxa"/>
              <w:start w:w="120" w:type="dxa"/>
              <w:bottom w:w="80" w:type="dxa"/>
              <w:end w:w="120" w:type="dxa"/>
            </w:tcMar>
          </w:tcPr>
          <w:p>
            <w:pPr>
              <w:spacing w:after="0" w:line="252" w:lineRule="auto"/>
            </w:pPr>
            <w:r/>
            <w:r>
              <w:rPr>
                <w:rFonts w:ascii="Microsoft YaHei" w:hAnsi="Microsoft YaHei" w:eastAsia="微软雅黑"/>
                <w:b w:val="0"/>
                <w:color w:val="222222"/>
                <w:sz w:val="17"/>
              </w:rPr>
              <w:t>C</w:t>
            </w:r>
          </w:p>
        </w:tc>
        <w:tc>
          <w:tcPr>
            <w:tcW w:type="dxa" w:w="3888"/>
            <w:vAlign w:val="center"/>
            <w:tcMar>
              <w:top w:w="80" w:type="dxa"/>
              <w:start w:w="120" w:type="dxa"/>
              <w:bottom w:w="80" w:type="dxa"/>
              <w:end w:w="120" w:type="dxa"/>
            </w:tcMar>
          </w:tcPr>
          <w:p>
            <w:pPr>
              <w:spacing w:after="0" w:line="252" w:lineRule="auto"/>
            </w:pPr>
            <w:r/>
            <w:r>
              <w:rPr>
                <w:rFonts w:ascii="Microsoft YaHei" w:hAnsi="Microsoft YaHei" w:eastAsia="微软雅黑"/>
                <w:b w:val="0"/>
                <w:color w:val="222222"/>
                <w:sz w:val="17"/>
              </w:rPr>
              <w:t>材料称“深邮关缉缉违字〔2025〕73号”；编号存在重复“缉”，公开未核到原文。</w:t>
            </w:r>
          </w:p>
        </w:tc>
        <w:tc>
          <w:tcPr>
            <w:tcW w:type="dxa" w:w="1224"/>
            <w:vAlign w:val="center"/>
            <w:tcMar>
              <w:top w:w="80" w:type="dxa"/>
              <w:start w:w="120" w:type="dxa"/>
              <w:bottom w:w="80" w:type="dxa"/>
              <w:end w:w="120" w:type="dxa"/>
            </w:tcMar>
          </w:tcPr>
          <w:p>
            <w:pPr>
              <w:spacing w:after="0" w:line="252" w:lineRule="auto"/>
            </w:pPr>
            <w:r/>
            <w:r>
              <w:rPr>
                <w:rFonts w:ascii="Microsoft YaHei" w:hAnsi="Microsoft YaHei" w:eastAsia="微软雅黑"/>
                <w:b w:val="0"/>
                <w:color w:val="222222"/>
                <w:sz w:val="17"/>
              </w:rPr>
              <w:t>关区协查，不等于口岸</w:t>
            </w:r>
          </w:p>
        </w:tc>
      </w:tr>
      <w:tr>
        <w:trPr>
          <w:cantSplit w:val="true"/>
        </w:trPr>
        <w:tc>
          <w:tcPr>
            <w:tcW w:type="dxa" w:w="1944"/>
            <w:vAlign w:val="center"/>
            <w:tcMar>
              <w:top w:w="80" w:type="dxa"/>
              <w:start w:w="120" w:type="dxa"/>
              <w:bottom w:w="80" w:type="dxa"/>
              <w:end w:w="120" w:type="dxa"/>
            </w:tcMar>
          </w:tcPr>
          <w:p>
            <w:pPr>
              <w:spacing w:after="0" w:line="252" w:lineRule="auto"/>
            </w:pPr>
            <w:r/>
            <w:r>
              <w:rPr>
                <w:rFonts w:ascii="Microsoft YaHei" w:hAnsi="Microsoft YaHei" w:eastAsia="微软雅黑"/>
                <w:b w:val="0"/>
                <w:color w:val="222222"/>
                <w:sz w:val="17"/>
              </w:rPr>
              <w:t>深圳跨境新材料进出口商行（描述性名称）</w:t>
            </w:r>
          </w:p>
        </w:tc>
        <w:tc>
          <w:tcPr>
            <w:tcW w:type="dxa" w:w="1512"/>
            <w:vAlign w:val="center"/>
            <w:tcMar>
              <w:top w:w="80" w:type="dxa"/>
              <w:start w:w="120" w:type="dxa"/>
              <w:bottom w:w="80" w:type="dxa"/>
              <w:end w:w="120" w:type="dxa"/>
            </w:tcMar>
          </w:tcPr>
          <w:p>
            <w:pPr>
              <w:spacing w:after="0" w:line="252" w:lineRule="auto"/>
            </w:pPr>
            <w:r/>
            <w:r>
              <w:rPr>
                <w:rFonts w:ascii="Microsoft YaHei" w:hAnsi="Microsoft YaHei" w:eastAsia="微软雅黑"/>
                <w:b w:val="0"/>
                <w:color w:val="222222"/>
                <w:sz w:val="17"/>
              </w:rPr>
              <w:t>Korea Advanced Material</w:t>
            </w:r>
          </w:p>
        </w:tc>
        <w:tc>
          <w:tcPr>
            <w:tcW w:type="dxa" w:w="792"/>
            <w:vAlign w:val="center"/>
            <w:tcMar>
              <w:top w:w="80" w:type="dxa"/>
              <w:start w:w="120" w:type="dxa"/>
              <w:bottom w:w="80" w:type="dxa"/>
              <w:end w:w="120" w:type="dxa"/>
            </w:tcMar>
          </w:tcPr>
          <w:p>
            <w:pPr>
              <w:spacing w:after="0" w:line="252" w:lineRule="auto"/>
            </w:pPr>
            <w:r/>
            <w:r>
              <w:rPr>
                <w:rFonts w:ascii="Microsoft YaHei" w:hAnsi="Microsoft YaHei" w:eastAsia="微软雅黑"/>
                <w:b w:val="0"/>
                <w:color w:val="222222"/>
                <w:sz w:val="17"/>
              </w:rPr>
              <w:t>C</w:t>
            </w:r>
          </w:p>
        </w:tc>
        <w:tc>
          <w:tcPr>
            <w:tcW w:type="dxa" w:w="3888"/>
            <w:vAlign w:val="center"/>
            <w:tcMar>
              <w:top w:w="80" w:type="dxa"/>
              <w:start w:w="120" w:type="dxa"/>
              <w:bottom w:w="80" w:type="dxa"/>
              <w:end w:w="120" w:type="dxa"/>
            </w:tcMar>
          </w:tcPr>
          <w:p>
            <w:pPr>
              <w:spacing w:after="0" w:line="252" w:lineRule="auto"/>
            </w:pPr>
            <w:r/>
            <w:r>
              <w:rPr>
                <w:rFonts w:ascii="Microsoft YaHei" w:hAnsi="Microsoft YaHei" w:eastAsia="微软雅黑"/>
                <w:b w:val="0"/>
                <w:color w:val="222222"/>
                <w:sz w:val="17"/>
              </w:rPr>
              <w:t>缺完整登记名称及识别码；出口增幅未给出统计口径、基期和数据表。</w:t>
            </w:r>
          </w:p>
        </w:tc>
        <w:tc>
          <w:tcPr>
            <w:tcW w:type="dxa" w:w="1224"/>
            <w:vAlign w:val="center"/>
            <w:tcMar>
              <w:top w:w="80" w:type="dxa"/>
              <w:start w:w="120" w:type="dxa"/>
              <w:bottom w:w="80" w:type="dxa"/>
              <w:end w:w="120" w:type="dxa"/>
            </w:tcMar>
          </w:tcPr>
          <w:p>
            <w:pPr>
              <w:spacing w:after="0" w:line="252" w:lineRule="auto"/>
            </w:pPr>
            <w:r/>
            <w:r>
              <w:rPr>
                <w:rFonts w:ascii="Microsoft YaHei" w:hAnsi="Microsoft YaHei" w:eastAsia="微软雅黑"/>
                <w:b w:val="0"/>
                <w:color w:val="222222"/>
                <w:sz w:val="17"/>
              </w:rPr>
              <w:t>未指向黄埔</w:t>
            </w:r>
          </w:p>
        </w:tc>
      </w:tr>
      <w:tr>
        <w:trPr>
          <w:cantSplit w:val="true"/>
        </w:trPr>
        <w:tc>
          <w:tcPr>
            <w:tcW w:type="dxa" w:w="1944"/>
            <w:vAlign w:val="center"/>
            <w:tcMar>
              <w:top w:w="80" w:type="dxa"/>
              <w:start w:w="120" w:type="dxa"/>
              <w:bottom w:w="80" w:type="dxa"/>
              <w:end w:w="120" w:type="dxa"/>
            </w:tcMar>
          </w:tcPr>
          <w:p>
            <w:pPr>
              <w:spacing w:after="0" w:line="252" w:lineRule="auto"/>
            </w:pPr>
            <w:r/>
            <w:r>
              <w:rPr>
                <w:rFonts w:ascii="Microsoft YaHei" w:hAnsi="Microsoft YaHei" w:eastAsia="微软雅黑"/>
                <w:b w:val="0"/>
                <w:color w:val="222222"/>
                <w:sz w:val="17"/>
              </w:rPr>
              <w:t>东莞鑫源金属制品贸易有限公司</w:t>
            </w:r>
          </w:p>
        </w:tc>
        <w:tc>
          <w:tcPr>
            <w:tcW w:type="dxa" w:w="1512"/>
            <w:vAlign w:val="center"/>
            <w:tcMar>
              <w:top w:w="80" w:type="dxa"/>
              <w:start w:w="120" w:type="dxa"/>
              <w:bottom w:w="80" w:type="dxa"/>
              <w:end w:w="120" w:type="dxa"/>
            </w:tcMar>
          </w:tcPr>
          <w:p>
            <w:pPr>
              <w:spacing w:after="0" w:line="252" w:lineRule="auto"/>
            </w:pPr>
            <w:r/>
            <w:r>
              <w:rPr>
                <w:rFonts w:ascii="Microsoft YaHei" w:hAnsi="Microsoft YaHei" w:eastAsia="微软雅黑"/>
                <w:b w:val="0"/>
                <w:color w:val="222222"/>
                <w:sz w:val="17"/>
              </w:rPr>
              <w:t>Korea Advanced Material</w:t>
            </w:r>
          </w:p>
        </w:tc>
        <w:tc>
          <w:tcPr>
            <w:tcW w:type="dxa" w:w="792"/>
            <w:vAlign w:val="center"/>
            <w:tcMar>
              <w:top w:w="80" w:type="dxa"/>
              <w:start w:w="120" w:type="dxa"/>
              <w:bottom w:w="80" w:type="dxa"/>
              <w:end w:w="120" w:type="dxa"/>
            </w:tcMar>
          </w:tcPr>
          <w:p>
            <w:pPr>
              <w:spacing w:after="0" w:line="252" w:lineRule="auto"/>
            </w:pPr>
            <w:r/>
            <w:r>
              <w:rPr>
                <w:rFonts w:ascii="Microsoft YaHei" w:hAnsi="Microsoft YaHei" w:eastAsia="微软雅黑"/>
                <w:b w:val="0"/>
                <w:color w:val="222222"/>
                <w:sz w:val="17"/>
              </w:rPr>
              <w:t>C</w:t>
            </w:r>
          </w:p>
        </w:tc>
        <w:tc>
          <w:tcPr>
            <w:tcW w:type="dxa" w:w="3888"/>
            <w:vAlign w:val="center"/>
            <w:tcMar>
              <w:top w:w="80" w:type="dxa"/>
              <w:start w:w="120" w:type="dxa"/>
              <w:bottom w:w="80" w:type="dxa"/>
              <w:end w:w="120" w:type="dxa"/>
            </w:tcMar>
          </w:tcPr>
          <w:p>
            <w:pPr>
              <w:spacing w:after="0" w:line="252" w:lineRule="auto"/>
            </w:pPr>
            <w:r/>
            <w:r>
              <w:rPr>
                <w:rFonts w:ascii="Microsoft YaHei" w:hAnsi="Microsoft YaHei" w:eastAsia="微软雅黑"/>
                <w:b w:val="0"/>
                <w:color w:val="222222"/>
                <w:sz w:val="17"/>
              </w:rPr>
              <w:t>拆22票、韩方拒绝产能证明均为单一调研说法。</w:t>
            </w:r>
          </w:p>
        </w:tc>
        <w:tc>
          <w:tcPr>
            <w:tcW w:type="dxa" w:w="1224"/>
            <w:vAlign w:val="center"/>
            <w:tcMar>
              <w:top w:w="80" w:type="dxa"/>
              <w:start w:w="120" w:type="dxa"/>
              <w:bottom w:w="80" w:type="dxa"/>
              <w:end w:w="120" w:type="dxa"/>
            </w:tcMar>
          </w:tcPr>
          <w:p>
            <w:pPr>
              <w:spacing w:after="0" w:line="252" w:lineRule="auto"/>
            </w:pPr>
            <w:r/>
            <w:r>
              <w:rPr>
                <w:rFonts w:ascii="Microsoft YaHei" w:hAnsi="Microsoft YaHei" w:eastAsia="微软雅黑"/>
                <w:b w:val="0"/>
                <w:color w:val="222222"/>
                <w:sz w:val="17"/>
              </w:rPr>
              <w:t>关区协查，不等于口岸</w:t>
            </w:r>
          </w:p>
        </w:tc>
      </w:tr>
      <w:tr>
        <w:trPr>
          <w:cantSplit w:val="true"/>
        </w:trPr>
        <w:tc>
          <w:tcPr>
            <w:tcW w:type="dxa" w:w="1944"/>
            <w:vAlign w:val="center"/>
            <w:tcMar>
              <w:top w:w="80" w:type="dxa"/>
              <w:start w:w="120" w:type="dxa"/>
              <w:bottom w:w="80" w:type="dxa"/>
              <w:end w:w="120" w:type="dxa"/>
            </w:tcMar>
          </w:tcPr>
          <w:p>
            <w:pPr>
              <w:spacing w:after="0" w:line="252" w:lineRule="auto"/>
            </w:pPr>
            <w:r/>
            <w:r>
              <w:rPr>
                <w:rFonts w:ascii="Microsoft YaHei" w:hAnsi="Microsoft YaHei" w:eastAsia="微软雅黑"/>
                <w:b w:val="0"/>
                <w:color w:val="222222"/>
                <w:sz w:val="17"/>
              </w:rPr>
              <w:t>深圳煌铭旺和五金有限公司</w:t>
            </w:r>
          </w:p>
        </w:tc>
        <w:tc>
          <w:tcPr>
            <w:tcW w:type="dxa" w:w="1512"/>
            <w:vAlign w:val="center"/>
            <w:tcMar>
              <w:top w:w="80" w:type="dxa"/>
              <w:start w:w="120" w:type="dxa"/>
              <w:bottom w:w="80" w:type="dxa"/>
              <w:end w:w="120" w:type="dxa"/>
            </w:tcMar>
          </w:tcPr>
          <w:p>
            <w:pPr>
              <w:spacing w:after="0" w:line="252" w:lineRule="auto"/>
            </w:pPr>
            <w:r/>
            <w:r>
              <w:rPr>
                <w:rFonts w:ascii="Microsoft YaHei" w:hAnsi="Microsoft YaHei" w:eastAsia="微软雅黑"/>
                <w:b w:val="0"/>
                <w:color w:val="222222"/>
                <w:sz w:val="17"/>
              </w:rPr>
              <w:t>未明确/韩商</w:t>
            </w:r>
          </w:p>
        </w:tc>
        <w:tc>
          <w:tcPr>
            <w:tcW w:type="dxa" w:w="792"/>
            <w:vAlign w:val="center"/>
            <w:tcMar>
              <w:top w:w="80" w:type="dxa"/>
              <w:start w:w="120" w:type="dxa"/>
              <w:bottom w:w="80" w:type="dxa"/>
              <w:end w:w="120" w:type="dxa"/>
            </w:tcMar>
          </w:tcPr>
          <w:p>
            <w:pPr>
              <w:spacing w:after="0" w:line="252" w:lineRule="auto"/>
            </w:pPr>
            <w:r/>
            <w:r>
              <w:rPr>
                <w:rFonts w:ascii="Microsoft YaHei" w:hAnsi="Microsoft YaHei" w:eastAsia="微软雅黑"/>
                <w:b w:val="0"/>
                <w:color w:val="222222"/>
                <w:sz w:val="17"/>
              </w:rPr>
              <w:t>C</w:t>
            </w:r>
          </w:p>
        </w:tc>
        <w:tc>
          <w:tcPr>
            <w:tcW w:type="dxa" w:w="3888"/>
            <w:vAlign w:val="center"/>
            <w:tcMar>
              <w:top w:w="80" w:type="dxa"/>
              <w:start w:w="120" w:type="dxa"/>
              <w:bottom w:w="80" w:type="dxa"/>
              <w:end w:w="120" w:type="dxa"/>
            </w:tcMar>
          </w:tcPr>
          <w:p>
            <w:pPr>
              <w:spacing w:after="0" w:line="252" w:lineRule="auto"/>
            </w:pPr>
            <w:r/>
            <w:r>
              <w:rPr>
                <w:rFonts w:ascii="Microsoft YaHei" w:hAnsi="Microsoft YaHei" w:eastAsia="微软雅黑"/>
                <w:b w:val="0"/>
                <w:color w:val="222222"/>
                <w:sz w:val="17"/>
              </w:rPr>
              <w:t>仅称2026年二季度开始接收小额拆分订单。</w:t>
            </w:r>
          </w:p>
        </w:tc>
        <w:tc>
          <w:tcPr>
            <w:tcW w:type="dxa" w:w="1224"/>
            <w:vAlign w:val="center"/>
            <w:tcMar>
              <w:top w:w="80" w:type="dxa"/>
              <w:start w:w="120" w:type="dxa"/>
              <w:bottom w:w="80" w:type="dxa"/>
              <w:end w:w="120" w:type="dxa"/>
            </w:tcMar>
          </w:tcPr>
          <w:p>
            <w:pPr>
              <w:spacing w:after="0" w:line="252" w:lineRule="auto"/>
            </w:pPr>
            <w:r/>
            <w:r>
              <w:rPr>
                <w:rFonts w:ascii="Microsoft YaHei" w:hAnsi="Microsoft YaHei" w:eastAsia="微软雅黑"/>
                <w:b w:val="0"/>
                <w:color w:val="222222"/>
                <w:sz w:val="17"/>
              </w:rPr>
              <w:t>未指向黄埔</w:t>
            </w:r>
          </w:p>
        </w:tc>
      </w:tr>
      <w:tr>
        <w:trPr>
          <w:cantSplit w:val="true"/>
        </w:trPr>
        <w:tc>
          <w:tcPr>
            <w:tcW w:type="dxa" w:w="1944"/>
            <w:vAlign w:val="center"/>
            <w:tcMar>
              <w:top w:w="80" w:type="dxa"/>
              <w:start w:w="120" w:type="dxa"/>
              <w:bottom w:w="80" w:type="dxa"/>
              <w:end w:w="120" w:type="dxa"/>
            </w:tcMar>
          </w:tcPr>
          <w:p>
            <w:pPr>
              <w:spacing w:after="0" w:line="252" w:lineRule="auto"/>
            </w:pPr>
            <w:r/>
            <w:r>
              <w:rPr>
                <w:rFonts w:ascii="Microsoft YaHei" w:hAnsi="Microsoft YaHei" w:eastAsia="微软雅黑"/>
                <w:b w:val="0"/>
                <w:color w:val="222222"/>
                <w:sz w:val="17"/>
              </w:rPr>
              <w:t>深圳市铧宁金属材料有限公司</w:t>
            </w:r>
          </w:p>
        </w:tc>
        <w:tc>
          <w:tcPr>
            <w:tcW w:type="dxa" w:w="1512"/>
            <w:vAlign w:val="center"/>
            <w:tcMar>
              <w:top w:w="80" w:type="dxa"/>
              <w:start w:w="120" w:type="dxa"/>
              <w:bottom w:w="80" w:type="dxa"/>
              <w:end w:w="120" w:type="dxa"/>
            </w:tcMar>
          </w:tcPr>
          <w:p>
            <w:pPr>
              <w:spacing w:after="0" w:line="252" w:lineRule="auto"/>
            </w:pPr>
            <w:r/>
            <w:r>
              <w:rPr>
                <w:rFonts w:ascii="Microsoft YaHei" w:hAnsi="Microsoft YaHei" w:eastAsia="微软雅黑"/>
                <w:b w:val="0"/>
                <w:color w:val="222222"/>
                <w:sz w:val="17"/>
              </w:rPr>
              <w:t>两家韩国贸易商</w:t>
            </w:r>
          </w:p>
        </w:tc>
        <w:tc>
          <w:tcPr>
            <w:tcW w:type="dxa" w:w="792"/>
            <w:vAlign w:val="center"/>
            <w:tcMar>
              <w:top w:w="80" w:type="dxa"/>
              <w:start w:w="120" w:type="dxa"/>
              <w:bottom w:w="80" w:type="dxa"/>
              <w:end w:w="120" w:type="dxa"/>
            </w:tcMar>
          </w:tcPr>
          <w:p>
            <w:pPr>
              <w:spacing w:after="0" w:line="252" w:lineRule="auto"/>
            </w:pPr>
            <w:r/>
            <w:r>
              <w:rPr>
                <w:rFonts w:ascii="Microsoft YaHei" w:hAnsi="Microsoft YaHei" w:eastAsia="微软雅黑"/>
                <w:b w:val="0"/>
                <w:color w:val="222222"/>
                <w:sz w:val="17"/>
              </w:rPr>
              <w:t>C</w:t>
            </w:r>
          </w:p>
        </w:tc>
        <w:tc>
          <w:tcPr>
            <w:tcW w:type="dxa" w:w="3888"/>
            <w:vAlign w:val="center"/>
            <w:tcMar>
              <w:top w:w="80" w:type="dxa"/>
              <w:start w:w="120" w:type="dxa"/>
              <w:bottom w:w="80" w:type="dxa"/>
              <w:end w:w="120" w:type="dxa"/>
            </w:tcMar>
          </w:tcPr>
          <w:p>
            <w:pPr>
              <w:spacing w:after="0" w:line="252" w:lineRule="auto"/>
            </w:pPr>
            <w:r/>
            <w:r>
              <w:rPr>
                <w:rFonts w:ascii="Microsoft YaHei" w:hAnsi="Microsoft YaHei" w:eastAsia="微软雅黑"/>
                <w:b w:val="0"/>
                <w:color w:val="222222"/>
                <w:sz w:val="17"/>
              </w:rPr>
              <w:t>“分时段小额申报”缺报关底表。</w:t>
            </w:r>
          </w:p>
        </w:tc>
        <w:tc>
          <w:tcPr>
            <w:tcW w:type="dxa" w:w="1224"/>
            <w:vAlign w:val="center"/>
            <w:tcMar>
              <w:top w:w="80" w:type="dxa"/>
              <w:start w:w="120" w:type="dxa"/>
              <w:bottom w:w="80" w:type="dxa"/>
              <w:end w:w="120" w:type="dxa"/>
            </w:tcMar>
          </w:tcPr>
          <w:p>
            <w:pPr>
              <w:spacing w:after="0" w:line="252" w:lineRule="auto"/>
            </w:pPr>
            <w:r/>
            <w:r>
              <w:rPr>
                <w:rFonts w:ascii="Microsoft YaHei" w:hAnsi="Microsoft YaHei" w:eastAsia="微软雅黑"/>
                <w:b w:val="0"/>
                <w:color w:val="222222"/>
                <w:sz w:val="17"/>
              </w:rPr>
              <w:t>未指向黄埔</w:t>
            </w:r>
          </w:p>
        </w:tc>
      </w:tr>
      <w:tr>
        <w:trPr>
          <w:cantSplit w:val="true"/>
        </w:trPr>
        <w:tc>
          <w:tcPr>
            <w:tcW w:type="dxa" w:w="1944"/>
            <w:vAlign w:val="center"/>
            <w:tcMar>
              <w:top w:w="80" w:type="dxa"/>
              <w:start w:w="120" w:type="dxa"/>
              <w:bottom w:w="80" w:type="dxa"/>
              <w:end w:w="120" w:type="dxa"/>
            </w:tcMar>
          </w:tcPr>
          <w:p>
            <w:pPr>
              <w:spacing w:after="0" w:line="252" w:lineRule="auto"/>
            </w:pPr>
            <w:r/>
            <w:r>
              <w:rPr>
                <w:rFonts w:ascii="Microsoft YaHei" w:hAnsi="Microsoft YaHei" w:eastAsia="微软雅黑"/>
                <w:b w:val="0"/>
                <w:color w:val="222222"/>
                <w:sz w:val="17"/>
              </w:rPr>
              <w:t>惠州金泽丰贸易有限公司</w:t>
            </w:r>
          </w:p>
        </w:tc>
        <w:tc>
          <w:tcPr>
            <w:tcW w:type="dxa" w:w="1512"/>
            <w:vAlign w:val="center"/>
            <w:tcMar>
              <w:top w:w="80" w:type="dxa"/>
              <w:start w:w="120" w:type="dxa"/>
              <w:bottom w:w="80" w:type="dxa"/>
              <w:end w:w="120" w:type="dxa"/>
            </w:tcMar>
          </w:tcPr>
          <w:p>
            <w:pPr>
              <w:spacing w:after="0" w:line="252" w:lineRule="auto"/>
            </w:pPr>
            <w:r/>
            <w:r>
              <w:rPr>
                <w:rFonts w:ascii="Microsoft YaHei" w:hAnsi="Microsoft YaHei" w:eastAsia="微软雅黑"/>
                <w:b w:val="0"/>
                <w:color w:val="222222"/>
                <w:sz w:val="17"/>
              </w:rPr>
              <w:t>未明确/韩商</w:t>
            </w:r>
          </w:p>
        </w:tc>
        <w:tc>
          <w:tcPr>
            <w:tcW w:type="dxa" w:w="792"/>
            <w:vAlign w:val="center"/>
            <w:tcMar>
              <w:top w:w="80" w:type="dxa"/>
              <w:start w:w="120" w:type="dxa"/>
              <w:bottom w:w="80" w:type="dxa"/>
              <w:end w:w="120" w:type="dxa"/>
            </w:tcMar>
          </w:tcPr>
          <w:p>
            <w:pPr>
              <w:spacing w:after="0" w:line="252" w:lineRule="auto"/>
            </w:pPr>
            <w:r/>
            <w:r>
              <w:rPr>
                <w:rFonts w:ascii="Microsoft YaHei" w:hAnsi="Microsoft YaHei" w:eastAsia="微软雅黑"/>
                <w:b w:val="0"/>
                <w:color w:val="222222"/>
                <w:sz w:val="17"/>
              </w:rPr>
              <w:t>C</w:t>
            </w:r>
          </w:p>
        </w:tc>
        <w:tc>
          <w:tcPr>
            <w:tcW w:type="dxa" w:w="3888"/>
            <w:vAlign w:val="center"/>
            <w:tcMar>
              <w:top w:w="80" w:type="dxa"/>
              <w:start w:w="120" w:type="dxa"/>
              <w:bottom w:w="80" w:type="dxa"/>
              <w:end w:w="120" w:type="dxa"/>
            </w:tcMar>
          </w:tcPr>
          <w:p>
            <w:pPr>
              <w:spacing w:after="0" w:line="252" w:lineRule="auto"/>
            </w:pPr>
            <w:r/>
            <w:r>
              <w:rPr>
                <w:rFonts w:ascii="Microsoft YaHei" w:hAnsi="Microsoft YaHei" w:eastAsia="微软雅黑"/>
                <w:b w:val="0"/>
                <w:color w:val="222222"/>
                <w:sz w:val="17"/>
              </w:rPr>
              <w:t>“搭配管制镍材混装”属严重指控，未附查验或检测依据。</w:t>
            </w:r>
          </w:p>
        </w:tc>
        <w:tc>
          <w:tcPr>
            <w:tcW w:type="dxa" w:w="1224"/>
            <w:vAlign w:val="center"/>
            <w:tcMar>
              <w:top w:w="80" w:type="dxa"/>
              <w:start w:w="120" w:type="dxa"/>
              <w:bottom w:w="80" w:type="dxa"/>
              <w:end w:w="120" w:type="dxa"/>
            </w:tcMar>
          </w:tcPr>
          <w:p>
            <w:pPr>
              <w:spacing w:after="0" w:line="252" w:lineRule="auto"/>
            </w:pPr>
            <w:r/>
            <w:r>
              <w:rPr>
                <w:rFonts w:ascii="Microsoft YaHei" w:hAnsi="Microsoft YaHei" w:eastAsia="微软雅黑"/>
                <w:b w:val="0"/>
                <w:color w:val="222222"/>
                <w:sz w:val="17"/>
              </w:rPr>
              <w:t>未指向黄埔</w:t>
            </w:r>
          </w:p>
        </w:tc>
      </w:tr>
      <w:tr>
        <w:trPr>
          <w:cantSplit w:val="true"/>
        </w:trPr>
        <w:tc>
          <w:tcPr>
            <w:tcW w:type="dxa" w:w="1944"/>
            <w:vAlign w:val="center"/>
            <w:tcMar>
              <w:top w:w="80" w:type="dxa"/>
              <w:start w:w="120" w:type="dxa"/>
              <w:bottom w:w="80" w:type="dxa"/>
              <w:end w:w="120" w:type="dxa"/>
            </w:tcMar>
          </w:tcPr>
          <w:p>
            <w:pPr>
              <w:spacing w:after="0" w:line="252" w:lineRule="auto"/>
            </w:pPr>
            <w:r/>
            <w:r>
              <w:rPr>
                <w:rFonts w:ascii="Microsoft YaHei" w:hAnsi="Microsoft YaHei" w:eastAsia="微软雅黑"/>
                <w:b w:val="0"/>
                <w:color w:val="222222"/>
                <w:sz w:val="17"/>
              </w:rPr>
              <w:t>杭州新川新材料有限公司</w:t>
            </w:r>
          </w:p>
        </w:tc>
        <w:tc>
          <w:tcPr>
            <w:tcW w:type="dxa" w:w="1512"/>
            <w:vAlign w:val="center"/>
            <w:tcMar>
              <w:top w:w="80" w:type="dxa"/>
              <w:start w:w="120" w:type="dxa"/>
              <w:bottom w:w="80" w:type="dxa"/>
              <w:end w:w="120" w:type="dxa"/>
            </w:tcMar>
          </w:tcPr>
          <w:p>
            <w:pPr>
              <w:spacing w:after="0" w:line="252" w:lineRule="auto"/>
            </w:pPr>
            <w:r/>
            <w:r>
              <w:rPr>
                <w:rFonts w:ascii="Microsoft YaHei" w:hAnsi="Microsoft YaHei" w:eastAsia="微软雅黑"/>
                <w:b w:val="0"/>
                <w:color w:val="222222"/>
                <w:sz w:val="17"/>
              </w:rPr>
              <w:t>Seoul Metal Tech</w:t>
            </w:r>
          </w:p>
        </w:tc>
        <w:tc>
          <w:tcPr>
            <w:tcW w:type="dxa" w:w="792"/>
            <w:vAlign w:val="center"/>
            <w:tcMar>
              <w:top w:w="80" w:type="dxa"/>
              <w:start w:w="120" w:type="dxa"/>
              <w:bottom w:w="80" w:type="dxa"/>
              <w:end w:w="120" w:type="dxa"/>
            </w:tcMar>
          </w:tcPr>
          <w:p>
            <w:pPr>
              <w:spacing w:after="0" w:line="252" w:lineRule="auto"/>
            </w:pPr>
            <w:r/>
            <w:r>
              <w:rPr>
                <w:rFonts w:ascii="Microsoft YaHei" w:hAnsi="Microsoft YaHei" w:eastAsia="微软雅黑"/>
                <w:b w:val="0"/>
                <w:color w:val="222222"/>
                <w:sz w:val="17"/>
              </w:rPr>
              <w:t>A/C</w:t>
            </w:r>
          </w:p>
        </w:tc>
        <w:tc>
          <w:tcPr>
            <w:tcW w:type="dxa" w:w="3888"/>
            <w:vAlign w:val="center"/>
            <w:tcMar>
              <w:top w:w="80" w:type="dxa"/>
              <w:start w:w="120" w:type="dxa"/>
              <w:bottom w:w="80" w:type="dxa"/>
              <w:end w:w="120" w:type="dxa"/>
            </w:tcMar>
          </w:tcPr>
          <w:p>
            <w:pPr>
              <w:spacing w:after="0" w:line="252" w:lineRule="auto"/>
            </w:pPr>
            <w:r/>
            <w:r>
              <w:rPr>
                <w:rFonts w:ascii="Microsoft YaHei" w:hAnsi="Microsoft YaHei" w:eastAsia="微软雅黑"/>
                <w:b w:val="0"/>
                <w:color w:val="222222"/>
                <w:sz w:val="17"/>
              </w:rPr>
              <w:t>公开可对应沪外港关缉违字〔2026〕143号及“申报不实、影响许可证件管理”；韩国客户、拆票和日本最终用户仍为C级。</w:t>
            </w:r>
          </w:p>
        </w:tc>
        <w:tc>
          <w:tcPr>
            <w:tcW w:type="dxa" w:w="1224"/>
            <w:vAlign w:val="center"/>
            <w:tcMar>
              <w:top w:w="80" w:type="dxa"/>
              <w:start w:w="120" w:type="dxa"/>
              <w:bottom w:w="80" w:type="dxa"/>
              <w:end w:w="120" w:type="dxa"/>
            </w:tcMar>
          </w:tcPr>
          <w:p>
            <w:pPr>
              <w:spacing w:after="0" w:line="252" w:lineRule="auto"/>
            </w:pPr>
            <w:r/>
            <w:r>
              <w:rPr>
                <w:rFonts w:ascii="Microsoft YaHei" w:hAnsi="Microsoft YaHei" w:eastAsia="微软雅黑"/>
                <w:b w:val="0"/>
                <w:color w:val="222222"/>
                <w:sz w:val="17"/>
              </w:rPr>
              <w:t>无黄埔指向</w:t>
            </w:r>
          </w:p>
        </w:tc>
      </w:tr>
      <w:tr>
        <w:trPr>
          <w:cantSplit w:val="true"/>
        </w:trPr>
        <w:tc>
          <w:tcPr>
            <w:tcW w:type="dxa" w:w="1944"/>
            <w:vAlign w:val="center"/>
            <w:tcMar>
              <w:top w:w="80" w:type="dxa"/>
              <w:start w:w="120" w:type="dxa"/>
              <w:bottom w:w="80" w:type="dxa"/>
              <w:end w:w="120" w:type="dxa"/>
            </w:tcMar>
          </w:tcPr>
          <w:p>
            <w:pPr>
              <w:spacing w:after="0" w:line="252" w:lineRule="auto"/>
            </w:pPr>
            <w:r/>
            <w:r>
              <w:rPr>
                <w:rFonts w:ascii="Microsoft YaHei" w:hAnsi="Microsoft YaHei" w:eastAsia="微软雅黑"/>
                <w:b w:val="0"/>
                <w:color w:val="222222"/>
                <w:sz w:val="17"/>
              </w:rPr>
              <w:t>南京达迈科技实业股份有限公司</w:t>
            </w:r>
          </w:p>
        </w:tc>
        <w:tc>
          <w:tcPr>
            <w:tcW w:type="dxa" w:w="1512"/>
            <w:vAlign w:val="center"/>
            <w:tcMar>
              <w:top w:w="80" w:type="dxa"/>
              <w:start w:w="120" w:type="dxa"/>
              <w:bottom w:w="80" w:type="dxa"/>
              <w:end w:w="120" w:type="dxa"/>
            </w:tcMar>
          </w:tcPr>
          <w:p>
            <w:pPr>
              <w:spacing w:after="0" w:line="252" w:lineRule="auto"/>
            </w:pPr>
            <w:r/>
            <w:r>
              <w:rPr>
                <w:rFonts w:ascii="Microsoft YaHei" w:hAnsi="Microsoft YaHei" w:eastAsia="微软雅黑"/>
                <w:b w:val="0"/>
                <w:color w:val="222222"/>
                <w:sz w:val="17"/>
              </w:rPr>
              <w:t>Korea Advanced Material</w:t>
            </w:r>
          </w:p>
        </w:tc>
        <w:tc>
          <w:tcPr>
            <w:tcW w:type="dxa" w:w="792"/>
            <w:vAlign w:val="center"/>
            <w:tcMar>
              <w:top w:w="80" w:type="dxa"/>
              <w:start w:w="120" w:type="dxa"/>
              <w:bottom w:w="80" w:type="dxa"/>
              <w:end w:w="120" w:type="dxa"/>
            </w:tcMar>
          </w:tcPr>
          <w:p>
            <w:pPr>
              <w:spacing w:after="0" w:line="252" w:lineRule="auto"/>
            </w:pPr>
            <w:r/>
            <w:r>
              <w:rPr>
                <w:rFonts w:ascii="Microsoft YaHei" w:hAnsi="Microsoft YaHei" w:eastAsia="微软雅黑"/>
                <w:b w:val="0"/>
                <w:color w:val="222222"/>
                <w:sz w:val="17"/>
              </w:rPr>
              <w:t>A/B/C</w:t>
            </w:r>
          </w:p>
        </w:tc>
        <w:tc>
          <w:tcPr>
            <w:tcW w:type="dxa" w:w="3888"/>
            <w:vAlign w:val="center"/>
            <w:tcMar>
              <w:top w:w="80" w:type="dxa"/>
              <w:start w:w="120" w:type="dxa"/>
              <w:bottom w:w="80" w:type="dxa"/>
              <w:end w:w="120" w:type="dxa"/>
            </w:tcMar>
          </w:tcPr>
          <w:p>
            <w:pPr>
              <w:spacing w:after="0" w:line="252" w:lineRule="auto"/>
            </w:pPr>
            <w:r/>
            <w:r>
              <w:rPr>
                <w:rFonts w:ascii="Microsoft YaHei" w:hAnsi="Microsoft YaHei" w:eastAsia="微软雅黑"/>
                <w:b w:val="0"/>
                <w:color w:val="222222"/>
                <w:sz w:val="17"/>
              </w:rPr>
              <w:t>公开案例支持阿拉山口无证出口含钇镍合金丝并被罚1.6万元；官网支持其具备高温合金等生产能力。材料所称韩企客户、拆分混装、日本军工链未获公开支持。</w:t>
            </w:r>
          </w:p>
        </w:tc>
        <w:tc>
          <w:tcPr>
            <w:tcW w:type="dxa" w:w="1224"/>
            <w:vAlign w:val="center"/>
            <w:tcMar>
              <w:top w:w="80" w:type="dxa"/>
              <w:start w:w="120" w:type="dxa"/>
              <w:bottom w:w="80" w:type="dxa"/>
              <w:end w:w="120" w:type="dxa"/>
            </w:tcMar>
          </w:tcPr>
          <w:p>
            <w:pPr>
              <w:spacing w:after="0" w:line="252" w:lineRule="auto"/>
            </w:pPr>
            <w:r/>
            <w:r>
              <w:rPr>
                <w:rFonts w:ascii="Microsoft YaHei" w:hAnsi="Microsoft YaHei" w:eastAsia="微软雅黑"/>
                <w:b w:val="0"/>
                <w:color w:val="222222"/>
                <w:sz w:val="17"/>
              </w:rPr>
              <w:t>无黄埔指向</w:t>
            </w:r>
          </w:p>
        </w:tc>
      </w:tr>
      <w:tr>
        <w:trPr>
          <w:cantSplit w:val="true"/>
        </w:trPr>
        <w:tc>
          <w:tcPr>
            <w:tcW w:type="dxa" w:w="1944"/>
            <w:vAlign w:val="center"/>
            <w:tcMar>
              <w:top w:w="80" w:type="dxa"/>
              <w:start w:w="120" w:type="dxa"/>
              <w:bottom w:w="80" w:type="dxa"/>
              <w:end w:w="120" w:type="dxa"/>
            </w:tcMar>
          </w:tcPr>
          <w:p>
            <w:pPr>
              <w:spacing w:after="0" w:line="252" w:lineRule="auto"/>
            </w:pPr>
            <w:r/>
            <w:r>
              <w:rPr>
                <w:rFonts w:ascii="Microsoft YaHei" w:hAnsi="Microsoft YaHei" w:eastAsia="微软雅黑"/>
                <w:b w:val="0"/>
                <w:color w:val="222222"/>
                <w:sz w:val="17"/>
              </w:rPr>
              <w:t>北京友兴联有色金属有限公司</w:t>
            </w:r>
          </w:p>
        </w:tc>
        <w:tc>
          <w:tcPr>
            <w:tcW w:type="dxa" w:w="1512"/>
            <w:vAlign w:val="center"/>
            <w:tcMar>
              <w:top w:w="80" w:type="dxa"/>
              <w:start w:w="120" w:type="dxa"/>
              <w:bottom w:w="80" w:type="dxa"/>
              <w:end w:w="120" w:type="dxa"/>
            </w:tcMar>
          </w:tcPr>
          <w:p>
            <w:pPr>
              <w:spacing w:after="0" w:line="252" w:lineRule="auto"/>
            </w:pPr>
            <w:r/>
            <w:r>
              <w:rPr>
                <w:rFonts w:ascii="Microsoft YaHei" w:hAnsi="Microsoft YaHei" w:eastAsia="微软雅黑"/>
                <w:b w:val="0"/>
                <w:color w:val="222222"/>
                <w:sz w:val="17"/>
              </w:rPr>
              <w:t>两家韩企</w:t>
            </w:r>
          </w:p>
        </w:tc>
        <w:tc>
          <w:tcPr>
            <w:tcW w:type="dxa" w:w="792"/>
            <w:vAlign w:val="center"/>
            <w:tcMar>
              <w:top w:w="80" w:type="dxa"/>
              <w:start w:w="120" w:type="dxa"/>
              <w:bottom w:w="80" w:type="dxa"/>
              <w:end w:w="120" w:type="dxa"/>
            </w:tcMar>
          </w:tcPr>
          <w:p>
            <w:pPr>
              <w:spacing w:after="0" w:line="252" w:lineRule="auto"/>
            </w:pPr>
            <w:r/>
            <w:r>
              <w:rPr>
                <w:rFonts w:ascii="Microsoft YaHei" w:hAnsi="Microsoft YaHei" w:eastAsia="微软雅黑"/>
                <w:b w:val="0"/>
                <w:color w:val="222222"/>
                <w:sz w:val="17"/>
              </w:rPr>
              <w:t>C</w:t>
            </w:r>
          </w:p>
        </w:tc>
        <w:tc>
          <w:tcPr>
            <w:tcW w:type="dxa" w:w="3888"/>
            <w:vAlign w:val="center"/>
            <w:tcMar>
              <w:top w:w="80" w:type="dxa"/>
              <w:start w:w="120" w:type="dxa"/>
              <w:bottom w:w="80" w:type="dxa"/>
              <w:end w:w="120" w:type="dxa"/>
            </w:tcMar>
          </w:tcPr>
          <w:p>
            <w:pPr>
              <w:spacing w:after="0" w:line="252" w:lineRule="auto"/>
            </w:pPr>
            <w:r/>
            <w:r>
              <w:rPr>
                <w:rFonts w:ascii="Microsoft YaHei" w:hAnsi="Microsoft YaHei" w:eastAsia="微软雅黑"/>
                <w:b w:val="0"/>
                <w:color w:val="222222"/>
                <w:sz w:val="17"/>
              </w:rPr>
              <w:t>批量供货和拆票说法待交易数据验证。</w:t>
            </w:r>
          </w:p>
        </w:tc>
        <w:tc>
          <w:tcPr>
            <w:tcW w:type="dxa" w:w="1224"/>
            <w:vAlign w:val="center"/>
            <w:tcMar>
              <w:top w:w="80" w:type="dxa"/>
              <w:start w:w="120" w:type="dxa"/>
              <w:bottom w:w="80" w:type="dxa"/>
              <w:end w:w="120" w:type="dxa"/>
            </w:tcMar>
          </w:tcPr>
          <w:p>
            <w:pPr>
              <w:spacing w:after="0" w:line="252" w:lineRule="auto"/>
            </w:pPr>
            <w:r/>
            <w:r>
              <w:rPr>
                <w:rFonts w:ascii="Microsoft YaHei" w:hAnsi="Microsoft YaHei" w:eastAsia="微软雅黑"/>
                <w:b w:val="0"/>
                <w:color w:val="222222"/>
                <w:sz w:val="17"/>
              </w:rPr>
              <w:t>无黄埔指向</w:t>
            </w:r>
          </w:p>
        </w:tc>
      </w:tr>
      <w:tr>
        <w:trPr>
          <w:cantSplit w:val="true"/>
        </w:trPr>
        <w:tc>
          <w:tcPr>
            <w:tcW w:type="dxa" w:w="1944"/>
            <w:vAlign w:val="center"/>
            <w:tcMar>
              <w:top w:w="80" w:type="dxa"/>
              <w:start w:w="120" w:type="dxa"/>
              <w:bottom w:w="80" w:type="dxa"/>
              <w:end w:w="120" w:type="dxa"/>
            </w:tcMar>
          </w:tcPr>
          <w:p>
            <w:pPr>
              <w:spacing w:after="0" w:line="252" w:lineRule="auto"/>
            </w:pPr>
            <w:r/>
            <w:r>
              <w:rPr>
                <w:rFonts w:ascii="Microsoft YaHei" w:hAnsi="Microsoft YaHei" w:eastAsia="微软雅黑"/>
                <w:b w:val="0"/>
                <w:color w:val="222222"/>
                <w:sz w:val="17"/>
              </w:rPr>
              <w:t>无锡天裕金属（名称待补全）</w:t>
            </w:r>
          </w:p>
        </w:tc>
        <w:tc>
          <w:tcPr>
            <w:tcW w:type="dxa" w:w="1512"/>
            <w:vAlign w:val="center"/>
            <w:tcMar>
              <w:top w:w="80" w:type="dxa"/>
              <w:start w:w="120" w:type="dxa"/>
              <w:bottom w:w="80" w:type="dxa"/>
              <w:end w:w="120" w:type="dxa"/>
            </w:tcMar>
          </w:tcPr>
          <w:p>
            <w:pPr>
              <w:spacing w:after="0" w:line="252" w:lineRule="auto"/>
            </w:pPr>
            <w:r/>
            <w:r>
              <w:rPr>
                <w:rFonts w:ascii="Microsoft YaHei" w:hAnsi="Microsoft YaHei" w:eastAsia="微软雅黑"/>
                <w:b w:val="0"/>
                <w:color w:val="222222"/>
                <w:sz w:val="17"/>
              </w:rPr>
              <w:t>未明确</w:t>
            </w:r>
          </w:p>
        </w:tc>
        <w:tc>
          <w:tcPr>
            <w:tcW w:type="dxa" w:w="792"/>
            <w:vAlign w:val="center"/>
            <w:tcMar>
              <w:top w:w="80" w:type="dxa"/>
              <w:start w:w="120" w:type="dxa"/>
              <w:bottom w:w="80" w:type="dxa"/>
              <w:end w:w="120" w:type="dxa"/>
            </w:tcMar>
          </w:tcPr>
          <w:p>
            <w:pPr>
              <w:spacing w:after="0" w:line="252" w:lineRule="auto"/>
            </w:pPr>
            <w:r/>
            <w:r>
              <w:rPr>
                <w:rFonts w:ascii="Microsoft YaHei" w:hAnsi="Microsoft YaHei" w:eastAsia="微软雅黑"/>
                <w:b w:val="0"/>
                <w:color w:val="222222"/>
                <w:sz w:val="17"/>
              </w:rPr>
              <w:t>C</w:t>
            </w:r>
          </w:p>
        </w:tc>
        <w:tc>
          <w:tcPr>
            <w:tcW w:type="dxa" w:w="3888"/>
            <w:vAlign w:val="center"/>
            <w:tcMar>
              <w:top w:w="80" w:type="dxa"/>
              <w:start w:w="120" w:type="dxa"/>
              <w:bottom w:w="80" w:type="dxa"/>
              <w:end w:w="120" w:type="dxa"/>
            </w:tcMar>
          </w:tcPr>
          <w:p>
            <w:pPr>
              <w:spacing w:after="0" w:line="252" w:lineRule="auto"/>
            </w:pPr>
            <w:r/>
            <w:r>
              <w:rPr>
                <w:rFonts w:ascii="Microsoft YaHei" w:hAnsi="Microsoft YaHei" w:eastAsia="微软雅黑"/>
                <w:b w:val="0"/>
                <w:color w:val="222222"/>
                <w:sz w:val="17"/>
              </w:rPr>
              <w:t>企业全称不完整，跨口岸记录未附单号。</w:t>
            </w:r>
          </w:p>
        </w:tc>
        <w:tc>
          <w:tcPr>
            <w:tcW w:type="dxa" w:w="1224"/>
            <w:vAlign w:val="center"/>
            <w:tcMar>
              <w:top w:w="80" w:type="dxa"/>
              <w:start w:w="120" w:type="dxa"/>
              <w:bottom w:w="80" w:type="dxa"/>
              <w:end w:w="120" w:type="dxa"/>
            </w:tcMar>
          </w:tcPr>
          <w:p>
            <w:pPr>
              <w:spacing w:after="0" w:line="252" w:lineRule="auto"/>
            </w:pPr>
            <w:r/>
            <w:r>
              <w:rPr>
                <w:rFonts w:ascii="Microsoft YaHei" w:hAnsi="Microsoft YaHei" w:eastAsia="微软雅黑"/>
                <w:b w:val="0"/>
                <w:color w:val="222222"/>
                <w:sz w:val="17"/>
              </w:rPr>
              <w:t>无黄埔指向</w:t>
            </w:r>
          </w:p>
        </w:tc>
      </w:tr>
      <w:tr>
        <w:trPr>
          <w:cantSplit w:val="true"/>
        </w:trPr>
        <w:tc>
          <w:tcPr>
            <w:tcW w:type="dxa" w:w="1944"/>
            <w:vAlign w:val="center"/>
            <w:tcMar>
              <w:top w:w="80" w:type="dxa"/>
              <w:start w:w="120" w:type="dxa"/>
              <w:bottom w:w="80" w:type="dxa"/>
              <w:end w:w="120" w:type="dxa"/>
            </w:tcMar>
          </w:tcPr>
          <w:p>
            <w:pPr>
              <w:spacing w:after="0" w:line="252" w:lineRule="auto"/>
            </w:pPr>
            <w:r/>
            <w:r>
              <w:rPr>
                <w:rFonts w:ascii="Microsoft YaHei" w:hAnsi="Microsoft YaHei" w:eastAsia="微软雅黑"/>
                <w:b w:val="0"/>
                <w:color w:val="222222"/>
                <w:sz w:val="17"/>
              </w:rPr>
              <w:t>冶韩实业（上海，名称待补全）</w:t>
            </w:r>
          </w:p>
        </w:tc>
        <w:tc>
          <w:tcPr>
            <w:tcW w:type="dxa" w:w="1512"/>
            <w:vAlign w:val="center"/>
            <w:tcMar>
              <w:top w:w="80" w:type="dxa"/>
              <w:start w:w="120" w:type="dxa"/>
              <w:bottom w:w="80" w:type="dxa"/>
              <w:end w:w="120" w:type="dxa"/>
            </w:tcMar>
          </w:tcPr>
          <w:p>
            <w:pPr>
              <w:spacing w:after="0" w:line="252" w:lineRule="auto"/>
            </w:pPr>
            <w:r/>
            <w:r>
              <w:rPr>
                <w:rFonts w:ascii="Microsoft YaHei" w:hAnsi="Microsoft YaHei" w:eastAsia="微软雅黑"/>
                <w:b w:val="0"/>
                <w:color w:val="222222"/>
                <w:sz w:val="17"/>
              </w:rPr>
              <w:t>未明确</w:t>
            </w:r>
          </w:p>
        </w:tc>
        <w:tc>
          <w:tcPr>
            <w:tcW w:type="dxa" w:w="792"/>
            <w:vAlign w:val="center"/>
            <w:tcMar>
              <w:top w:w="80" w:type="dxa"/>
              <w:start w:w="120" w:type="dxa"/>
              <w:bottom w:w="80" w:type="dxa"/>
              <w:end w:w="120" w:type="dxa"/>
            </w:tcMar>
          </w:tcPr>
          <w:p>
            <w:pPr>
              <w:spacing w:after="0" w:line="252" w:lineRule="auto"/>
            </w:pPr>
            <w:r/>
            <w:r>
              <w:rPr>
                <w:rFonts w:ascii="Microsoft YaHei" w:hAnsi="Microsoft YaHei" w:eastAsia="微软雅黑"/>
                <w:b w:val="0"/>
                <w:color w:val="222222"/>
                <w:sz w:val="17"/>
              </w:rPr>
              <w:t>C</w:t>
            </w:r>
          </w:p>
        </w:tc>
        <w:tc>
          <w:tcPr>
            <w:tcW w:type="dxa" w:w="3888"/>
            <w:vAlign w:val="center"/>
            <w:tcMar>
              <w:top w:w="80" w:type="dxa"/>
              <w:start w:w="120" w:type="dxa"/>
              <w:bottom w:w="80" w:type="dxa"/>
              <w:end w:w="120" w:type="dxa"/>
            </w:tcMar>
          </w:tcPr>
          <w:p>
            <w:pPr>
              <w:spacing w:after="0" w:line="252" w:lineRule="auto"/>
            </w:pPr>
            <w:r/>
            <w:r>
              <w:rPr>
                <w:rFonts w:ascii="Microsoft YaHei" w:hAnsi="Microsoft YaHei" w:eastAsia="微软雅黑"/>
                <w:b w:val="0"/>
                <w:color w:val="222222"/>
                <w:sz w:val="17"/>
              </w:rPr>
              <w:t>企业全称不完整，跨口岸记录未附单号。</w:t>
            </w:r>
          </w:p>
        </w:tc>
        <w:tc>
          <w:tcPr>
            <w:tcW w:type="dxa" w:w="1224"/>
            <w:vAlign w:val="center"/>
            <w:tcMar>
              <w:top w:w="80" w:type="dxa"/>
              <w:start w:w="120" w:type="dxa"/>
              <w:bottom w:w="80" w:type="dxa"/>
              <w:end w:w="120" w:type="dxa"/>
            </w:tcMar>
          </w:tcPr>
          <w:p>
            <w:pPr>
              <w:spacing w:after="0" w:line="252" w:lineRule="auto"/>
            </w:pPr>
            <w:r/>
            <w:r>
              <w:rPr>
                <w:rFonts w:ascii="Microsoft YaHei" w:hAnsi="Microsoft YaHei" w:eastAsia="微软雅黑"/>
                <w:b w:val="0"/>
                <w:color w:val="222222"/>
                <w:sz w:val="17"/>
              </w:rPr>
              <w:t>无黄埔指向</w:t>
            </w:r>
          </w:p>
        </w:tc>
      </w:tr>
    </w:tbl>
    <w:p>
      <w:pPr>
        <w:spacing w:after="0"/>
      </w:pPr>
    </w:p>
    <w:p>
      <w:pPr>
        <w:pStyle w:val="Heading1"/>
      </w:pPr>
      <w:r>
        <w:t>四、黄埔口岸指向性专题分析</w:t>
      </w:r>
    </w:p>
    <w:p>
      <w:pPr>
        <w:pStyle w:val="Heading2"/>
      </w:pPr>
      <w:r>
        <w:t>（一）目前能“直接指向”的只有匿名线索</w:t>
      </w:r>
    </w:p>
    <w:p>
      <w:pPr>
        <w:pStyle w:val="ListBullet"/>
        <w:spacing w:after="100"/>
        <w:ind w:left="720" w:hanging="360"/>
      </w:pPr>
      <w:r>
        <w:t>匿名深圳XX：材料明确使用“轮换盐田、黄埔口岸”表述，因此可列为黄埔口岸直接线索；但缺少企业真名、报关单号、出境关别、口岸代码、提运单和船名航次，无法落到具体企业或具体票次。</w:t>
      </w:r>
    </w:p>
    <w:p>
      <w:pPr>
        <w:pStyle w:val="ListBullet"/>
        <w:spacing w:after="100"/>
        <w:ind w:left="720" w:hanging="360"/>
      </w:pPr>
      <w:r>
        <w:t>该线索还声称经韩国仓分装后直供日本关东特气企业。此段需要韩国进口申报、仓储/换标记录、日本进口记录或收款链闭环；仅凭国内走访不足以认定最终用户和军事用途。</w:t>
      </w:r>
    </w:p>
    <w:p>
      <w:pPr>
        <w:pStyle w:val="Heading2"/>
      </w:pPr>
      <w:r>
        <w:t>（二）东莞企业属于“黄埔海关关区协查线索”，不是口岸证据</w:t>
      </w:r>
    </w:p>
    <w:p>
      <w:pPr>
        <w:pStyle w:val="ListBullet"/>
        <w:spacing w:after="100"/>
        <w:ind w:left="720" w:hanging="360"/>
      </w:pPr>
      <w:r>
        <w:t>公开海关资料显示黄埔海关在东莞沙田开展监管业务，说明东莞企业可能处于黄埔海关关区管理或业务覆盖范围。</w:t>
      </w:r>
    </w:p>
    <w:p>
      <w:pPr>
        <w:pStyle w:val="ListBullet"/>
        <w:spacing w:after="100"/>
        <w:ind w:left="720" w:hanging="360"/>
      </w:pPr>
      <w:r>
        <w:t>但企业注册地、主管海关、申报地海关和实际出境口岸是四个不同字段。东莞长安/沙田企业可以在本地申报后转关至其他口岸，也可能通过深圳盐田、广州南沙等口岸出境。</w:t>
      </w:r>
    </w:p>
    <w:p>
      <w:pPr>
        <w:pStyle w:val="ListBullet"/>
        <w:spacing w:after="100"/>
        <w:ind w:left="720" w:hanging="360"/>
      </w:pPr>
      <w:r>
        <w:t>因此，东莞市扬驰、东莞鑫源只能列为黄埔关区优先筛查对象，不宜直接写作“经黄埔口岸拆分出口”。</w:t>
      </w:r>
    </w:p>
    <w:p>
      <w:pPr>
        <w:pStyle w:val="Heading2"/>
      </w:pPr>
      <w:r>
        <w:t>（三）建议锁定的黄埔数据字段</w:t>
      </w:r>
    </w:p>
    <w:tbl>
      <w:tblPr>
        <w:tblStyle w:val="TableGrid"/>
        <w:tblW w:type="auto" w:w="0"/>
        <w:jc w:val="left"/>
        <w:tblLayout w:type="fixed"/>
        <w:tblLook w:firstColumn="1" w:firstRow="1" w:lastColumn="0" w:lastRow="0" w:noHBand="0" w:noVBand="1" w:val="04A0"/>
      </w:tblPr>
      <w:tblGrid>
        <w:gridCol w:w="3120"/>
        <w:gridCol w:w="3120"/>
        <w:gridCol w:w="3120"/>
      </w:tblGrid>
      <w:tr>
        <w:trPr>
          <w:tblHeader w:val="true"/>
        </w:trPr>
        <w:tc>
          <w:tcPr>
            <w:tcW w:type="dxa" w:w="1584"/>
            <w:vAlign w:val="center"/>
            <w:tcMar>
              <w:top w:w="80" w:type="dxa"/>
              <w:start w:w="120" w:type="dxa"/>
              <w:bottom w:w="80" w:type="dxa"/>
              <w:end w:w="120" w:type="dxa"/>
            </w:tcMar>
            <w:shd w:fill="E8EEF5"/>
          </w:tcPr>
          <w:p>
            <w:pPr>
              <w:spacing w:after="0" w:line="252" w:lineRule="auto"/>
            </w:pPr>
            <w:r/>
            <w:r>
              <w:rPr>
                <w:rFonts w:ascii="Microsoft YaHei" w:hAnsi="Microsoft YaHei" w:eastAsia="微软雅黑"/>
                <w:b/>
                <w:color w:val="17365D"/>
                <w:sz w:val="18"/>
              </w:rPr>
              <w:t>核查对象</w:t>
            </w:r>
          </w:p>
        </w:tc>
        <w:tc>
          <w:tcPr>
            <w:tcW w:type="dxa" w:w="5472"/>
            <w:vAlign w:val="center"/>
            <w:tcMar>
              <w:top w:w="80" w:type="dxa"/>
              <w:start w:w="120" w:type="dxa"/>
              <w:bottom w:w="80" w:type="dxa"/>
              <w:end w:w="120" w:type="dxa"/>
            </w:tcMar>
            <w:shd w:fill="E8EEF5"/>
          </w:tcPr>
          <w:p>
            <w:pPr>
              <w:spacing w:after="0" w:line="252" w:lineRule="auto"/>
            </w:pPr>
            <w:r/>
            <w:r>
              <w:rPr>
                <w:rFonts w:ascii="Microsoft YaHei" w:hAnsi="Microsoft YaHei" w:eastAsia="微软雅黑"/>
                <w:b/>
                <w:color w:val="17365D"/>
                <w:sz w:val="18"/>
              </w:rPr>
              <w:t>关键字段</w:t>
            </w:r>
          </w:p>
        </w:tc>
        <w:tc>
          <w:tcPr>
            <w:tcW w:type="dxa" w:w="2304"/>
            <w:vAlign w:val="center"/>
            <w:tcMar>
              <w:top w:w="80" w:type="dxa"/>
              <w:start w:w="120" w:type="dxa"/>
              <w:bottom w:w="80" w:type="dxa"/>
              <w:end w:w="120" w:type="dxa"/>
            </w:tcMar>
            <w:shd w:fill="E8EEF5"/>
          </w:tcPr>
          <w:p>
            <w:pPr>
              <w:spacing w:after="0" w:line="252" w:lineRule="auto"/>
            </w:pPr>
            <w:r/>
            <w:r>
              <w:rPr>
                <w:rFonts w:ascii="Microsoft YaHei" w:hAnsi="Microsoft YaHei" w:eastAsia="微软雅黑"/>
                <w:b/>
                <w:color w:val="17365D"/>
                <w:sz w:val="18"/>
              </w:rPr>
              <w:t>判定用途</w:t>
            </w:r>
          </w:p>
        </w:tc>
      </w:tr>
      <w:tr>
        <w:trPr>
          <w:cantSplit w:val="true"/>
        </w:trPr>
        <w:tc>
          <w:tcPr>
            <w:tcW w:type="dxa" w:w="1584"/>
            <w:vAlign w:val="center"/>
            <w:tcMar>
              <w:top w:w="80" w:type="dxa"/>
              <w:start w:w="120" w:type="dxa"/>
              <w:bottom w:w="80" w:type="dxa"/>
              <w:end w:w="120" w:type="dxa"/>
            </w:tcMar>
          </w:tcPr>
          <w:p>
            <w:pPr>
              <w:spacing w:after="0" w:line="252" w:lineRule="auto"/>
            </w:pPr>
            <w:r/>
            <w:r>
              <w:rPr>
                <w:rFonts w:ascii="Microsoft YaHei" w:hAnsi="Microsoft YaHei" w:eastAsia="微软雅黑"/>
                <w:b w:val="0"/>
                <w:color w:val="222222"/>
                <w:sz w:val="17"/>
              </w:rPr>
              <w:t>报关单</w:t>
            </w:r>
          </w:p>
        </w:tc>
        <w:tc>
          <w:tcPr>
            <w:tcW w:type="dxa" w:w="5472"/>
            <w:vAlign w:val="center"/>
            <w:tcMar>
              <w:top w:w="80" w:type="dxa"/>
              <w:start w:w="120" w:type="dxa"/>
              <w:bottom w:w="80" w:type="dxa"/>
              <w:end w:w="120" w:type="dxa"/>
            </w:tcMar>
          </w:tcPr>
          <w:p>
            <w:pPr>
              <w:spacing w:after="0" w:line="252" w:lineRule="auto"/>
            </w:pPr>
            <w:r/>
            <w:r>
              <w:rPr>
                <w:rFonts w:ascii="Microsoft YaHei" w:hAnsi="Microsoft YaHei" w:eastAsia="微软雅黑"/>
                <w:b w:val="0"/>
                <w:color w:val="222222"/>
                <w:sz w:val="17"/>
              </w:rPr>
              <w:t>境内发货人、生产销售单位、申报地海关、出境关别、监管方式、商品编码、品名规格、数量/重量、总价、许可证号</w:t>
            </w:r>
          </w:p>
        </w:tc>
        <w:tc>
          <w:tcPr>
            <w:tcW w:type="dxa" w:w="2304"/>
            <w:vAlign w:val="center"/>
            <w:tcMar>
              <w:top w:w="80" w:type="dxa"/>
              <w:start w:w="120" w:type="dxa"/>
              <w:bottom w:w="80" w:type="dxa"/>
              <w:end w:w="120" w:type="dxa"/>
            </w:tcMar>
          </w:tcPr>
          <w:p>
            <w:pPr>
              <w:spacing w:after="0" w:line="252" w:lineRule="auto"/>
            </w:pPr>
            <w:r/>
            <w:r>
              <w:rPr>
                <w:rFonts w:ascii="Microsoft YaHei" w:hAnsi="Microsoft YaHei" w:eastAsia="微软雅黑"/>
                <w:b w:val="0"/>
                <w:color w:val="222222"/>
                <w:sz w:val="17"/>
              </w:rPr>
              <w:t>确认企业、票次、商品及口岸</w:t>
            </w:r>
          </w:p>
        </w:tc>
      </w:tr>
      <w:tr>
        <w:trPr>
          <w:cantSplit w:val="true"/>
        </w:trPr>
        <w:tc>
          <w:tcPr>
            <w:tcW w:type="dxa" w:w="1584"/>
            <w:vAlign w:val="center"/>
            <w:tcMar>
              <w:top w:w="80" w:type="dxa"/>
              <w:start w:w="120" w:type="dxa"/>
              <w:bottom w:w="80" w:type="dxa"/>
              <w:end w:w="120" w:type="dxa"/>
            </w:tcMar>
          </w:tcPr>
          <w:p>
            <w:pPr>
              <w:spacing w:after="0" w:line="252" w:lineRule="auto"/>
            </w:pPr>
            <w:r/>
            <w:r>
              <w:rPr>
                <w:rFonts w:ascii="Microsoft YaHei" w:hAnsi="Microsoft YaHei" w:eastAsia="微软雅黑"/>
                <w:b w:val="0"/>
                <w:color w:val="222222"/>
                <w:sz w:val="17"/>
              </w:rPr>
              <w:t>物流舱单</w:t>
            </w:r>
          </w:p>
        </w:tc>
        <w:tc>
          <w:tcPr>
            <w:tcW w:type="dxa" w:w="5472"/>
            <w:vAlign w:val="center"/>
            <w:tcMar>
              <w:top w:w="80" w:type="dxa"/>
              <w:start w:w="120" w:type="dxa"/>
              <w:bottom w:w="80" w:type="dxa"/>
              <w:end w:w="120" w:type="dxa"/>
            </w:tcMar>
          </w:tcPr>
          <w:p>
            <w:pPr>
              <w:spacing w:after="0" w:line="252" w:lineRule="auto"/>
            </w:pPr>
            <w:r/>
            <w:r>
              <w:rPr>
                <w:rFonts w:ascii="Microsoft YaHei" w:hAnsi="Microsoft YaHei" w:eastAsia="微软雅黑"/>
                <w:b w:val="0"/>
                <w:color w:val="222222"/>
                <w:sz w:val="17"/>
              </w:rPr>
              <w:t>提运单号、船名航次、装货港/卸货港、集装箱号、订舱人、货代</w:t>
            </w:r>
          </w:p>
        </w:tc>
        <w:tc>
          <w:tcPr>
            <w:tcW w:type="dxa" w:w="2304"/>
            <w:vAlign w:val="center"/>
            <w:tcMar>
              <w:top w:w="80" w:type="dxa"/>
              <w:start w:w="120" w:type="dxa"/>
              <w:bottom w:w="80" w:type="dxa"/>
              <w:end w:w="120" w:type="dxa"/>
            </w:tcMar>
          </w:tcPr>
          <w:p>
            <w:pPr>
              <w:spacing w:after="0" w:line="252" w:lineRule="auto"/>
            </w:pPr>
            <w:r/>
            <w:r>
              <w:rPr>
                <w:rFonts w:ascii="Microsoft YaHei" w:hAnsi="Microsoft YaHei" w:eastAsia="微软雅黑"/>
                <w:b w:val="0"/>
                <w:color w:val="222222"/>
                <w:sz w:val="17"/>
              </w:rPr>
              <w:t>确认实际从黄埔哪个作业区出境</w:t>
            </w:r>
          </w:p>
        </w:tc>
      </w:tr>
      <w:tr>
        <w:trPr>
          <w:cantSplit w:val="true"/>
        </w:trPr>
        <w:tc>
          <w:tcPr>
            <w:tcW w:type="dxa" w:w="1584"/>
            <w:vAlign w:val="center"/>
            <w:tcMar>
              <w:top w:w="80" w:type="dxa"/>
              <w:start w:w="120" w:type="dxa"/>
              <w:bottom w:w="80" w:type="dxa"/>
              <w:end w:w="120" w:type="dxa"/>
            </w:tcMar>
          </w:tcPr>
          <w:p>
            <w:pPr>
              <w:spacing w:after="0" w:line="252" w:lineRule="auto"/>
            </w:pPr>
            <w:r/>
            <w:r>
              <w:rPr>
                <w:rFonts w:ascii="Microsoft YaHei" w:hAnsi="Microsoft YaHei" w:eastAsia="微软雅黑"/>
                <w:b w:val="0"/>
                <w:color w:val="222222"/>
                <w:sz w:val="17"/>
              </w:rPr>
              <w:t>合同与资金</w:t>
            </w:r>
          </w:p>
        </w:tc>
        <w:tc>
          <w:tcPr>
            <w:tcW w:type="dxa" w:w="5472"/>
            <w:vAlign w:val="center"/>
            <w:tcMar>
              <w:top w:w="80" w:type="dxa"/>
              <w:start w:w="120" w:type="dxa"/>
              <w:bottom w:w="80" w:type="dxa"/>
              <w:end w:w="120" w:type="dxa"/>
            </w:tcMar>
          </w:tcPr>
          <w:p>
            <w:pPr>
              <w:spacing w:after="0" w:line="252" w:lineRule="auto"/>
            </w:pPr>
            <w:r/>
            <w:r>
              <w:rPr>
                <w:rFonts w:ascii="Microsoft YaHei" w:hAnsi="Microsoft YaHei" w:eastAsia="微软雅黑"/>
                <w:b w:val="0"/>
                <w:color w:val="222222"/>
                <w:sz w:val="17"/>
              </w:rPr>
              <w:t>合同号、订单拆分时间、单票货值、收款人、韩方付款账户、关联发票</w:t>
            </w:r>
          </w:p>
        </w:tc>
        <w:tc>
          <w:tcPr>
            <w:tcW w:type="dxa" w:w="2304"/>
            <w:vAlign w:val="center"/>
            <w:tcMar>
              <w:top w:w="80" w:type="dxa"/>
              <w:start w:w="120" w:type="dxa"/>
              <w:bottom w:w="80" w:type="dxa"/>
              <w:end w:w="120" w:type="dxa"/>
            </w:tcMar>
          </w:tcPr>
          <w:p>
            <w:pPr>
              <w:spacing w:after="0" w:line="252" w:lineRule="auto"/>
            </w:pPr>
            <w:r/>
            <w:r>
              <w:rPr>
                <w:rFonts w:ascii="Microsoft YaHei" w:hAnsi="Microsoft YaHei" w:eastAsia="微软雅黑"/>
                <w:b w:val="0"/>
                <w:color w:val="222222"/>
                <w:sz w:val="17"/>
              </w:rPr>
              <w:t>识别人为拆单和同一交易整体性</w:t>
            </w:r>
          </w:p>
        </w:tc>
      </w:tr>
      <w:tr>
        <w:trPr>
          <w:cantSplit w:val="true"/>
        </w:trPr>
        <w:tc>
          <w:tcPr>
            <w:tcW w:type="dxa" w:w="1584"/>
            <w:vAlign w:val="center"/>
            <w:tcMar>
              <w:top w:w="80" w:type="dxa"/>
              <w:start w:w="120" w:type="dxa"/>
              <w:bottom w:w="80" w:type="dxa"/>
              <w:end w:w="120" w:type="dxa"/>
            </w:tcMar>
          </w:tcPr>
          <w:p>
            <w:pPr>
              <w:spacing w:after="0" w:line="252" w:lineRule="auto"/>
            </w:pPr>
            <w:r/>
            <w:r>
              <w:rPr>
                <w:rFonts w:ascii="Microsoft YaHei" w:hAnsi="Microsoft YaHei" w:eastAsia="微软雅黑"/>
                <w:b w:val="0"/>
                <w:color w:val="222222"/>
                <w:sz w:val="17"/>
              </w:rPr>
              <w:t>查验与检测</w:t>
            </w:r>
          </w:p>
        </w:tc>
        <w:tc>
          <w:tcPr>
            <w:tcW w:type="dxa" w:w="5472"/>
            <w:vAlign w:val="center"/>
            <w:tcMar>
              <w:top w:w="80" w:type="dxa"/>
              <w:start w:w="120" w:type="dxa"/>
              <w:bottom w:w="80" w:type="dxa"/>
              <w:end w:w="120" w:type="dxa"/>
            </w:tcMar>
          </w:tcPr>
          <w:p>
            <w:pPr>
              <w:spacing w:after="0" w:line="252" w:lineRule="auto"/>
            </w:pPr>
            <w:r/>
            <w:r>
              <w:rPr>
                <w:rFonts w:ascii="Microsoft YaHei" w:hAnsi="Microsoft YaHei" w:eastAsia="微软雅黑"/>
                <w:b w:val="0"/>
                <w:color w:val="222222"/>
                <w:sz w:val="17"/>
              </w:rPr>
              <w:t>查验记录、取样送检、材质成分、牌号、用途说明</w:t>
            </w:r>
          </w:p>
        </w:tc>
        <w:tc>
          <w:tcPr>
            <w:tcW w:type="dxa" w:w="2304"/>
            <w:vAlign w:val="center"/>
            <w:tcMar>
              <w:top w:w="80" w:type="dxa"/>
              <w:start w:w="120" w:type="dxa"/>
              <w:bottom w:w="80" w:type="dxa"/>
              <w:end w:w="120" w:type="dxa"/>
            </w:tcMar>
          </w:tcPr>
          <w:p>
            <w:pPr>
              <w:spacing w:after="0" w:line="252" w:lineRule="auto"/>
            </w:pPr>
            <w:r/>
            <w:r>
              <w:rPr>
                <w:rFonts w:ascii="Microsoft YaHei" w:hAnsi="Microsoft YaHei" w:eastAsia="微软雅黑"/>
                <w:b w:val="0"/>
                <w:color w:val="222222"/>
                <w:sz w:val="17"/>
              </w:rPr>
              <w:t>识别伪报废料/普通合金及涉证属性</w:t>
            </w:r>
          </w:p>
        </w:tc>
      </w:tr>
      <w:tr>
        <w:trPr>
          <w:cantSplit w:val="true"/>
        </w:trPr>
        <w:tc>
          <w:tcPr>
            <w:tcW w:type="dxa" w:w="1584"/>
            <w:vAlign w:val="center"/>
            <w:tcMar>
              <w:top w:w="80" w:type="dxa"/>
              <w:start w:w="120" w:type="dxa"/>
              <w:bottom w:w="80" w:type="dxa"/>
              <w:end w:w="120" w:type="dxa"/>
            </w:tcMar>
          </w:tcPr>
          <w:p>
            <w:pPr>
              <w:spacing w:after="0" w:line="252" w:lineRule="auto"/>
            </w:pPr>
            <w:r/>
            <w:r>
              <w:rPr>
                <w:rFonts w:ascii="Microsoft YaHei" w:hAnsi="Microsoft YaHei" w:eastAsia="微软雅黑"/>
                <w:b w:val="0"/>
                <w:color w:val="222222"/>
                <w:sz w:val="17"/>
              </w:rPr>
              <w:t>境外收货人</w:t>
            </w:r>
          </w:p>
        </w:tc>
        <w:tc>
          <w:tcPr>
            <w:tcW w:type="dxa" w:w="5472"/>
            <w:vAlign w:val="center"/>
            <w:tcMar>
              <w:top w:w="80" w:type="dxa"/>
              <w:start w:w="120" w:type="dxa"/>
              <w:bottom w:w="80" w:type="dxa"/>
              <w:end w:w="120" w:type="dxa"/>
            </w:tcMar>
          </w:tcPr>
          <w:p>
            <w:pPr>
              <w:spacing w:after="0" w:line="252" w:lineRule="auto"/>
            </w:pPr>
            <w:r/>
            <w:r>
              <w:rPr>
                <w:rFonts w:ascii="Microsoft YaHei" w:hAnsi="Microsoft YaHei" w:eastAsia="微软雅黑"/>
                <w:b w:val="0"/>
                <w:color w:val="222222"/>
                <w:sz w:val="17"/>
              </w:rPr>
              <w:t>韩文/英文全称、地址、企业注册号、统一拼写变体</w:t>
            </w:r>
          </w:p>
        </w:tc>
        <w:tc>
          <w:tcPr>
            <w:tcW w:type="dxa" w:w="2304"/>
            <w:vAlign w:val="center"/>
            <w:tcMar>
              <w:top w:w="80" w:type="dxa"/>
              <w:start w:w="120" w:type="dxa"/>
              <w:bottom w:w="80" w:type="dxa"/>
              <w:end w:w="120" w:type="dxa"/>
            </w:tcMar>
          </w:tcPr>
          <w:p>
            <w:pPr>
              <w:spacing w:after="0" w:line="252" w:lineRule="auto"/>
            </w:pPr>
            <w:r/>
            <w:r>
              <w:rPr>
                <w:rFonts w:ascii="Microsoft YaHei" w:hAnsi="Microsoft YaHei" w:eastAsia="微软雅黑"/>
                <w:b w:val="0"/>
                <w:color w:val="222222"/>
                <w:sz w:val="17"/>
              </w:rPr>
              <w:t>归并两家韩企及其仓库/代理</w:t>
            </w:r>
          </w:p>
        </w:tc>
      </w:tr>
    </w:tbl>
    <w:p>
      <w:pPr>
        <w:spacing w:after="0"/>
      </w:pPr>
    </w:p>
    <w:p>
      <w:pPr>
        <w:pStyle w:val="Heading1"/>
      </w:pPr>
      <w:r>
        <w:t>五、主要风险类型</w:t>
      </w:r>
    </w:p>
    <w:p>
      <w:pPr>
        <w:pStyle w:val="Heading2"/>
      </w:pPr>
      <w:r>
        <w:t>1. 出口管制与涉证风险</w:t>
      </w:r>
    </w:p>
    <w:p>
      <w:r>
        <w:t>高温合金、镍粉或含受控元素合金是否属于两用物项，取决于具体成分、性能参数、形态和用途，不能仅凭“镍制品”概括认定。若属于管制物项而未取得许可，可能触发出口管制法责任。</w:t>
      </w:r>
    </w:p>
    <w:p>
      <w:pPr>
        <w:pStyle w:val="Heading2"/>
      </w:pPr>
      <w:r>
        <w:t>2. 申报不实及伪报品名风险</w:t>
      </w:r>
    </w:p>
    <w:p>
      <w:r>
        <w:t>将高温合金伪报为普通线材、再生不锈钢废料，或隐瞒材质成分、牌号、用途，可能影响许可证件管理及海关监管。</w:t>
      </w:r>
    </w:p>
    <w:p>
      <w:pPr>
        <w:pStyle w:val="Heading2"/>
      </w:pPr>
      <w:r>
        <w:t>3. 人为拆单规避监管风险</w:t>
      </w:r>
    </w:p>
    <w:p>
      <w:r>
        <w:t>同一买卖合同在短周期内由同一或关联主体拆成多票、跨货代跨口岸申报，若目的在规避许可证件、查验或监管阈值，应合并交易链研判。单纯“小额多票”本身只是风险指标，不等同违法。</w:t>
      </w:r>
    </w:p>
    <w:p>
      <w:pPr>
        <w:pStyle w:val="Heading2"/>
      </w:pPr>
      <w:r>
        <w:t>4. 监管方式错用风险</w:t>
      </w:r>
    </w:p>
    <w:p>
      <w:r>
        <w:t>材料提及1039市场采购与国际快件。需核查货物是否符合对应监管方式、出口主体和场所资格，是否以不匹配渠道掩盖真实贸易。</w:t>
      </w:r>
    </w:p>
    <w:p>
      <w:pPr>
        <w:pStyle w:val="Heading2"/>
      </w:pPr>
      <w:r>
        <w:t>5. 最终用户与转运风险</w:t>
      </w:r>
    </w:p>
    <w:p>
      <w:r>
        <w:t>韩国收货人若仅仓储、分装、换标并转运第三国，需审查最终用户、最终用途和再出口安排；目前“日本军工/特气企业”均为待证实线索。</w:t>
      </w:r>
    </w:p>
    <w:p>
      <w:pPr>
        <w:pStyle w:val="Heading2"/>
      </w:pPr>
      <w:r>
        <w:t>6. 名誉与执法质量风险</w:t>
      </w:r>
    </w:p>
    <w:p>
      <w:r>
        <w:t>将未经核实的企业合作关系、军事最终用途或走私方式公开定性，可能导致错误执法线索、企业名誉损害及报告可信度下降。</w:t>
      </w:r>
    </w:p>
    <w:p>
      <w:pPr>
        <w:pStyle w:val="Heading1"/>
      </w:pPr>
      <w:r>
        <w:t>六、核查优先级与行动清单</w:t>
      </w:r>
    </w:p>
    <w:tbl>
      <w:tblPr>
        <w:tblStyle w:val="TableGrid"/>
        <w:tblW w:type="auto" w:w="0"/>
        <w:jc w:val="left"/>
        <w:tblLayout w:type="fixed"/>
        <w:tblLook w:firstColumn="1" w:firstRow="1" w:lastColumn="0" w:lastRow="0" w:noHBand="0" w:noVBand="1" w:val="04A0"/>
      </w:tblPr>
      <w:tblGrid>
        <w:gridCol w:w="2340"/>
        <w:gridCol w:w="2340"/>
        <w:gridCol w:w="2340"/>
        <w:gridCol w:w="2340"/>
      </w:tblGrid>
      <w:tr>
        <w:trPr>
          <w:tblHeader w:val="true"/>
        </w:trPr>
        <w:tc>
          <w:tcPr>
            <w:tcW w:type="dxa" w:w="792"/>
            <w:vAlign w:val="center"/>
            <w:tcMar>
              <w:top w:w="80" w:type="dxa"/>
              <w:start w:w="120" w:type="dxa"/>
              <w:bottom w:w="80" w:type="dxa"/>
              <w:end w:w="120" w:type="dxa"/>
            </w:tcMar>
            <w:shd w:fill="E8EEF5"/>
          </w:tcPr>
          <w:p>
            <w:pPr>
              <w:spacing w:after="0" w:line="252" w:lineRule="auto"/>
            </w:pPr>
            <w:r/>
            <w:r>
              <w:rPr>
                <w:rFonts w:ascii="Microsoft YaHei" w:hAnsi="Microsoft YaHei" w:eastAsia="微软雅黑"/>
                <w:b/>
                <w:color w:val="17365D"/>
                <w:sz w:val="18"/>
              </w:rPr>
              <w:t>优先级</w:t>
            </w:r>
          </w:p>
        </w:tc>
        <w:tc>
          <w:tcPr>
            <w:tcW w:type="dxa" w:w="1800"/>
            <w:vAlign w:val="center"/>
            <w:tcMar>
              <w:top w:w="80" w:type="dxa"/>
              <w:start w:w="120" w:type="dxa"/>
              <w:bottom w:w="80" w:type="dxa"/>
              <w:end w:w="120" w:type="dxa"/>
            </w:tcMar>
            <w:shd w:fill="E8EEF5"/>
          </w:tcPr>
          <w:p>
            <w:pPr>
              <w:spacing w:after="0" w:line="252" w:lineRule="auto"/>
            </w:pPr>
            <w:r/>
            <w:r>
              <w:rPr>
                <w:rFonts w:ascii="Microsoft YaHei" w:hAnsi="Microsoft YaHei" w:eastAsia="微软雅黑"/>
                <w:b/>
                <w:color w:val="17365D"/>
                <w:sz w:val="18"/>
              </w:rPr>
              <w:t>对象</w:t>
            </w:r>
          </w:p>
        </w:tc>
        <w:tc>
          <w:tcPr>
            <w:tcW w:type="dxa" w:w="4680"/>
            <w:vAlign w:val="center"/>
            <w:tcMar>
              <w:top w:w="80" w:type="dxa"/>
              <w:start w:w="120" w:type="dxa"/>
              <w:bottom w:w="80" w:type="dxa"/>
              <w:end w:w="120" w:type="dxa"/>
            </w:tcMar>
            <w:shd w:fill="E8EEF5"/>
          </w:tcPr>
          <w:p>
            <w:pPr>
              <w:spacing w:after="0" w:line="252" w:lineRule="auto"/>
            </w:pPr>
            <w:r/>
            <w:r>
              <w:rPr>
                <w:rFonts w:ascii="Microsoft YaHei" w:hAnsi="Microsoft YaHei" w:eastAsia="微软雅黑"/>
                <w:b/>
                <w:color w:val="17365D"/>
                <w:sz w:val="18"/>
              </w:rPr>
              <w:t>立即核查事项</w:t>
            </w:r>
          </w:p>
        </w:tc>
        <w:tc>
          <w:tcPr>
            <w:tcW w:type="dxa" w:w="2088"/>
            <w:vAlign w:val="center"/>
            <w:tcMar>
              <w:top w:w="80" w:type="dxa"/>
              <w:start w:w="120" w:type="dxa"/>
              <w:bottom w:w="80" w:type="dxa"/>
              <w:end w:w="120" w:type="dxa"/>
            </w:tcMar>
            <w:shd w:fill="E8EEF5"/>
          </w:tcPr>
          <w:p>
            <w:pPr>
              <w:spacing w:after="0" w:line="252" w:lineRule="auto"/>
            </w:pPr>
            <w:r/>
            <w:r>
              <w:rPr>
                <w:rFonts w:ascii="Microsoft YaHei" w:hAnsi="Microsoft YaHei" w:eastAsia="微软雅黑"/>
                <w:b/>
                <w:color w:val="17365D"/>
                <w:sz w:val="18"/>
              </w:rPr>
              <w:t>完成标准</w:t>
            </w:r>
          </w:p>
        </w:tc>
      </w:tr>
      <w:tr>
        <w:trPr>
          <w:cantSplit w:val="true"/>
        </w:trPr>
        <w:tc>
          <w:tcPr>
            <w:tcW w:type="dxa" w:w="792"/>
            <w:vAlign w:val="center"/>
            <w:tcMar>
              <w:top w:w="80" w:type="dxa"/>
              <w:start w:w="120" w:type="dxa"/>
              <w:bottom w:w="80" w:type="dxa"/>
              <w:end w:w="120" w:type="dxa"/>
            </w:tcMar>
          </w:tcPr>
          <w:p>
            <w:pPr>
              <w:spacing w:after="0" w:line="252" w:lineRule="auto"/>
            </w:pPr>
            <w:r/>
            <w:r>
              <w:rPr>
                <w:rFonts w:ascii="Microsoft YaHei" w:hAnsi="Microsoft YaHei" w:eastAsia="微软雅黑"/>
                <w:b w:val="0"/>
                <w:color w:val="222222"/>
                <w:sz w:val="17"/>
              </w:rPr>
              <w:t>P0</w:t>
            </w:r>
          </w:p>
        </w:tc>
        <w:tc>
          <w:tcPr>
            <w:tcW w:type="dxa" w:w="1800"/>
            <w:vAlign w:val="center"/>
            <w:tcMar>
              <w:top w:w="80" w:type="dxa"/>
              <w:start w:w="120" w:type="dxa"/>
              <w:bottom w:w="80" w:type="dxa"/>
              <w:end w:w="120" w:type="dxa"/>
            </w:tcMar>
          </w:tcPr>
          <w:p>
            <w:pPr>
              <w:spacing w:after="0" w:line="252" w:lineRule="auto"/>
            </w:pPr>
            <w:r/>
            <w:r>
              <w:rPr>
                <w:rFonts w:ascii="Microsoft YaHei" w:hAnsi="Microsoft YaHei" w:eastAsia="微软雅黑"/>
                <w:b w:val="0"/>
                <w:color w:val="222222"/>
                <w:sz w:val="17"/>
              </w:rPr>
              <w:t>匿名深圳XX</w:t>
            </w:r>
          </w:p>
        </w:tc>
        <w:tc>
          <w:tcPr>
            <w:tcW w:type="dxa" w:w="4680"/>
            <w:vAlign w:val="center"/>
            <w:tcMar>
              <w:top w:w="80" w:type="dxa"/>
              <w:start w:w="120" w:type="dxa"/>
              <w:bottom w:w="80" w:type="dxa"/>
              <w:end w:w="120" w:type="dxa"/>
            </w:tcMar>
          </w:tcPr>
          <w:p>
            <w:pPr>
              <w:spacing w:after="0" w:line="252" w:lineRule="auto"/>
            </w:pPr>
            <w:r/>
            <w:r>
              <w:rPr>
                <w:rFonts w:ascii="Microsoft YaHei" w:hAnsi="Microsoft YaHei" w:eastAsia="微软雅黑"/>
                <w:b w:val="0"/>
                <w:color w:val="222222"/>
                <w:sz w:val="17"/>
              </w:rPr>
              <w:t>从走访底稿反查联系人、地址、电话、货代及合同；以1.8吨/36票/韩国收货人组合筛查盐田与黄埔数据</w:t>
            </w:r>
          </w:p>
        </w:tc>
        <w:tc>
          <w:tcPr>
            <w:tcW w:type="dxa" w:w="2088"/>
            <w:vAlign w:val="center"/>
            <w:tcMar>
              <w:top w:w="80" w:type="dxa"/>
              <w:start w:w="120" w:type="dxa"/>
              <w:bottom w:w="80" w:type="dxa"/>
              <w:end w:w="120" w:type="dxa"/>
            </w:tcMar>
          </w:tcPr>
          <w:p>
            <w:pPr>
              <w:spacing w:after="0" w:line="252" w:lineRule="auto"/>
            </w:pPr>
            <w:r/>
            <w:r>
              <w:rPr>
                <w:rFonts w:ascii="Microsoft YaHei" w:hAnsi="Microsoft YaHei" w:eastAsia="微软雅黑"/>
                <w:b w:val="0"/>
                <w:color w:val="222222"/>
                <w:sz w:val="17"/>
              </w:rPr>
              <w:t>识别真实主体并锁定至少1票报关单</w:t>
            </w:r>
          </w:p>
        </w:tc>
      </w:tr>
      <w:tr>
        <w:trPr>
          <w:cantSplit w:val="true"/>
        </w:trPr>
        <w:tc>
          <w:tcPr>
            <w:tcW w:type="dxa" w:w="792"/>
            <w:vAlign w:val="center"/>
            <w:tcMar>
              <w:top w:w="80" w:type="dxa"/>
              <w:start w:w="120" w:type="dxa"/>
              <w:bottom w:w="80" w:type="dxa"/>
              <w:end w:w="120" w:type="dxa"/>
            </w:tcMar>
          </w:tcPr>
          <w:p>
            <w:pPr>
              <w:spacing w:after="0" w:line="252" w:lineRule="auto"/>
            </w:pPr>
            <w:r/>
            <w:r>
              <w:rPr>
                <w:rFonts w:ascii="Microsoft YaHei" w:hAnsi="Microsoft YaHei" w:eastAsia="微软雅黑"/>
                <w:b w:val="0"/>
                <w:color w:val="222222"/>
                <w:sz w:val="17"/>
              </w:rPr>
              <w:t>P0</w:t>
            </w:r>
          </w:p>
        </w:tc>
        <w:tc>
          <w:tcPr>
            <w:tcW w:type="dxa" w:w="1800"/>
            <w:vAlign w:val="center"/>
            <w:tcMar>
              <w:top w:w="80" w:type="dxa"/>
              <w:start w:w="120" w:type="dxa"/>
              <w:bottom w:w="80" w:type="dxa"/>
              <w:end w:w="120" w:type="dxa"/>
            </w:tcMar>
          </w:tcPr>
          <w:p>
            <w:pPr>
              <w:spacing w:after="0" w:line="252" w:lineRule="auto"/>
            </w:pPr>
            <w:r/>
            <w:r>
              <w:rPr>
                <w:rFonts w:ascii="Microsoft YaHei" w:hAnsi="Microsoft YaHei" w:eastAsia="微软雅黑"/>
                <w:b w:val="0"/>
                <w:color w:val="222222"/>
                <w:sz w:val="17"/>
              </w:rPr>
              <w:t>杭州新川、南京达迈</w:t>
            </w:r>
          </w:p>
        </w:tc>
        <w:tc>
          <w:tcPr>
            <w:tcW w:type="dxa" w:w="4680"/>
            <w:vAlign w:val="center"/>
            <w:tcMar>
              <w:top w:w="80" w:type="dxa"/>
              <w:start w:w="120" w:type="dxa"/>
              <w:bottom w:w="80" w:type="dxa"/>
              <w:end w:w="120" w:type="dxa"/>
            </w:tcMar>
          </w:tcPr>
          <w:p>
            <w:pPr>
              <w:spacing w:after="0" w:line="252" w:lineRule="auto"/>
            </w:pPr>
            <w:r/>
            <w:r>
              <w:rPr>
                <w:rFonts w:ascii="Microsoft YaHei" w:hAnsi="Microsoft YaHei" w:eastAsia="微软雅黑"/>
                <w:b w:val="0"/>
                <w:color w:val="222222"/>
                <w:sz w:val="17"/>
              </w:rPr>
              <w:t>调取处罚决定书全文与报关随附单证；分离“已处罚事实”和材料追加叙述</w:t>
            </w:r>
          </w:p>
        </w:tc>
        <w:tc>
          <w:tcPr>
            <w:tcW w:type="dxa" w:w="2088"/>
            <w:vAlign w:val="center"/>
            <w:tcMar>
              <w:top w:w="80" w:type="dxa"/>
              <w:start w:w="120" w:type="dxa"/>
              <w:bottom w:w="80" w:type="dxa"/>
              <w:end w:w="120" w:type="dxa"/>
            </w:tcMar>
          </w:tcPr>
          <w:p>
            <w:pPr>
              <w:spacing w:after="0" w:line="252" w:lineRule="auto"/>
            </w:pPr>
            <w:r/>
            <w:r>
              <w:rPr>
                <w:rFonts w:ascii="Microsoft YaHei" w:hAnsi="Microsoft YaHei" w:eastAsia="微软雅黑"/>
                <w:b w:val="0"/>
                <w:color w:val="222222"/>
                <w:sz w:val="17"/>
              </w:rPr>
              <w:t>形成逐项证据对照表</w:t>
            </w:r>
          </w:p>
        </w:tc>
      </w:tr>
      <w:tr>
        <w:trPr>
          <w:cantSplit w:val="true"/>
        </w:trPr>
        <w:tc>
          <w:tcPr>
            <w:tcW w:type="dxa" w:w="792"/>
            <w:vAlign w:val="center"/>
            <w:tcMar>
              <w:top w:w="80" w:type="dxa"/>
              <w:start w:w="120" w:type="dxa"/>
              <w:bottom w:w="80" w:type="dxa"/>
              <w:end w:w="120" w:type="dxa"/>
            </w:tcMar>
          </w:tcPr>
          <w:p>
            <w:pPr>
              <w:spacing w:after="0" w:line="252" w:lineRule="auto"/>
            </w:pPr>
            <w:r/>
            <w:r>
              <w:rPr>
                <w:rFonts w:ascii="Microsoft YaHei" w:hAnsi="Microsoft YaHei" w:eastAsia="微软雅黑"/>
                <w:b w:val="0"/>
                <w:color w:val="222222"/>
                <w:sz w:val="17"/>
              </w:rPr>
              <w:t>P1</w:t>
            </w:r>
          </w:p>
        </w:tc>
        <w:tc>
          <w:tcPr>
            <w:tcW w:type="dxa" w:w="1800"/>
            <w:vAlign w:val="center"/>
            <w:tcMar>
              <w:top w:w="80" w:type="dxa"/>
              <w:start w:w="120" w:type="dxa"/>
              <w:bottom w:w="80" w:type="dxa"/>
              <w:end w:w="120" w:type="dxa"/>
            </w:tcMar>
          </w:tcPr>
          <w:p>
            <w:pPr>
              <w:spacing w:after="0" w:line="252" w:lineRule="auto"/>
            </w:pPr>
            <w:r/>
            <w:r>
              <w:rPr>
                <w:rFonts w:ascii="Microsoft YaHei" w:hAnsi="Microsoft YaHei" w:eastAsia="微软雅黑"/>
                <w:b w:val="0"/>
                <w:color w:val="222222"/>
                <w:sz w:val="17"/>
              </w:rPr>
              <w:t>东莞扬驰、东莞鑫源</w:t>
            </w:r>
          </w:p>
        </w:tc>
        <w:tc>
          <w:tcPr>
            <w:tcW w:type="dxa" w:w="4680"/>
            <w:vAlign w:val="center"/>
            <w:tcMar>
              <w:top w:w="80" w:type="dxa"/>
              <w:start w:w="120" w:type="dxa"/>
              <w:bottom w:w="80" w:type="dxa"/>
              <w:end w:w="120" w:type="dxa"/>
            </w:tcMar>
          </w:tcPr>
          <w:p>
            <w:pPr>
              <w:spacing w:after="0" w:line="252" w:lineRule="auto"/>
            </w:pPr>
            <w:r/>
            <w:r>
              <w:rPr>
                <w:rFonts w:ascii="Microsoft YaHei" w:hAnsi="Microsoft YaHei" w:eastAsia="微软雅黑"/>
                <w:b w:val="0"/>
                <w:color w:val="222222"/>
                <w:sz w:val="17"/>
              </w:rPr>
              <w:t>按统一信用代码归集黄埔关区及全国跨关区出口，重点比对同日/邻近日期、同收货人、同品名规格</w:t>
            </w:r>
          </w:p>
        </w:tc>
        <w:tc>
          <w:tcPr>
            <w:tcW w:type="dxa" w:w="2088"/>
            <w:vAlign w:val="center"/>
            <w:tcMar>
              <w:top w:w="80" w:type="dxa"/>
              <w:start w:w="120" w:type="dxa"/>
              <w:bottom w:w="80" w:type="dxa"/>
              <w:end w:w="120" w:type="dxa"/>
            </w:tcMar>
          </w:tcPr>
          <w:p>
            <w:pPr>
              <w:spacing w:after="0" w:line="252" w:lineRule="auto"/>
            </w:pPr>
            <w:r/>
            <w:r>
              <w:rPr>
                <w:rFonts w:ascii="Microsoft YaHei" w:hAnsi="Microsoft YaHei" w:eastAsia="微软雅黑"/>
                <w:b w:val="0"/>
                <w:color w:val="222222"/>
                <w:sz w:val="17"/>
              </w:rPr>
              <w:t>确认是否存在同一订单拆票</w:t>
            </w:r>
          </w:p>
        </w:tc>
      </w:tr>
      <w:tr>
        <w:trPr>
          <w:cantSplit w:val="true"/>
        </w:trPr>
        <w:tc>
          <w:tcPr>
            <w:tcW w:type="dxa" w:w="792"/>
            <w:vAlign w:val="center"/>
            <w:tcMar>
              <w:top w:w="80" w:type="dxa"/>
              <w:start w:w="120" w:type="dxa"/>
              <w:bottom w:w="80" w:type="dxa"/>
              <w:end w:w="120" w:type="dxa"/>
            </w:tcMar>
          </w:tcPr>
          <w:p>
            <w:pPr>
              <w:spacing w:after="0" w:line="252" w:lineRule="auto"/>
            </w:pPr>
            <w:r/>
            <w:r>
              <w:rPr>
                <w:rFonts w:ascii="Microsoft YaHei" w:hAnsi="Microsoft YaHei" w:eastAsia="微软雅黑"/>
                <w:b w:val="0"/>
                <w:color w:val="222222"/>
                <w:sz w:val="17"/>
              </w:rPr>
              <w:t>P1</w:t>
            </w:r>
          </w:p>
        </w:tc>
        <w:tc>
          <w:tcPr>
            <w:tcW w:type="dxa" w:w="1800"/>
            <w:vAlign w:val="center"/>
            <w:tcMar>
              <w:top w:w="80" w:type="dxa"/>
              <w:start w:w="120" w:type="dxa"/>
              <w:bottom w:w="80" w:type="dxa"/>
              <w:end w:w="120" w:type="dxa"/>
            </w:tcMar>
          </w:tcPr>
          <w:p>
            <w:pPr>
              <w:spacing w:after="0" w:line="252" w:lineRule="auto"/>
            </w:pPr>
            <w:r/>
            <w:r>
              <w:rPr>
                <w:rFonts w:ascii="Microsoft YaHei" w:hAnsi="Microsoft YaHei" w:eastAsia="微软雅黑"/>
                <w:b w:val="0"/>
                <w:color w:val="222222"/>
                <w:sz w:val="17"/>
              </w:rPr>
              <w:t>两家韩国主体</w:t>
            </w:r>
          </w:p>
        </w:tc>
        <w:tc>
          <w:tcPr>
            <w:tcW w:type="dxa" w:w="4680"/>
            <w:vAlign w:val="center"/>
            <w:tcMar>
              <w:top w:w="80" w:type="dxa"/>
              <w:start w:w="120" w:type="dxa"/>
              <w:bottom w:w="80" w:type="dxa"/>
              <w:end w:w="120" w:type="dxa"/>
            </w:tcMar>
          </w:tcPr>
          <w:p>
            <w:pPr>
              <w:spacing w:after="0" w:line="252" w:lineRule="auto"/>
            </w:pPr>
            <w:r/>
            <w:r>
              <w:rPr>
                <w:rFonts w:ascii="Microsoft YaHei" w:hAnsi="Microsoft YaHei" w:eastAsia="微软雅黑"/>
                <w:b w:val="0"/>
                <w:color w:val="222222"/>
                <w:sz w:val="17"/>
              </w:rPr>
              <w:t>统一英文/韩文名称、地址、注册号和关联仓库；核对业务范围及进口记录</w:t>
            </w:r>
          </w:p>
        </w:tc>
        <w:tc>
          <w:tcPr>
            <w:tcW w:type="dxa" w:w="2088"/>
            <w:vAlign w:val="center"/>
            <w:tcMar>
              <w:top w:w="80" w:type="dxa"/>
              <w:start w:w="120" w:type="dxa"/>
              <w:bottom w:w="80" w:type="dxa"/>
              <w:end w:w="120" w:type="dxa"/>
            </w:tcMar>
          </w:tcPr>
          <w:p>
            <w:pPr>
              <w:spacing w:after="0" w:line="252" w:lineRule="auto"/>
            </w:pPr>
            <w:r/>
            <w:r>
              <w:rPr>
                <w:rFonts w:ascii="Microsoft YaHei" w:hAnsi="Microsoft YaHei" w:eastAsia="微软雅黑"/>
                <w:b w:val="0"/>
                <w:color w:val="222222"/>
                <w:sz w:val="17"/>
              </w:rPr>
              <w:t>消除同名主体误并风险</w:t>
            </w:r>
          </w:p>
        </w:tc>
      </w:tr>
      <w:tr>
        <w:trPr>
          <w:cantSplit w:val="true"/>
        </w:trPr>
        <w:tc>
          <w:tcPr>
            <w:tcW w:type="dxa" w:w="792"/>
            <w:vAlign w:val="center"/>
            <w:tcMar>
              <w:top w:w="80" w:type="dxa"/>
              <w:start w:w="120" w:type="dxa"/>
              <w:bottom w:w="80" w:type="dxa"/>
              <w:end w:w="120" w:type="dxa"/>
            </w:tcMar>
          </w:tcPr>
          <w:p>
            <w:pPr>
              <w:spacing w:after="0" w:line="252" w:lineRule="auto"/>
            </w:pPr>
            <w:r/>
            <w:r>
              <w:rPr>
                <w:rFonts w:ascii="Microsoft YaHei" w:hAnsi="Microsoft YaHei" w:eastAsia="微软雅黑"/>
                <w:b w:val="0"/>
                <w:color w:val="222222"/>
                <w:sz w:val="17"/>
              </w:rPr>
              <w:t>P2</w:t>
            </w:r>
          </w:p>
        </w:tc>
        <w:tc>
          <w:tcPr>
            <w:tcW w:type="dxa" w:w="1800"/>
            <w:vAlign w:val="center"/>
            <w:tcMar>
              <w:top w:w="80" w:type="dxa"/>
              <w:start w:w="120" w:type="dxa"/>
              <w:bottom w:w="80" w:type="dxa"/>
              <w:end w:w="120" w:type="dxa"/>
            </w:tcMar>
          </w:tcPr>
          <w:p>
            <w:pPr>
              <w:spacing w:after="0" w:line="252" w:lineRule="auto"/>
            </w:pPr>
            <w:r/>
            <w:r>
              <w:rPr>
                <w:rFonts w:ascii="Microsoft YaHei" w:hAnsi="Microsoft YaHei" w:eastAsia="微软雅黑"/>
                <w:b w:val="0"/>
                <w:color w:val="222222"/>
                <w:sz w:val="17"/>
              </w:rPr>
              <w:t>其余企业</w:t>
            </w:r>
          </w:p>
        </w:tc>
        <w:tc>
          <w:tcPr>
            <w:tcW w:type="dxa" w:w="4680"/>
            <w:vAlign w:val="center"/>
            <w:tcMar>
              <w:top w:w="80" w:type="dxa"/>
              <w:start w:w="120" w:type="dxa"/>
              <w:bottom w:w="80" w:type="dxa"/>
              <w:end w:w="120" w:type="dxa"/>
            </w:tcMar>
          </w:tcPr>
          <w:p>
            <w:pPr>
              <w:spacing w:after="0" w:line="252" w:lineRule="auto"/>
            </w:pPr>
            <w:r/>
            <w:r>
              <w:rPr>
                <w:rFonts w:ascii="Microsoft YaHei" w:hAnsi="Microsoft YaHei" w:eastAsia="微软雅黑"/>
                <w:b w:val="0"/>
                <w:color w:val="222222"/>
                <w:sz w:val="17"/>
              </w:rPr>
              <w:t>补全企业全称、信用代码、生产能力、海关注册和历史出口</w:t>
            </w:r>
          </w:p>
        </w:tc>
        <w:tc>
          <w:tcPr>
            <w:tcW w:type="dxa" w:w="2088"/>
            <w:vAlign w:val="center"/>
            <w:tcMar>
              <w:top w:w="80" w:type="dxa"/>
              <w:start w:w="120" w:type="dxa"/>
              <w:bottom w:w="80" w:type="dxa"/>
              <w:end w:w="120" w:type="dxa"/>
            </w:tcMar>
          </w:tcPr>
          <w:p>
            <w:pPr>
              <w:spacing w:after="0" w:line="252" w:lineRule="auto"/>
            </w:pPr>
            <w:r/>
            <w:r>
              <w:rPr>
                <w:rFonts w:ascii="Microsoft YaHei" w:hAnsi="Microsoft YaHei" w:eastAsia="微软雅黑"/>
                <w:b w:val="0"/>
                <w:color w:val="222222"/>
                <w:sz w:val="17"/>
              </w:rPr>
              <w:t>由模糊名单转为可执行主体表</w:t>
            </w:r>
          </w:p>
        </w:tc>
      </w:tr>
    </w:tbl>
    <w:p>
      <w:pPr>
        <w:spacing w:after="0"/>
      </w:pPr>
    </w:p>
    <w:p>
      <w:pPr>
        <w:pStyle w:val="Heading1"/>
      </w:pPr>
      <w:r>
        <w:t>七、建议采用的正式表述</w:t>
      </w:r>
    </w:p>
    <w:tbl>
      <w:tblPr>
        <w:tblW w:type="auto" w:w="0"/>
        <w:jc w:val="left"/>
        <w:tblLayout w:type="fixed"/>
        <w:tblLook w:firstColumn="1" w:firstRow="1" w:lastColumn="0" w:lastRow="0" w:noHBand="0" w:noVBand="1" w:val="04A0"/>
      </w:tblPr>
      <w:tblGrid>
        <w:gridCol w:w="9360"/>
      </w:tblGrid>
      <w:tr>
        <w:tc>
          <w:tcPr>
            <w:tcW w:type="dxa" w:w="9360"/>
            <w:shd w:fill="F4F6F9"/>
            <w:tcMar>
              <w:top w:w="120" w:type="dxa"/>
              <w:start w:w="160" w:type="dxa"/>
              <w:bottom w:w="120" w:type="dxa"/>
              <w:end w:w="160" w:type="dxa"/>
            </w:tcMar>
          </w:tcPr>
          <w:p>
            <w:r/>
            <w:r>
              <w:rPr>
                <w:rFonts w:ascii="Microsoft YaHei" w:hAnsi="Microsoft YaHei" w:eastAsia="微软雅黑"/>
                <w:b/>
                <w:color w:val="17365D"/>
                <w:sz w:val="20"/>
              </w:rPr>
              <w:t xml:space="preserve">建议标题  </w:t>
            </w:r>
            <w:r>
              <w:rPr>
                <w:rFonts w:ascii="Microsoft YaHei" w:hAnsi="Microsoft YaHei" w:eastAsia="微软雅黑"/>
                <w:color w:val="222222"/>
                <w:sz w:val="20"/>
              </w:rPr>
              <w:t>“韩国材料企业涉镍制品境内供货线索及黄埔口岸拆分申报风险核查专题（线索核查稿）”</w:t>
            </w:r>
          </w:p>
        </w:tc>
      </w:tr>
    </w:tbl>
    <w:p>
      <w:pPr>
        <w:spacing w:after="0"/>
      </w:pPr>
    </w:p>
    <w:p>
      <w:pPr>
        <w:pStyle w:val="ListBullet"/>
        <w:spacing w:after="100"/>
        <w:ind w:left="720" w:hanging="360"/>
      </w:pPr>
      <w:r>
        <w:t>不建议使用：“已查实有拆分小额报关违规记录的核心客户”，除非每一家均有可核验的处罚/刑事文书且文书事实与拆票、货物和韩方客户逐项一致。</w:t>
      </w:r>
    </w:p>
    <w:p>
      <w:pPr>
        <w:pStyle w:val="ListBullet"/>
        <w:spacing w:after="100"/>
        <w:ind w:left="720" w:hanging="360"/>
      </w:pPr>
      <w:r>
        <w:t>建议使用：“公开文书已确认部分违法事实的企业”“产业调研待核线索企业”“其他供货关系待核企业”三类。</w:t>
      </w:r>
    </w:p>
    <w:p>
      <w:pPr>
        <w:pStyle w:val="ListBullet"/>
        <w:spacing w:after="100"/>
        <w:ind w:left="720" w:hanging="360"/>
      </w:pPr>
      <w:r>
        <w:t>对黄埔表述建议限定为：“发现1条直接提及黄埔口岸的匿名走访线索，并有2家东莞主体具备黄埔关区协查必要性；尚未取得具体报关单证证明其实际经黄埔口岸出境。”</w:t>
      </w:r>
    </w:p>
    <w:p>
      <w:pPr>
        <w:pStyle w:val="Heading1"/>
      </w:pPr>
      <w:r>
        <w:t>八、来源与核验说明</w:t>
      </w:r>
    </w:p>
    <w:p>
      <w:pPr>
        <w:pStyle w:val="ListBullet"/>
        <w:spacing w:after="80"/>
      </w:pPr>
      <w:r>
        <w:rPr>
          <w:b/>
        </w:rPr>
        <w:t>用户提供的基础材料：</w:t>
      </w:r>
      <w:r>
        <w:t>本专题所有未公开印证的企业关系、拆票数量、口岸轮换及最终用户描述均源于该材料，按C级线索处理。</w:t>
      </w:r>
    </w:p>
    <w:p>
      <w:pPr>
        <w:pStyle w:val="ListBullet"/>
        <w:spacing w:after="80"/>
      </w:pPr>
      <w:r>
        <w:rPr>
          <w:b/>
        </w:rPr>
        <w:t>上海国际经贸合规法律服务平台—南京达迈案例：</w:t>
      </w:r>
      <w:r>
        <w:t>https://www.tclegal.cn/compliace-case-detail?id=2013522130024599553&amp;type=1</w:t>
      </w:r>
    </w:p>
    <w:p>
      <w:pPr>
        <w:pStyle w:val="ListBullet"/>
        <w:spacing w:after="80"/>
      </w:pPr>
      <w:r>
        <w:rPr>
          <w:b/>
        </w:rPr>
        <w:t>南京达迈科技官网：</w:t>
      </w:r>
      <w:r>
        <w:t>https://www.njdamai.cn/</w:t>
      </w:r>
    </w:p>
    <w:p>
      <w:pPr>
        <w:pStyle w:val="ListBullet"/>
        <w:spacing w:after="80"/>
      </w:pPr>
      <w:r>
        <w:rPr>
          <w:b/>
        </w:rPr>
        <w:t>Korea Advanced Material 展会资料（IMID）：</w:t>
      </w:r>
      <w:r>
        <w:t>https://www.imid.or.kr/2023/download/ex/34_IMID_2023_Exhibitor_Company_Instruction_Form_Koadvanced.pdf</w:t>
      </w:r>
    </w:p>
    <w:p>
      <w:pPr>
        <w:pStyle w:val="ListBullet"/>
        <w:spacing w:after="80"/>
      </w:pPr>
      <w:r>
        <w:rPr>
          <w:b/>
        </w:rPr>
        <w:t>海关总署英文网—东莞沙田黄埔海关监管活动：</w:t>
      </w:r>
      <w:r>
        <w:t>https://english.customs.gov.cn/statics/34b551ae-49e3-4356-85fd-b90dda81a9ae.html</w:t>
      </w:r>
    </w:p>
    <w:p>
      <w:pPr>
        <w:pStyle w:val="ListBullet"/>
        <w:spacing w:after="80"/>
      </w:pPr>
      <w:r>
        <w:rPr>
          <w:b/>
        </w:rPr>
        <w:t>广州市黄埔区政府—黄埔老港镍等工业原料通关背景：</w:t>
      </w:r>
      <w:r>
        <w:t>https://www.hp.gov.cn/xwzx/bmdt/content/post_10891376.html</w:t>
      </w:r>
    </w:p>
    <w:p>
      <w:pPr>
        <w:pStyle w:val="ListBullet"/>
        <w:spacing w:after="80"/>
      </w:pPr>
      <w:r>
        <w:rPr>
          <w:b/>
        </w:rPr>
        <w:t>关务资讯索引—杭州新川处罚文书条目（非官方镜像，需以海关原文为准）：</w:t>
      </w:r>
      <w:r>
        <w:t>https://www.jitinfo.net/Service/Category?type=%E6%95%B0%E6%8D%AE%E6%9C%8D%E5%8A%A1</w:t>
      </w:r>
    </w:p>
    <w:p>
      <w:pPr>
        <w:keepLines/>
        <w:spacing w:before="240"/>
      </w:pPr>
      <w:r>
        <w:rPr>
          <w:b/>
          <w:color w:val="9B1C1C"/>
        </w:rPr>
        <w:t>使用限制：</w:t>
      </w:r>
      <w:r>
        <w:t>本稿用于内部线索研判，不构成对任何企业违法行为、客户关系、最终用户或军事用途的事实认定。正式立案、通报或对外发布前，应以海关业务系统、处罚文书原件及依法调取的交易物流证据复核。</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7"/>
      </w:rPr>
      <w:t>内部研判材料｜截至 2026年7月13日</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7"/>
      </w:rPr>
      <w:t>关键矿产出口风险专题｜线索核查稿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Microsoft YaHei" w:hAnsi="Microsoft YaHei"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Microsoft YaHei" w:hAnsi="Microsoft YaHei" w:eastAsia="微软雅黑"/>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Microsoft YaHei" w:hAnsi="Microsoft YaHei" w:eastAsia="微软雅黑"/>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Microsoft YaHei" w:hAnsi="Microsoft YaHei" w:eastAsia="微软雅黑"/>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Microsoft YaHei" w:hAnsi="Microsoft YaHei" w:eastAsia="微软雅黑"/>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韩国两家材料企业国内合作线索及黄埔口岸风险专题（核查稿）</dc:title>
  <dc:subject>关键矿产与出口管制风险线索核查</dc:subject>
  <dc:creator/>
  <cp:keywords>黄埔口岸, 镍合金, 出口管制, 拆分申报, 线索核查</cp:keywords>
  <dc:description>generated by python-docx</dc:description>
  <cp:lastModifiedBy/>
  <cp:revision>1</cp:revision>
  <dcterms:created xsi:type="dcterms:W3CDTF">2013-12-23T23:15:00Z</dcterms:created>
  <dcterms:modified xsi:type="dcterms:W3CDTF">2013-12-23T23:15:00Z</dcterms:modified>
  <cp:category/>
</cp:coreProperties>
</file>