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eastAsia="微软雅黑"/>
          <w:b/>
          <w:color w:val="17365D"/>
          <w:sz w:val="22"/>
        </w:rPr>
        <w:t>专项风险分析报告</w:t>
      </w:r>
    </w:p>
    <w:p>
      <w:pPr>
        <w:spacing w:after="160"/>
      </w:pPr>
      <w:r>
        <w:rPr>
          <w:rFonts w:ascii="Arial" w:hAnsi="Arial" w:eastAsia="微软雅黑"/>
          <w:b/>
          <w:color w:val="111111"/>
          <w:sz w:val="50"/>
        </w:rPr>
        <w:t>反倾销税偷逃及第三国绕道风险</w:t>
      </w:r>
    </w:p>
    <w:p>
      <w:pPr>
        <w:spacing w:after="360"/>
      </w:pPr>
      <w:r>
        <w:rPr>
          <w:rFonts w:ascii="Arial" w:hAnsi="Arial" w:eastAsia="微软雅黑"/>
          <w:b w:val="0"/>
          <w:color w:val="666666"/>
          <w:sz w:val="25"/>
        </w:rPr>
        <w:t>基于海关处罚、商务部措施与易迅贸易数据的数量—税种—实体—路线交叉核验</w:t>
      </w:r>
    </w:p>
    <w:p>
      <w:pPr>
        <w:spacing w:after="80"/>
      </w:pPr>
      <w:r>
        <w:rPr>
          <w:rFonts w:ascii="Arial" w:hAnsi="Arial" w:eastAsia="微软雅黑"/>
          <w:b/>
          <w:color w:val="17365D"/>
          <w:sz w:val="21"/>
        </w:rPr>
        <w:t>核验日期：</w:t>
      </w:r>
      <w:r>
        <w:rPr>
          <w:rFonts w:ascii="Arial" w:hAnsi="Arial" w:eastAsia="微软雅黑"/>
          <w:b w:val="0"/>
          <w:color w:val="333333"/>
          <w:sz w:val="21"/>
        </w:rPr>
        <w:t>2026年8月9日</w:t>
      </w:r>
    </w:p>
    <w:p>
      <w:pPr>
        <w:spacing w:after="80"/>
      </w:pPr>
      <w:r>
        <w:rPr>
          <w:rFonts w:ascii="Arial" w:hAnsi="Arial" w:eastAsia="微软雅黑"/>
          <w:b/>
          <w:color w:val="17365D"/>
          <w:sz w:val="21"/>
        </w:rPr>
        <w:t>重点范围：</w:t>
      </w:r>
      <w:r>
        <w:rPr>
          <w:rFonts w:ascii="Arial" w:hAnsi="Arial" w:eastAsia="微软雅黑"/>
          <w:b w:val="0"/>
          <w:color w:val="333333"/>
          <w:sz w:val="21"/>
        </w:rPr>
        <w:t>2024年以来已公开处罚；POM、酞菁蓝、氯氰菊酯、EPDM、KAMAX及PPS排除项</w:t>
      </w:r>
    </w:p>
    <w:p>
      <w:pPr>
        <w:spacing w:after="80"/>
      </w:pPr>
      <w:r>
        <w:rPr>
          <w:rFonts w:ascii="Arial" w:hAnsi="Arial" w:eastAsia="微软雅黑"/>
          <w:b/>
          <w:color w:val="17365D"/>
          <w:sz w:val="21"/>
        </w:rPr>
        <w:t>核心口径：</w:t>
      </w:r>
      <w:r>
        <w:rPr>
          <w:rFonts w:ascii="Arial" w:hAnsi="Arial" w:eastAsia="微软雅黑"/>
          <w:b w:val="0"/>
          <w:color w:val="333333"/>
          <w:sz w:val="21"/>
        </w:rPr>
        <w:t>处罚决定确认的税额与平台贸易数据情景测算严格分列；平台记录不等于违法认定</w:t>
      </w:r>
    </w:p>
    <w:p>
      <w:pPr>
        <w:spacing w:after="80"/>
      </w:pPr>
      <w:r>
        <w:rPr>
          <w:rFonts w:ascii="Arial" w:hAnsi="Arial" w:eastAsia="微软雅黑"/>
          <w:b/>
          <w:color w:val="17365D"/>
          <w:sz w:val="21"/>
        </w:rPr>
        <w:t>成果附件：</w:t>
      </w:r>
      <w:r>
        <w:rPr>
          <w:rFonts w:ascii="Arial" w:hAnsi="Arial" w:eastAsia="微软雅黑"/>
          <w:b w:val="0"/>
          <w:color w:val="333333"/>
          <w:sz w:val="21"/>
        </w:rPr>
        <w:t>《反倾销税偷逃风险证据清单_20260809.xlsx》</w:t>
      </w:r>
    </w:p>
    <w:tbl>
      <w:tblPr>
        <w:tblW w:type="auto" w:w="0"/>
        <w:jc w:val="center"/>
        <w:tblLook w:firstColumn="1" w:firstRow="1" w:lastColumn="0" w:lastRow="0" w:noHBand="0" w:noVBand="1" w:val="04A0"/>
      </w:tblPr>
      <w:tblGrid>
        <w:gridCol w:w="9547"/>
      </w:tblGrid>
      <w:tr>
        <w:tc>
          <w:tcPr>
            <w:tcW w:type="dxa" w:w="9547"/>
            <w:shd w:fill="D9EAF7"/>
            <w:tcMar>
              <w:top w:w="110" w:type="dxa"/>
              <w:start w:w="130" w:type="dxa"/>
              <w:bottom w:w="110" w:type="dxa"/>
              <w:end w:w="130" w:type="dxa"/>
            </w:tcMar>
          </w:tcPr>
          <w:p>
            <w:pPr>
              <w:spacing w:after="0"/>
            </w:pPr>
            <w:r>
              <w:rPr>
                <w:rFonts w:ascii="Arial" w:hAnsi="Arial" w:eastAsia="微软雅黑"/>
                <w:b/>
                <w:color w:val="17365D"/>
                <w:sz w:val="21"/>
              </w:rPr>
              <w:t>结论状态：</w:t>
            </w:r>
            <w:r>
              <w:rPr>
                <w:rFonts w:ascii="Arial" w:hAnsi="Arial" w:eastAsia="微软雅黑"/>
                <w:b w:val="0"/>
                <w:color w:val="17365D"/>
                <w:sz w:val="21"/>
              </w:rPr>
              <w:t>已找到3宗近年处罚的明确少缴税款证据；找到1条POM原产地字段直接冲突线索和1条酞菁蓝大体量路线级线索。除历史多晶硅判例外，当前易迅记录尚未形成同一批货‘原产国—第三国—中国’的完整定案闭环。</w:t>
            </w:r>
          </w:p>
        </w:tc>
      </w:tr>
    </w:tbl>
    <w:p>
      <w:pPr>
        <w:spacing w:after="0"/>
      </w:pPr>
    </w:p>
    <w:p>
      <w:r>
        <w:br w:type="page"/>
      </w:r>
    </w:p>
    <w:p>
      <w:pPr>
        <w:pStyle w:val="Heading1"/>
      </w:pPr>
      <w:r>
        <w:t>一、执行摘要</w:t>
      </w:r>
    </w:p>
    <w:tbl>
      <w:tblPr>
        <w:tblW w:type="auto" w:w="0"/>
        <w:jc w:val="center"/>
        <w:tblLook w:firstColumn="1" w:firstRow="1" w:lastColumn="0" w:lastRow="0" w:noHBand="0" w:noVBand="1" w:val="04A0"/>
      </w:tblPr>
      <w:tblGrid>
        <w:gridCol w:w="9547"/>
      </w:tblGrid>
      <w:tr>
        <w:tc>
          <w:tcPr>
            <w:tcW w:type="dxa" w:w="9547"/>
            <w:shd w:fill="FCE4D6"/>
            <w:tcMar>
              <w:top w:w="110" w:type="dxa"/>
              <w:start w:w="130" w:type="dxa"/>
              <w:bottom w:w="110" w:type="dxa"/>
              <w:end w:w="130" w:type="dxa"/>
            </w:tcMar>
          </w:tcPr>
          <w:p>
            <w:pPr>
              <w:spacing w:after="0"/>
            </w:pPr>
            <w:r>
              <w:rPr>
                <w:rFonts w:ascii="Arial" w:hAnsi="Arial" w:eastAsia="微软雅黑"/>
                <w:b/>
                <w:color w:val="9C5700"/>
                <w:sz w:val="21"/>
              </w:rPr>
              <w:t>硬结论：</w:t>
            </w:r>
            <w:r>
              <w:rPr>
                <w:rFonts w:ascii="Arial" w:hAnsi="Arial" w:eastAsia="微软雅黑"/>
                <w:b w:val="0"/>
                <w:color w:val="9C5700"/>
                <w:sz w:val="21"/>
              </w:rPr>
              <w:t>2024年以来3宗已公开行政处罚合计漏缴税款772,257.60元、罚款338,800元。上海酞菁蓝案明确4,000千克并拆分为反倾销税149,879.24元、进口增值税19,484.30元；EPDM与KAMAX案公开决定没有披露重量，不应估填。</w:t>
            </w:r>
          </w:p>
        </w:tc>
      </w:tr>
    </w:tbl>
    <w:p>
      <w:pPr>
        <w:spacing w:after="0"/>
      </w:pPr>
    </w:p>
    <w:p>
      <w:r>
        <w:rPr>
          <w:b/>
        </w:rPr>
        <w:t>当前第三国绕道证据强弱排序如下：</w:t>
      </w:r>
    </w:p>
    <w:p>
      <w:pPr>
        <w:pStyle w:val="ListBullet"/>
        <w:spacing w:after="80"/>
        <w:ind w:left="605" w:hanging="288"/>
      </w:pPr>
      <w:r>
        <w:t>第一位：POM / HOSTAFORM LW15EWX。越南对华25kg记录的平台原产地字段为Vietnam，货物描述却保留“#&amp;DE”；这是单票内部直接矛盾，足以优先调取中国进口报关单、原产地证及越南上游采购记录，但尚不能单独认定逃税。</w:t>
      </w:r>
    </w:p>
    <w:p>
      <w:pPr>
        <w:pStyle w:val="ListBullet"/>
        <w:spacing w:after="80"/>
        <w:ind w:left="605" w:hanging="288"/>
      </w:pPr>
      <w:r>
        <w:t>第二位：酞菁蓝印度—越南—中国路线。印度向越南检得490条相关记录；越南向中国35票、合计738,620kg同CAS/品类记录，均列“#&amp;VN”。体量大、商品相近，但尚未将两程匹配到同一越南企业、同一型号或同一批次。</w:t>
      </w:r>
    </w:p>
    <w:p>
      <w:pPr>
        <w:pStyle w:val="ListBullet"/>
        <w:spacing w:after="80"/>
        <w:ind w:left="605" w:hanging="288"/>
      </w:pPr>
      <w:r>
        <w:t>直接税率执行风险：措施实施后，Tagros与Meghmani氯氰菊酯对华记录去重后合计68,000kg。该方向是印度直接出口中国，不是第三国绕道；风险在是否按中国商品编号和列名生产商税率缴纳反倾销税。</w:t>
      </w:r>
    </w:p>
    <w:p>
      <w:pPr>
        <w:pStyle w:val="ListBullet"/>
        <w:spacing w:after="80"/>
        <w:ind w:left="605" w:hanging="288"/>
      </w:pPr>
      <w:r>
        <w:t>实体与口岸：厦门翔邦/厦门诚运通—海沧海关、上海嘉助—吴淞海关、浙江锐泰—奉化海关均来自处罚文书，是确定性最高的既往风险点。上海恒久百传动、越南Hamakyu等仅为POM核查对象，不代表违法。</w:t>
      </w:r>
    </w:p>
    <w:p>
      <w:pPr>
        <w:pStyle w:val="Heading1"/>
      </w:pPr>
      <w:r>
        <w:t>二、‘逃什么税’：税种链条与计算口径</w:t>
      </w:r>
    </w:p>
    <w:p>
      <w:r>
        <w:rPr>
          <w:b/>
        </w:rPr>
        <w:t>反倾销规避通常不只影响反倾销税本身。</w:t>
      </w:r>
      <w:r>
        <w:t xml:space="preserve"> 商务部公告明确，反倾销税以海关确定的进口货物计税价格从价计征；进口环节增值税的计税价格包括完税价格、关税和反倾销税。因此少缴反倾销税，还会同步少缴由该反倾销税抬高税基所对应的进口增值税。</w:t>
      </w:r>
    </w:p>
    <w:p>
      <w:pPr>
        <w:spacing w:before="20" w:after="60"/>
      </w:pPr>
      <w:r>
        <w:rPr>
          <w:rFonts w:ascii="Arial" w:hAnsi="Arial" w:eastAsia="微软雅黑"/>
          <w:b/>
          <w:color w:val="666666"/>
          <w:sz w:val="16"/>
        </w:rPr>
        <w:t>来源：</w:t>
      </w:r>
      <w:hyperlink r:id="rId11">
        <w:r>
          <w:rPr>
            <w:color w:val="0563C1"/>
            <w:u w:val="single"/>
          </w:rPr>
          <w:t>商务部公告2025年第25号（共聚POM，含征税公式）</w:t>
        </w:r>
      </w:hyperlink>
    </w:p>
    <w:tbl>
      <w:tblPr>
        <w:tblW w:type="auto" w:w="0"/>
        <w:jc w:val="center"/>
        <w:tblLayout w:type="fixed"/>
        <w:tblLook w:firstColumn="1" w:firstRow="1" w:lastColumn="0" w:lastRow="0" w:noHBand="0" w:noVBand="1" w:val="04A0"/>
      </w:tblPr>
      <w:tblGrid>
        <w:gridCol w:w="2387"/>
        <w:gridCol w:w="2387"/>
        <w:gridCol w:w="2387"/>
        <w:gridCol w:w="2387"/>
      </w:tblGrid>
      <w:tr>
        <w:trPr>
          <w:cantSplit/>
          <w:tblHeader w:val="true"/>
        </w:trPr>
        <w:tc>
          <w:tcPr>
            <w:tcW w:type="dxa" w:w="223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7"/>
              </w:rPr>
              <w:t>风险手法</w:t>
            </w:r>
          </w:p>
        </w:tc>
        <w:tc>
          <w:tcPr>
            <w:tcW w:type="dxa" w:w="194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7"/>
              </w:rPr>
              <w:t>主要少缴税种</w:t>
            </w:r>
          </w:p>
        </w:tc>
        <w:tc>
          <w:tcPr>
            <w:tcW w:type="dxa" w:w="2088"/>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7"/>
              </w:rPr>
              <w:t>附带影响</w:t>
            </w:r>
          </w:p>
        </w:tc>
        <w:tc>
          <w:tcPr>
            <w:tcW w:type="dxa" w:w="324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7"/>
              </w:rPr>
              <w:t>本报告表述</w:t>
            </w:r>
          </w:p>
        </w:tc>
      </w:tr>
      <w:tr>
        <w:trPr>
          <w:cantSplit/>
        </w:trPr>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7"/>
              </w:rPr>
              <w:t>伪报非措施原产国/第三国原产地</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7"/>
              </w:rPr>
              <w:t>反倾销税</w:t>
            </w:r>
          </w:p>
        </w:tc>
        <w:tc>
          <w:tcPr>
            <w:tcW w:type="dxa" w:w="2088"/>
            <w:vAlign w:val="center"/>
            <w:tcMar>
              <w:top w:w="70" w:type="dxa"/>
              <w:start w:w="85" w:type="dxa"/>
              <w:bottom w:w="70" w:type="dxa"/>
              <w:end w:w="85" w:type="dxa"/>
            </w:tcMar>
          </w:tcPr>
          <w:p>
            <w:pPr>
              <w:spacing w:after="30" w:line="245" w:lineRule="auto"/>
            </w:pPr>
            <w:r>
              <w:rPr>
                <w:rFonts w:ascii="Arial" w:hAnsi="Arial" w:eastAsia="微软雅黑"/>
                <w:b w:val="0"/>
                <w:sz w:val="17"/>
              </w:rPr>
              <w:t>进口增值税差额；如错误享受协定税率，还可能影响关税</w:t>
            </w:r>
          </w:p>
        </w:tc>
        <w:tc>
          <w:tcPr>
            <w:tcW w:type="dxa" w:w="3240"/>
            <w:vAlign w:val="center"/>
            <w:tcMar>
              <w:top w:w="70" w:type="dxa"/>
              <w:start w:w="85" w:type="dxa"/>
              <w:bottom w:w="70" w:type="dxa"/>
              <w:end w:w="85" w:type="dxa"/>
            </w:tcMar>
          </w:tcPr>
          <w:p>
            <w:pPr>
              <w:spacing w:after="30" w:line="245" w:lineRule="auto"/>
            </w:pPr>
            <w:r>
              <w:rPr>
                <w:rFonts w:ascii="Arial" w:hAnsi="Arial" w:eastAsia="微软雅黑"/>
                <w:b w:val="0"/>
                <w:sz w:val="17"/>
              </w:rPr>
              <w:t>必须核中国申报原产国和原产地证</w:t>
            </w:r>
          </w:p>
        </w:tc>
      </w:tr>
      <w:tr>
        <w:trPr>
          <w:cantSplit/>
        </w:trPr>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7"/>
              </w:rPr>
              <w:t>错报生产商，套用较低企业税率</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7"/>
              </w:rPr>
              <w:t>反倾销税税率差额</w:t>
            </w:r>
          </w:p>
        </w:tc>
        <w:tc>
          <w:tcPr>
            <w:tcW w:type="dxa" w:w="2088"/>
            <w:vAlign w:val="center"/>
            <w:tcMar>
              <w:top w:w="70" w:type="dxa"/>
              <w:start w:w="85" w:type="dxa"/>
              <w:bottom w:w="70" w:type="dxa"/>
              <w:end w:w="85" w:type="dxa"/>
            </w:tcMar>
          </w:tcPr>
          <w:p>
            <w:pPr>
              <w:spacing w:after="30" w:line="245" w:lineRule="auto"/>
            </w:pPr>
            <w:r>
              <w:rPr>
                <w:rFonts w:ascii="Arial" w:hAnsi="Arial" w:eastAsia="微软雅黑"/>
                <w:b w:val="0"/>
                <w:sz w:val="17"/>
              </w:rPr>
              <w:t>进口增值税差额</w:t>
            </w:r>
          </w:p>
        </w:tc>
        <w:tc>
          <w:tcPr>
            <w:tcW w:type="dxa" w:w="3240"/>
            <w:vAlign w:val="center"/>
            <w:tcMar>
              <w:top w:w="70" w:type="dxa"/>
              <w:start w:w="85" w:type="dxa"/>
              <w:bottom w:w="70" w:type="dxa"/>
              <w:end w:w="85" w:type="dxa"/>
            </w:tcMar>
          </w:tcPr>
          <w:p>
            <w:pPr>
              <w:spacing w:after="30" w:line="245" w:lineRule="auto"/>
            </w:pPr>
            <w:r>
              <w:rPr>
                <w:rFonts w:ascii="Arial" w:hAnsi="Arial" w:eastAsia="微软雅黑"/>
                <w:b w:val="0"/>
                <w:sz w:val="17"/>
              </w:rPr>
              <w:t>KAMAX案：6.1%错套，实际26%</w:t>
            </w:r>
          </w:p>
        </w:tc>
      </w:tr>
      <w:tr>
        <w:trPr>
          <w:cantSplit/>
        </w:trPr>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7"/>
              </w:rPr>
              <w:t>错报HS/商品范围</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7"/>
              </w:rPr>
              <w:t>反倾销税</w:t>
            </w:r>
          </w:p>
        </w:tc>
        <w:tc>
          <w:tcPr>
            <w:tcW w:type="dxa" w:w="2088"/>
            <w:vAlign w:val="center"/>
            <w:tcMar>
              <w:top w:w="70" w:type="dxa"/>
              <w:start w:w="85" w:type="dxa"/>
              <w:bottom w:w="70" w:type="dxa"/>
              <w:end w:w="85" w:type="dxa"/>
            </w:tcMar>
          </w:tcPr>
          <w:p>
            <w:pPr>
              <w:spacing w:after="30" w:line="245" w:lineRule="auto"/>
            </w:pPr>
            <w:r>
              <w:rPr>
                <w:rFonts w:ascii="Arial" w:hAnsi="Arial" w:eastAsia="微软雅黑"/>
                <w:b w:val="0"/>
                <w:sz w:val="17"/>
              </w:rPr>
              <w:t>进口增值税差额；可能还影响普通关税</w:t>
            </w:r>
          </w:p>
        </w:tc>
        <w:tc>
          <w:tcPr>
            <w:tcW w:type="dxa" w:w="3240"/>
            <w:vAlign w:val="center"/>
            <w:tcMar>
              <w:top w:w="70" w:type="dxa"/>
              <w:start w:w="85" w:type="dxa"/>
              <w:bottom w:w="70" w:type="dxa"/>
              <w:end w:w="85" w:type="dxa"/>
            </w:tcMar>
          </w:tcPr>
          <w:p>
            <w:pPr>
              <w:spacing w:after="30" w:line="245" w:lineRule="auto"/>
            </w:pPr>
            <w:r>
              <w:rPr>
                <w:rFonts w:ascii="Arial" w:hAnsi="Arial" w:eastAsia="微软雅黑"/>
                <w:b w:val="0"/>
                <w:sz w:val="17"/>
              </w:rPr>
              <w:t>上海酞菁蓝案已明确拆分</w:t>
            </w:r>
          </w:p>
        </w:tc>
      </w:tr>
      <w:tr>
        <w:trPr>
          <w:cantSplit/>
        </w:trPr>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7"/>
              </w:rPr>
              <w:t>低报成交价格、漏报运保杂费</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7"/>
              </w:rPr>
              <w:t>关税、反倾销税、进口增值税</w:t>
            </w:r>
          </w:p>
        </w:tc>
        <w:tc>
          <w:tcPr>
            <w:tcW w:type="dxa" w:w="2088"/>
            <w:vAlign w:val="center"/>
            <w:tcMar>
              <w:top w:w="70" w:type="dxa"/>
              <w:start w:w="85" w:type="dxa"/>
              <w:bottom w:w="70" w:type="dxa"/>
              <w:end w:w="85" w:type="dxa"/>
            </w:tcMar>
          </w:tcPr>
          <w:p>
            <w:pPr>
              <w:spacing w:after="30" w:line="245" w:lineRule="auto"/>
            </w:pPr>
            <w:r>
              <w:rPr>
                <w:rFonts w:ascii="Arial" w:hAnsi="Arial" w:eastAsia="微软雅黑"/>
                <w:b w:val="0"/>
                <w:sz w:val="17"/>
              </w:rPr>
              <w:t>三者计税基础均可能被压低</w:t>
            </w:r>
          </w:p>
        </w:tc>
        <w:tc>
          <w:tcPr>
            <w:tcW w:type="dxa" w:w="3240"/>
            <w:vAlign w:val="center"/>
            <w:tcMar>
              <w:top w:w="70" w:type="dxa"/>
              <w:start w:w="85" w:type="dxa"/>
              <w:bottom w:w="70" w:type="dxa"/>
              <w:end w:w="85" w:type="dxa"/>
            </w:tcMar>
          </w:tcPr>
          <w:p>
            <w:pPr>
              <w:spacing w:after="30" w:line="245" w:lineRule="auto"/>
            </w:pPr>
            <w:r>
              <w:rPr>
                <w:rFonts w:ascii="Arial" w:hAnsi="Arial" w:eastAsia="微软雅黑"/>
                <w:b w:val="0"/>
                <w:sz w:val="17"/>
              </w:rPr>
              <w:t>KAMAX案同时存在EXW/FOB及费用漏报</w:t>
            </w:r>
          </w:p>
        </w:tc>
      </w:tr>
      <w:tr>
        <w:trPr>
          <w:cantSplit/>
        </w:trPr>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7"/>
              </w:rPr>
              <w:t>漏填原生产商和适用税率</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7"/>
              </w:rPr>
              <w:t>反倾销税</w:t>
            </w:r>
          </w:p>
        </w:tc>
        <w:tc>
          <w:tcPr>
            <w:tcW w:type="dxa" w:w="2088"/>
            <w:vAlign w:val="center"/>
            <w:tcMar>
              <w:top w:w="70" w:type="dxa"/>
              <w:start w:w="85" w:type="dxa"/>
              <w:bottom w:w="70" w:type="dxa"/>
              <w:end w:w="85" w:type="dxa"/>
            </w:tcMar>
          </w:tcPr>
          <w:p>
            <w:pPr>
              <w:spacing w:after="30" w:line="245" w:lineRule="auto"/>
            </w:pPr>
            <w:r>
              <w:rPr>
                <w:rFonts w:ascii="Arial" w:hAnsi="Arial" w:eastAsia="微软雅黑"/>
                <w:b w:val="0"/>
                <w:sz w:val="17"/>
              </w:rPr>
              <w:t>进口增值税差额</w:t>
            </w:r>
          </w:p>
        </w:tc>
        <w:tc>
          <w:tcPr>
            <w:tcW w:type="dxa" w:w="3240"/>
            <w:vAlign w:val="center"/>
            <w:tcMar>
              <w:top w:w="70" w:type="dxa"/>
              <w:start w:w="85" w:type="dxa"/>
              <w:bottom w:w="70" w:type="dxa"/>
              <w:end w:w="85" w:type="dxa"/>
            </w:tcMar>
          </w:tcPr>
          <w:p>
            <w:pPr>
              <w:spacing w:after="30" w:line="245" w:lineRule="auto"/>
            </w:pPr>
            <w:r>
              <w:rPr>
                <w:rFonts w:ascii="Arial" w:hAnsi="Arial" w:eastAsia="微软雅黑"/>
                <w:b w:val="0"/>
                <w:sz w:val="17"/>
              </w:rPr>
              <w:t>EPDM案公开总漏税额但未拆分</w:t>
            </w:r>
          </w:p>
        </w:tc>
      </w:tr>
    </w:tbl>
    <w:p>
      <w:r>
        <w:rPr>
          <w:rFonts w:ascii="Arial" w:hAnsi="Arial" w:eastAsia="微软雅黑"/>
          <w:b/>
          <w:color w:val="17365D"/>
          <w:sz w:val="21"/>
        </w:rPr>
        <w:t>情景测算公式：</w:t>
      </w:r>
      <w:r>
        <w:t>反倾销税=平台金额×适用税率；因反倾销税产生的进口增值税增量=反倾销税×13%；合计差额=反倾销税×1.13。平台金额不是中国海关审定完税价格，币种保持原币，不换算为人民币认定税额。</w:t>
      </w:r>
    </w:p>
    <w:p>
      <w:r>
        <w:br w:type="page"/>
      </w:r>
    </w:p>
    <w:p>
      <w:pPr>
        <w:pStyle w:val="Heading1"/>
      </w:pPr>
      <w:r>
        <w:t>三、已认定案件：数量、税种、实体与口岸</w:t>
      </w:r>
    </w:p>
    <w:tbl>
      <w:tblPr>
        <w:tblW w:type="auto" w:w="0"/>
        <w:jc w:val="center"/>
        <w:tblLayout w:type="fixed"/>
        <w:tblLook w:firstColumn="1" w:firstRow="1" w:lastColumn="0" w:lastRow="0" w:noHBand="0" w:noVBand="1" w:val="04A0"/>
      </w:tblPr>
      <w:tblGrid>
        <w:gridCol w:w="1591"/>
        <w:gridCol w:w="1591"/>
        <w:gridCol w:w="1591"/>
        <w:gridCol w:w="1591"/>
        <w:gridCol w:w="1591"/>
        <w:gridCol w:w="1591"/>
      </w:tblGrid>
      <w:tr>
        <w:trPr>
          <w:cantSplit/>
          <w:tblHeader w:val="true"/>
        </w:trPr>
        <w:tc>
          <w:tcPr>
            <w:tcW w:type="dxa" w:w="151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案件/口岸</w:t>
            </w:r>
          </w:p>
        </w:tc>
        <w:tc>
          <w:tcPr>
            <w:tcW w:type="dxa" w:w="180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主体</w:t>
            </w:r>
          </w:p>
        </w:tc>
        <w:tc>
          <w:tcPr>
            <w:tcW w:type="dxa" w:w="1656"/>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商品与数量</w:t>
            </w:r>
          </w:p>
        </w:tc>
        <w:tc>
          <w:tcPr>
            <w:tcW w:type="dxa" w:w="2088"/>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手法</w:t>
            </w:r>
          </w:p>
        </w:tc>
        <w:tc>
          <w:tcPr>
            <w:tcW w:type="dxa" w:w="252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少缴税种及金额</w:t>
            </w:r>
          </w:p>
        </w:tc>
        <w:tc>
          <w:tcPr>
            <w:tcW w:type="dxa" w:w="108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处罚</w:t>
            </w:r>
          </w:p>
        </w:tc>
      </w:tr>
      <w:tr>
        <w:trPr>
          <w:cantSplit/>
        </w:trPr>
        <w:tc>
          <w:tcPr>
            <w:tcW w:type="dxa" w:w="1512"/>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海沧关缉违字〔2025〕100号</w:t>
              <w:br/>
              <w:t>厦门海沧</w:t>
            </w:r>
          </w:p>
        </w:tc>
        <w:tc>
          <w:tcPr>
            <w:tcW w:type="dxa" w:w="1800"/>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进口人：厦门翔邦高分子科技有限公司</w:t>
              <w:br/>
              <w:t>报关行：厦门诚运通报关行有限公司</w:t>
            </w:r>
          </w:p>
        </w:tc>
        <w:tc>
          <w:tcPr>
            <w:tcW w:type="dxa" w:w="1656"/>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EPDM</w:t>
              <w:br/>
              <w:t>HS 4002701000</w:t>
              <w:br/>
              <w:t>1票；重量未公开</w:t>
              <w:br/>
              <w:t>涉案货值407,077.89元</w:t>
            </w:r>
          </w:p>
        </w:tc>
        <w:tc>
          <w:tcPr>
            <w:tcW w:type="dxa" w:w="2088"/>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未填原生产商中英文名称及反倾销税率</w:t>
            </w:r>
          </w:p>
        </w:tc>
        <w:tc>
          <w:tcPr>
            <w:tcW w:type="dxa" w:w="2520"/>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总漏缴58,663.29元。确定涉及反倾销税；是否及多少为进口增值税差额，决定书未拆分</w:t>
            </w:r>
          </w:p>
        </w:tc>
        <w:tc>
          <w:tcPr>
            <w:tcW w:type="dxa" w:w="1080"/>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罚款17,600元</w:t>
            </w:r>
          </w:p>
        </w:tc>
      </w:tr>
      <w:tr>
        <w:trPr>
          <w:cantSplit/>
        </w:trPr>
        <w:tc>
          <w:tcPr>
            <w:tcW w:type="dxa" w:w="1512"/>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沪吴淞关缉违字〔2024〕15号</w:t>
              <w:br/>
              <w:t>上海吴淞</w:t>
            </w:r>
          </w:p>
        </w:tc>
        <w:tc>
          <w:tcPr>
            <w:tcW w:type="dxa" w:w="1800"/>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上海嘉助贸易有限公司</w:t>
            </w:r>
          </w:p>
        </w:tc>
        <w:tc>
          <w:tcPr>
            <w:tcW w:type="dxa" w:w="1656"/>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印度原产酞菁蓝</w:t>
              <w:br/>
              <w:t>4,000kg</w:t>
              <w:br/>
              <w:t>CIF 68,000美元</w:t>
            </w:r>
          </w:p>
        </w:tc>
        <w:tc>
          <w:tcPr>
            <w:tcW w:type="dxa" w:w="2088"/>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申报3204170090，实际3204170020；应适用30.7%</w:t>
            </w:r>
          </w:p>
        </w:tc>
        <w:tc>
          <w:tcPr>
            <w:tcW w:type="dxa" w:w="2520"/>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反倾销税149,879.24元</w:t>
              <w:br/>
              <w:t>进口增值税19,484.30元</w:t>
              <w:br/>
              <w:t>合计169,363.54元</w:t>
            </w:r>
          </w:p>
        </w:tc>
        <w:tc>
          <w:tcPr>
            <w:tcW w:type="dxa" w:w="1080"/>
            <w:shd w:fill="EEF5FB"/>
            <w:vAlign w:val="center"/>
            <w:tcMar>
              <w:top w:w="70" w:type="dxa"/>
              <w:start w:w="85" w:type="dxa"/>
              <w:bottom w:w="70" w:type="dxa"/>
              <w:end w:w="85" w:type="dxa"/>
            </w:tcMar>
          </w:tcPr>
          <w:p>
            <w:pPr>
              <w:spacing w:after="30" w:line="245" w:lineRule="auto"/>
            </w:pPr>
            <w:r>
              <w:rPr>
                <w:rFonts w:ascii="Arial" w:hAnsi="Arial" w:eastAsia="微软雅黑"/>
                <w:b w:val="0"/>
                <w:sz w:val="15"/>
              </w:rPr>
              <w:t>罚款76,200元</w:t>
            </w:r>
          </w:p>
        </w:tc>
      </w:tr>
      <w:tr>
        <w:trPr>
          <w:cantSplit/>
        </w:trPr>
        <w:tc>
          <w:tcPr>
            <w:tcW w:type="dxa" w:w="1512"/>
            <w:shd w:fill="FCE4D6"/>
            <w:vAlign w:val="center"/>
            <w:tcMar>
              <w:top w:w="70" w:type="dxa"/>
              <w:start w:w="85" w:type="dxa"/>
              <w:bottom w:w="70" w:type="dxa"/>
              <w:end w:w="85" w:type="dxa"/>
            </w:tcMar>
          </w:tcPr>
          <w:p>
            <w:pPr>
              <w:spacing w:after="30" w:line="245" w:lineRule="auto"/>
            </w:pPr>
            <w:r>
              <w:rPr>
                <w:rFonts w:ascii="Arial" w:hAnsi="Arial" w:eastAsia="微软雅黑"/>
                <w:b w:val="0"/>
                <w:sz w:val="15"/>
              </w:rPr>
              <w:t>甬奉关缉违字〔2026〕2号</w:t>
              <w:br/>
              <w:t>宁波奉化</w:t>
            </w:r>
          </w:p>
        </w:tc>
        <w:tc>
          <w:tcPr>
            <w:tcW w:type="dxa" w:w="1800"/>
            <w:shd w:fill="FCE4D6"/>
            <w:vAlign w:val="center"/>
            <w:tcMar>
              <w:top w:w="70" w:type="dxa"/>
              <w:start w:w="85" w:type="dxa"/>
              <w:bottom w:w="70" w:type="dxa"/>
              <w:end w:w="85" w:type="dxa"/>
            </w:tcMar>
          </w:tcPr>
          <w:p>
            <w:pPr>
              <w:spacing w:after="30" w:line="245" w:lineRule="auto"/>
            </w:pPr>
            <w:r>
              <w:rPr>
                <w:rFonts w:ascii="Arial" w:hAnsi="Arial" w:eastAsia="微软雅黑"/>
                <w:b w:val="0"/>
                <w:sz w:val="15"/>
              </w:rPr>
              <w:t>浙江锐泰悬挂系统科技有限公司</w:t>
            </w:r>
          </w:p>
        </w:tc>
        <w:tc>
          <w:tcPr>
            <w:tcW w:type="dxa" w:w="1656"/>
            <w:shd w:fill="FCE4D6"/>
            <w:vAlign w:val="center"/>
            <w:tcMar>
              <w:top w:w="70" w:type="dxa"/>
              <w:start w:w="85" w:type="dxa"/>
              <w:bottom w:w="70" w:type="dxa"/>
              <w:end w:w="85" w:type="dxa"/>
            </w:tcMar>
          </w:tcPr>
          <w:p>
            <w:pPr>
              <w:spacing w:after="30" w:line="245" w:lineRule="auto"/>
            </w:pPr>
            <w:r>
              <w:rPr>
                <w:rFonts w:ascii="Arial" w:hAnsi="Arial" w:eastAsia="微软雅黑"/>
                <w:b w:val="0"/>
                <w:sz w:val="15"/>
              </w:rPr>
              <w:t>KAMAX螺栓</w:t>
              <w:br/>
              <w:t>HS 7318151001</w:t>
              <w:br/>
              <w:t>2票；重量未公开</w:t>
              <w:br/>
              <w:t>计税货值2,389,451.03元</w:t>
            </w:r>
          </w:p>
        </w:tc>
        <w:tc>
          <w:tcPr>
            <w:tcW w:type="dxa" w:w="2088"/>
            <w:shd w:fill="FCE4D6"/>
            <w:vAlign w:val="center"/>
            <w:tcMar>
              <w:top w:w="70" w:type="dxa"/>
              <w:start w:w="85" w:type="dxa"/>
              <w:bottom w:w="70" w:type="dxa"/>
              <w:end w:w="85" w:type="dxa"/>
            </w:tcMar>
          </w:tcPr>
          <w:p>
            <w:pPr>
              <w:spacing w:after="30" w:line="245" w:lineRule="auto"/>
            </w:pPr>
            <w:r>
              <w:rPr>
                <w:rFonts w:ascii="Arial" w:hAnsi="Arial" w:eastAsia="微软雅黑"/>
                <w:b w:val="0"/>
                <w:sz w:val="15"/>
              </w:rPr>
              <w:t>把KAMAX S.L.U报为KAMAX GmbH，税率6.1%而实际26%；EXW错报FOB并漏报费用</w:t>
            </w:r>
          </w:p>
        </w:tc>
        <w:tc>
          <w:tcPr>
            <w:tcW w:type="dxa" w:w="2520"/>
            <w:shd w:fill="FCE4D6"/>
            <w:vAlign w:val="center"/>
            <w:tcMar>
              <w:top w:w="70" w:type="dxa"/>
              <w:start w:w="85" w:type="dxa"/>
              <w:bottom w:w="70" w:type="dxa"/>
              <w:end w:w="85" w:type="dxa"/>
            </w:tcMar>
          </w:tcPr>
          <w:p>
            <w:pPr>
              <w:spacing w:after="30" w:line="245" w:lineRule="auto"/>
            </w:pPr>
            <w:r>
              <w:rPr>
                <w:rFonts w:ascii="Arial" w:hAnsi="Arial" w:eastAsia="微软雅黑"/>
                <w:b w:val="0"/>
                <w:sz w:val="15"/>
              </w:rPr>
              <w:t>总漏缴544,230.77元。涉及反倾销税差额、进口增值税，并可能含运保杂费引起的关税等差额；公开决定未正式拆分</w:t>
            </w:r>
          </w:p>
        </w:tc>
        <w:tc>
          <w:tcPr>
            <w:tcW w:type="dxa" w:w="1080"/>
            <w:shd w:fill="FCE4D6"/>
            <w:vAlign w:val="center"/>
            <w:tcMar>
              <w:top w:w="70" w:type="dxa"/>
              <w:start w:w="85" w:type="dxa"/>
              <w:bottom w:w="70" w:type="dxa"/>
              <w:end w:w="85" w:type="dxa"/>
            </w:tcMar>
          </w:tcPr>
          <w:p>
            <w:pPr>
              <w:spacing w:after="30" w:line="245" w:lineRule="auto"/>
            </w:pPr>
            <w:r>
              <w:rPr>
                <w:rFonts w:ascii="Arial" w:hAnsi="Arial" w:eastAsia="微软雅黑"/>
                <w:b w:val="0"/>
                <w:sz w:val="15"/>
              </w:rPr>
              <w:t>罚款245,000元</w:t>
            </w:r>
          </w:p>
        </w:tc>
      </w:tr>
    </w:tbl>
    <w:p>
      <w:pPr>
        <w:spacing w:before="20" w:after="60"/>
      </w:pPr>
      <w:r>
        <w:rPr>
          <w:rFonts w:ascii="Arial" w:hAnsi="Arial" w:eastAsia="微软雅黑"/>
          <w:b/>
          <w:color w:val="666666"/>
          <w:sz w:val="16"/>
        </w:rPr>
        <w:t>来源：</w:t>
      </w:r>
      <w:hyperlink r:id="rId12">
        <w:r>
          <w:rPr>
            <w:color w:val="0563C1"/>
            <w:u w:val="single"/>
          </w:rPr>
          <w:t>EPDM处罚决定镜像（页面链接至厦门海关原文）</w:t>
        </w:r>
      </w:hyperlink>
    </w:p>
    <w:p>
      <w:pPr>
        <w:spacing w:before="20" w:after="60"/>
      </w:pPr>
      <w:r>
        <w:rPr>
          <w:rFonts w:ascii="Arial" w:hAnsi="Arial" w:eastAsia="微软雅黑"/>
          <w:b/>
          <w:color w:val="666666"/>
          <w:sz w:val="16"/>
        </w:rPr>
        <w:t>来源：</w:t>
      </w:r>
      <w:hyperlink r:id="rId13">
        <w:r>
          <w:rPr>
            <w:color w:val="0563C1"/>
            <w:u w:val="single"/>
          </w:rPr>
          <w:t>上海嘉助披露文件（含吴淞海关处罚明细）</w:t>
        </w:r>
      </w:hyperlink>
    </w:p>
    <w:p>
      <w:pPr>
        <w:spacing w:before="20" w:after="60"/>
      </w:pPr>
      <w:r>
        <w:rPr>
          <w:rFonts w:ascii="Arial" w:hAnsi="Arial" w:eastAsia="微软雅黑"/>
          <w:b/>
          <w:color w:val="666666"/>
          <w:sz w:val="16"/>
        </w:rPr>
        <w:t>来源：</w:t>
      </w:r>
      <w:hyperlink r:id="rId14">
        <w:r>
          <w:rPr>
            <w:color w:val="0563C1"/>
            <w:u w:val="single"/>
          </w:rPr>
          <w:t>KAMAX处罚决定公开转载</w:t>
        </w:r>
      </w:hyperlink>
    </w:p>
    <w:p>
      <w:pPr>
        <w:pStyle w:val="Heading2"/>
      </w:pPr>
      <w:r>
        <w:t>3.1 EPDM案：风险点在生产商字段，不在第三国</w:t>
      </w:r>
    </w:p>
    <w:p>
      <w:r>
        <w:t>该案申报日期为2025年3月12日，报关单号370820251000007917，贸易方式为一般贸易。报关企业未填原生产商中英文名称及对应反倾销税率，导致税款未征。中国对原产于美国、韩国和欧盟的EPDM按生产商实施不同税率；2025年期终复审已继续维持调查期间的措施。易迅以“XIAMEN XIANGBANG+EPDM”检索未命中，说明当前平台字段不足以补出重量或历史提单，不能反向推定没有进口。</w:t>
      </w:r>
    </w:p>
    <w:p>
      <w:pPr>
        <w:spacing w:before="20" w:after="60"/>
      </w:pPr>
      <w:r>
        <w:rPr>
          <w:rFonts w:ascii="Arial" w:hAnsi="Arial" w:eastAsia="微软雅黑"/>
          <w:b/>
          <w:color w:val="666666"/>
          <w:sz w:val="16"/>
        </w:rPr>
        <w:t>来源：</w:t>
      </w:r>
      <w:hyperlink r:id="rId15">
        <w:r>
          <w:rPr>
            <w:color w:val="0563C1"/>
            <w:u w:val="single"/>
          </w:rPr>
          <w:t>商务部2020年第60号公告（EPDM原措施）</w:t>
        </w:r>
      </w:hyperlink>
    </w:p>
    <w:p>
      <w:pPr>
        <w:spacing w:before="20" w:after="60"/>
      </w:pPr>
      <w:r>
        <w:rPr>
          <w:rFonts w:ascii="Arial" w:hAnsi="Arial" w:eastAsia="微软雅黑"/>
          <w:b/>
          <w:color w:val="666666"/>
          <w:sz w:val="16"/>
        </w:rPr>
        <w:t>来源：</w:t>
      </w:r>
      <w:hyperlink r:id="rId16">
        <w:r>
          <w:rPr>
            <w:color w:val="0563C1"/>
            <w:u w:val="single"/>
          </w:rPr>
          <w:t>商务部2025年第81号公告（EPDM期终复审）</w:t>
        </w:r>
      </w:hyperlink>
    </w:p>
    <w:p>
      <w:r>
        <w:br w:type="page"/>
      </w:r>
    </w:p>
    <w:p>
      <w:pPr>
        <w:pStyle w:val="Heading2"/>
      </w:pPr>
      <w:r>
        <w:t>3.2 上海酞菁蓝案：唯一同时公开重量和税种拆分的近年样本</w:t>
      </w:r>
    </w:p>
    <w:p>
      <w:r>
        <w:t>该案最适合用作核税模板：4,000kg、印度原产、申报CIF 68,000美元，税号由3204170090纠正为3204170020，适用“其他印度公司”30.7%反倾销税率。海关明确少缴反倾销税149,879.24元和进口增值税19,484.30元。它证明税号错报可以同时造成反倾销税和进口增值税少缴，但没有第三国环节。</w:t>
      </w:r>
    </w:p>
    <w:p>
      <w:pPr>
        <w:spacing w:before="20" w:after="60"/>
      </w:pPr>
      <w:r>
        <w:rPr>
          <w:rFonts w:ascii="Arial" w:hAnsi="Arial" w:eastAsia="微软雅黑"/>
          <w:b/>
          <w:color w:val="666666"/>
          <w:sz w:val="16"/>
        </w:rPr>
        <w:t>来源：</w:t>
      </w:r>
      <w:hyperlink r:id="rId17">
        <w:r>
          <w:rPr>
            <w:color w:val="0563C1"/>
            <w:u w:val="single"/>
          </w:rPr>
          <w:t>商务部公告2023年第8号（印度酞菁类颜料）</w:t>
        </w:r>
      </w:hyperlink>
    </w:p>
    <w:p>
      <w:pPr>
        <w:pStyle w:val="Heading2"/>
      </w:pPr>
      <w:r>
        <w:t>3.3 KAMAX案：生产商错报与完税价格低报叠加</w:t>
      </w:r>
    </w:p>
    <w:p>
      <w:r>
        <w:t>两票报关单号分别为223320251000431866（2025-05-15）和310120251019948113（2025-07-23）。处罚认定实际生产商为西班牙KAMAX S.L.U，税率26%，而申报为德国KAMAX GmbH &amp; Co.KG并套用6.1%。同时，实际成交方式为EXW，却申报FOB，漏报1,900欧元和1,155美元费用。仅以2,389,451.03元计税货值和19.9个百分点税率差测算，反倾销税差约475,500.75元、对应进口增值税增量约61,815.10元，合计537,315.85元；与海关认定总漏税544,230.77元相差6,914.92元，差额可能来自漏报费用等，不能把模型拆分当作正式认定。</w:t>
      </w:r>
    </w:p>
    <w:p>
      <w:r>
        <w:br w:type="page"/>
      </w:r>
    </w:p>
    <w:p>
      <w:pPr>
        <w:pStyle w:val="Heading1"/>
      </w:pPr>
      <w:r>
        <w:t>四、第三国绕道线索一：POM / HOSTAFORM LW15EWX</w:t>
      </w:r>
    </w:p>
    <w:tbl>
      <w:tblPr>
        <w:tblW w:type="auto" w:w="0"/>
        <w:jc w:val="center"/>
        <w:tblLook w:firstColumn="1" w:firstRow="1" w:lastColumn="0" w:lastRow="0" w:noHBand="0" w:noVBand="1" w:val="04A0"/>
      </w:tblPr>
      <w:tblGrid>
        <w:gridCol w:w="9547"/>
      </w:tblGrid>
      <w:tr>
        <w:tc>
          <w:tcPr>
            <w:tcW w:type="dxa" w:w="9547"/>
            <w:shd w:fill="F4CCCC"/>
            <w:tcMar>
              <w:top w:w="110" w:type="dxa"/>
              <w:start w:w="130" w:type="dxa"/>
              <w:bottom w:w="110" w:type="dxa"/>
              <w:end w:w="130" w:type="dxa"/>
            </w:tcMar>
          </w:tcPr>
          <w:p>
            <w:pPr>
              <w:spacing w:after="0"/>
            </w:pPr>
            <w:r>
              <w:rPr>
                <w:rFonts w:ascii="Arial" w:hAnsi="Arial" w:eastAsia="微软雅黑"/>
                <w:b/>
                <w:color w:val="9C0006"/>
                <w:sz w:val="21"/>
              </w:rPr>
              <w:t>判定：</w:t>
            </w:r>
            <w:r>
              <w:rPr>
                <w:rFonts w:ascii="Arial" w:hAnsi="Arial" w:eastAsia="微软雅黑"/>
                <w:b w:val="0"/>
                <w:color w:val="9C0006"/>
                <w:sz w:val="21"/>
              </w:rPr>
              <w:t>这是目前最具体的第三国核查线索，但数量仅25kg。风险不在‘从越南发货’本身，而在同一条对华记录中结构化原产地字段为Vietnam、商品描述却写有“#&amp;DE”，两字段指向不同原产地。</w:t>
            </w:r>
          </w:p>
        </w:tc>
      </w:tr>
    </w:tbl>
    <w:p>
      <w:pPr>
        <w:spacing w:after="0"/>
      </w:pPr>
    </w:p>
    <w:tbl>
      <w:tblPr>
        <w:tblW w:type="auto" w:w="0"/>
        <w:jc w:val="center"/>
        <w:tblLayout w:type="fixed"/>
        <w:tblLook w:firstColumn="1" w:firstRow="1" w:lastColumn="0" w:lastRow="0" w:noHBand="0" w:noVBand="1" w:val="04A0"/>
      </w:tblPr>
      <w:tblGrid>
        <w:gridCol w:w="1591"/>
        <w:gridCol w:w="1591"/>
        <w:gridCol w:w="1591"/>
        <w:gridCol w:w="1591"/>
        <w:gridCol w:w="1591"/>
        <w:gridCol w:w="1591"/>
      </w:tblGrid>
      <w:tr>
        <w:trPr>
          <w:cantSplit/>
          <w:tblHeader w:val="true"/>
        </w:trPr>
        <w:tc>
          <w:tcPr>
            <w:tcW w:type="dxa" w:w="936"/>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环节</w:t>
            </w:r>
          </w:p>
        </w:tc>
        <w:tc>
          <w:tcPr>
            <w:tcW w:type="dxa" w:w="115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日期</w:t>
            </w:r>
          </w:p>
        </w:tc>
        <w:tc>
          <w:tcPr>
            <w:tcW w:type="dxa" w:w="3096"/>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交易主体</w:t>
            </w:r>
          </w:p>
        </w:tc>
        <w:tc>
          <w:tcPr>
            <w:tcW w:type="dxa" w:w="223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商品</w:t>
            </w:r>
          </w:p>
        </w:tc>
        <w:tc>
          <w:tcPr>
            <w:tcW w:type="dxa" w:w="79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数量</w:t>
            </w:r>
          </w:p>
        </w:tc>
        <w:tc>
          <w:tcPr>
            <w:tcW w:type="dxa" w:w="144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原产地信号</w:t>
            </w:r>
          </w:p>
        </w:tc>
      </w:tr>
      <w:tr>
        <w:trPr>
          <w:cantSplit/>
        </w:trPr>
        <w:tc>
          <w:tcPr>
            <w:tcW w:type="dxa" w:w="936"/>
            <w:vAlign w:val="center"/>
            <w:tcMar>
              <w:top w:w="70" w:type="dxa"/>
              <w:start w:w="85" w:type="dxa"/>
              <w:bottom w:w="70" w:type="dxa"/>
              <w:end w:w="85" w:type="dxa"/>
            </w:tcMar>
          </w:tcPr>
          <w:p>
            <w:pPr>
              <w:spacing w:after="30" w:line="245" w:lineRule="auto"/>
            </w:pPr>
            <w:r>
              <w:rPr>
                <w:rFonts w:ascii="Arial" w:hAnsi="Arial" w:eastAsia="微软雅黑"/>
                <w:b w:val="0"/>
                <w:sz w:val="15"/>
              </w:rPr>
              <w:t>第一程</w:t>
            </w:r>
          </w:p>
        </w:tc>
        <w:tc>
          <w:tcPr>
            <w:tcW w:type="dxa" w:w="1152"/>
            <w:vAlign w:val="center"/>
            <w:tcMar>
              <w:top w:w="70" w:type="dxa"/>
              <w:start w:w="85" w:type="dxa"/>
              <w:bottom w:w="70" w:type="dxa"/>
              <w:end w:w="85" w:type="dxa"/>
            </w:tcMar>
          </w:tcPr>
          <w:p>
            <w:pPr>
              <w:spacing w:after="30" w:line="245" w:lineRule="auto"/>
            </w:pPr>
            <w:r>
              <w:rPr>
                <w:rFonts w:ascii="Arial" w:hAnsi="Arial" w:eastAsia="微软雅黑"/>
                <w:b w:val="0"/>
                <w:sz w:val="15"/>
              </w:rPr>
              <w:t>2025-10-07</w:t>
            </w:r>
          </w:p>
        </w:tc>
        <w:tc>
          <w:tcPr>
            <w:tcW w:type="dxa" w:w="3096"/>
            <w:vAlign w:val="center"/>
            <w:tcMar>
              <w:top w:w="70" w:type="dxa"/>
              <w:start w:w="85" w:type="dxa"/>
              <w:bottom w:w="70" w:type="dxa"/>
              <w:end w:w="85" w:type="dxa"/>
            </w:tcMar>
          </w:tcPr>
          <w:p>
            <w:pPr>
              <w:spacing w:after="30" w:line="245" w:lineRule="auto"/>
            </w:pPr>
            <w:r>
              <w:rPr>
                <w:rFonts w:ascii="Arial" w:hAnsi="Arial" w:eastAsia="微软雅黑"/>
                <w:b w:val="0"/>
                <w:sz w:val="15"/>
              </w:rPr>
              <w:t>卖方：Celanese Performance Solutions Switzerland SARL</w:t>
              <w:br/>
              <w:t>买方：CÔNG TY TNHH BỒ CÔNG ANH SÀI GÒN</w:t>
            </w:r>
          </w:p>
        </w:tc>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5"/>
              </w:rPr>
              <w:t>HOSTAFORM LW15EWX NATURAL</w:t>
              <w:br/>
              <w:t>25kg/袋</w:t>
            </w:r>
          </w:p>
        </w:tc>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5"/>
              </w:rPr>
              <w:t>1,000kg</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Germany</w:t>
            </w:r>
          </w:p>
        </w:tc>
      </w:tr>
      <w:tr>
        <w:trPr>
          <w:cantSplit/>
        </w:trPr>
        <w:tc>
          <w:tcPr>
            <w:tcW w:type="dxa" w:w="936"/>
            <w:shd w:fill="F4CCCC"/>
            <w:vAlign w:val="center"/>
            <w:tcMar>
              <w:top w:w="70" w:type="dxa"/>
              <w:start w:w="85" w:type="dxa"/>
              <w:bottom w:w="70" w:type="dxa"/>
              <w:end w:w="85" w:type="dxa"/>
            </w:tcMar>
          </w:tcPr>
          <w:p>
            <w:pPr>
              <w:spacing w:after="30" w:line="245" w:lineRule="auto"/>
            </w:pPr>
            <w:r>
              <w:rPr>
                <w:rFonts w:ascii="Arial" w:hAnsi="Arial" w:eastAsia="微软雅黑"/>
                <w:b w:val="0"/>
                <w:sz w:val="15"/>
              </w:rPr>
              <w:t>第二程</w:t>
            </w:r>
          </w:p>
        </w:tc>
        <w:tc>
          <w:tcPr>
            <w:tcW w:type="dxa" w:w="1152"/>
            <w:shd w:fill="F4CCCC"/>
            <w:vAlign w:val="center"/>
            <w:tcMar>
              <w:top w:w="70" w:type="dxa"/>
              <w:start w:w="85" w:type="dxa"/>
              <w:bottom w:w="70" w:type="dxa"/>
              <w:end w:w="85" w:type="dxa"/>
            </w:tcMar>
          </w:tcPr>
          <w:p>
            <w:pPr>
              <w:spacing w:after="30" w:line="245" w:lineRule="auto"/>
            </w:pPr>
            <w:r>
              <w:rPr>
                <w:rFonts w:ascii="Arial" w:hAnsi="Arial" w:eastAsia="微软雅黑"/>
                <w:b w:val="0"/>
                <w:sz w:val="15"/>
              </w:rPr>
              <w:t>2026-05-26</w:t>
            </w:r>
          </w:p>
        </w:tc>
        <w:tc>
          <w:tcPr>
            <w:tcW w:type="dxa" w:w="3096"/>
            <w:shd w:fill="F4CCCC"/>
            <w:vAlign w:val="center"/>
            <w:tcMar>
              <w:top w:w="70" w:type="dxa"/>
              <w:start w:w="85" w:type="dxa"/>
              <w:bottom w:w="70" w:type="dxa"/>
              <w:end w:w="85" w:type="dxa"/>
            </w:tcMar>
          </w:tcPr>
          <w:p>
            <w:pPr>
              <w:spacing w:after="30" w:line="245" w:lineRule="auto"/>
            </w:pPr>
            <w:r>
              <w:rPr>
                <w:rFonts w:ascii="Arial" w:hAnsi="Arial" w:eastAsia="微软雅黑"/>
                <w:b w:val="0"/>
                <w:sz w:val="15"/>
              </w:rPr>
              <w:t>卖方：CÔNG TY TNHH HAMAKYU</w:t>
              <w:br/>
              <w:t>买方：SHANGHAI HENGJIU HUNDRED TRANSMISSION CO., LTD</w:t>
            </w:r>
          </w:p>
        </w:tc>
        <w:tc>
          <w:tcPr>
            <w:tcW w:type="dxa" w:w="2232"/>
            <w:shd w:fill="F4CCCC"/>
            <w:vAlign w:val="center"/>
            <w:tcMar>
              <w:top w:w="70" w:type="dxa"/>
              <w:start w:w="85" w:type="dxa"/>
              <w:bottom w:w="70" w:type="dxa"/>
              <w:end w:w="85" w:type="dxa"/>
            </w:tcMar>
          </w:tcPr>
          <w:p>
            <w:pPr>
              <w:spacing w:after="30" w:line="245" w:lineRule="auto"/>
            </w:pPr>
            <w:r>
              <w:rPr>
                <w:rFonts w:ascii="Arial" w:hAnsi="Arial" w:eastAsia="微软雅黑"/>
                <w:b w:val="0"/>
                <w:sz w:val="15"/>
              </w:rPr>
              <w:t>HOSTAFORM LW15EWX，Celanese</w:t>
            </w:r>
          </w:p>
        </w:tc>
        <w:tc>
          <w:tcPr>
            <w:tcW w:type="dxa" w:w="792"/>
            <w:shd w:fill="F4CCCC"/>
            <w:vAlign w:val="center"/>
            <w:tcMar>
              <w:top w:w="70" w:type="dxa"/>
              <w:start w:w="85" w:type="dxa"/>
              <w:bottom w:w="70" w:type="dxa"/>
              <w:end w:w="85" w:type="dxa"/>
            </w:tcMar>
          </w:tcPr>
          <w:p>
            <w:pPr>
              <w:spacing w:after="30" w:line="245" w:lineRule="auto"/>
            </w:pPr>
            <w:r>
              <w:rPr>
                <w:rFonts w:ascii="Arial" w:hAnsi="Arial" w:eastAsia="微软雅黑"/>
                <w:b w:val="0"/>
                <w:sz w:val="15"/>
              </w:rPr>
              <w:t>25kg</w:t>
            </w:r>
          </w:p>
        </w:tc>
        <w:tc>
          <w:tcPr>
            <w:tcW w:type="dxa" w:w="1440"/>
            <w:shd w:fill="F4CCCC"/>
            <w:vAlign w:val="center"/>
            <w:tcMar>
              <w:top w:w="70" w:type="dxa"/>
              <w:start w:w="85" w:type="dxa"/>
              <w:bottom w:w="70" w:type="dxa"/>
              <w:end w:w="85" w:type="dxa"/>
            </w:tcMar>
          </w:tcPr>
          <w:p>
            <w:pPr>
              <w:spacing w:after="30" w:line="245" w:lineRule="auto"/>
            </w:pPr>
            <w:r>
              <w:rPr>
                <w:rFonts w:ascii="Arial" w:hAnsi="Arial" w:eastAsia="微软雅黑"/>
                <w:b w:val="0"/>
                <w:sz w:val="15"/>
              </w:rPr>
              <w:t>平台字段Vietnam；货描#&amp;DE</w:t>
            </w:r>
          </w:p>
        </w:tc>
      </w:tr>
      <w:tr>
        <w:trPr>
          <w:cantSplit/>
        </w:trPr>
        <w:tc>
          <w:tcPr>
            <w:tcW w:type="dxa" w:w="936"/>
            <w:vAlign w:val="center"/>
            <w:tcMar>
              <w:top w:w="70" w:type="dxa"/>
              <w:start w:w="85" w:type="dxa"/>
              <w:bottom w:w="70" w:type="dxa"/>
              <w:end w:w="85" w:type="dxa"/>
            </w:tcMar>
          </w:tcPr>
          <w:p>
            <w:pPr>
              <w:spacing w:after="30" w:line="245" w:lineRule="auto"/>
            </w:pPr>
            <w:r>
              <w:rPr>
                <w:rFonts w:ascii="Arial" w:hAnsi="Arial" w:eastAsia="微软雅黑"/>
                <w:b w:val="0"/>
                <w:sz w:val="15"/>
              </w:rPr>
              <w:t>同票配料</w:t>
            </w:r>
          </w:p>
        </w:tc>
        <w:tc>
          <w:tcPr>
            <w:tcW w:type="dxa" w:w="1152"/>
            <w:vAlign w:val="center"/>
            <w:tcMar>
              <w:top w:w="70" w:type="dxa"/>
              <w:start w:w="85" w:type="dxa"/>
              <w:bottom w:w="70" w:type="dxa"/>
              <w:end w:w="85" w:type="dxa"/>
            </w:tcMar>
          </w:tcPr>
          <w:p>
            <w:pPr>
              <w:spacing w:after="30" w:line="245" w:lineRule="auto"/>
            </w:pPr>
            <w:r>
              <w:rPr>
                <w:rFonts w:ascii="Arial" w:hAnsi="Arial" w:eastAsia="微软雅黑"/>
                <w:b w:val="0"/>
                <w:sz w:val="15"/>
              </w:rPr>
              <w:t>2026-05-26</w:t>
            </w:r>
          </w:p>
        </w:tc>
        <w:tc>
          <w:tcPr>
            <w:tcW w:type="dxa" w:w="3096"/>
            <w:vAlign w:val="center"/>
            <w:tcMar>
              <w:top w:w="70" w:type="dxa"/>
              <w:start w:w="85" w:type="dxa"/>
              <w:bottom w:w="70" w:type="dxa"/>
              <w:end w:w="85" w:type="dxa"/>
            </w:tcMar>
          </w:tcPr>
          <w:p>
            <w:pPr>
              <w:spacing w:after="30" w:line="245" w:lineRule="auto"/>
            </w:pPr>
            <w:r>
              <w:rPr>
                <w:rFonts w:ascii="Arial" w:hAnsi="Arial" w:eastAsia="微软雅黑"/>
                <w:b w:val="0"/>
                <w:sz w:val="15"/>
              </w:rPr>
              <w:t>同上</w:t>
            </w:r>
          </w:p>
        </w:tc>
        <w:tc>
          <w:tcPr>
            <w:tcW w:type="dxa" w:w="2232"/>
            <w:vAlign w:val="center"/>
            <w:tcMar>
              <w:top w:w="70" w:type="dxa"/>
              <w:start w:w="85" w:type="dxa"/>
              <w:bottom w:w="70" w:type="dxa"/>
              <w:end w:w="85" w:type="dxa"/>
            </w:tcMar>
          </w:tcPr>
          <w:p>
            <w:pPr>
              <w:spacing w:after="30" w:line="245" w:lineRule="auto"/>
            </w:pPr>
            <w:r>
              <w:rPr>
                <w:rFonts w:ascii="Arial" w:hAnsi="Arial" w:eastAsia="微软雅黑"/>
                <w:b w:val="0"/>
                <w:sz w:val="15"/>
              </w:rPr>
              <w:t>用于按2%比例混合的浅蓝色母粒</w:t>
            </w:r>
          </w:p>
        </w:tc>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5"/>
              </w:rPr>
              <w:t>2kg</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#&amp;VN</w:t>
            </w:r>
          </w:p>
        </w:tc>
      </w:tr>
    </w:tbl>
    <w:p>
      <w:r>
        <w:rPr>
          <w:b/>
        </w:rPr>
        <w:t>涉及数量：</w:t>
      </w:r>
      <w:r>
        <w:t>第二程对华POM为25kg；同票越南色母粒2kg。第一程德国原产同型号为1,000kg、25kg/袋。25kg等于一袋包装，是可衔接信号，但并非批次闭环。</w:t>
      </w:r>
    </w:p>
    <w:p>
      <w:r>
        <w:rPr>
          <w:b/>
        </w:rPr>
        <w:t>可能少缴税种：</w:t>
      </w:r>
      <w:r>
        <w:t>如中国进口申报采用越南原产，而经核查该货物实际仍为德国Celanese原产、属于涉案共聚POM且越南未发生足以改变原产地的实质性加工，则可能少缴34.5%反倾销税以及反倾销税对应的进口增值税增量。</w:t>
      </w:r>
    </w:p>
    <w:p>
      <w:r>
        <w:rPr>
          <w:b/>
        </w:rPr>
        <w:t>理论金额：</w:t>
      </w:r>
      <w:r>
        <w:t>以平台金额字段VND 4,774,382.50为基数，理论反倾销税VND 1,647,161.96、进口增值税增量VND 214,131.06、合计VND 1,861,293.02。该金额是越南数据字段的情景测算，不是中国海关认定税额，也不能直接换算为人民币案值。</w:t>
      </w:r>
    </w:p>
    <w:p>
      <w:r>
        <w:rPr>
          <w:b/>
        </w:rPr>
        <w:t>当前不能定案的原因：</w:t>
      </w:r>
      <w:r>
        <w:t>第一程和第二程的越南企业不同；没有提单号、箱号、批次号、原产地证及中国进口申报字段；25kg亦可能是样品、合法转售或经实际加工后的货物。必须确认平台的“Vietnam”是否等同中国进口报关原产国，而不是平台自身映射。</w:t>
      </w:r>
    </w:p>
    <w:p>
      <w:pPr>
        <w:spacing w:before="20" w:after="60"/>
      </w:pPr>
      <w:r>
        <w:rPr>
          <w:rFonts w:ascii="Arial" w:hAnsi="Arial" w:eastAsia="微软雅黑"/>
          <w:b/>
          <w:color w:val="666666"/>
          <w:sz w:val="16"/>
        </w:rPr>
        <w:t>来源：</w:t>
      </w:r>
      <w:hyperlink r:id="rId11">
        <w:r>
          <w:rPr>
            <w:color w:val="0563C1"/>
            <w:u w:val="single"/>
          </w:rPr>
          <w:t>商务部公告2025年第25号（共聚POM范围及德国Celanese 34.5%）</w:t>
        </w:r>
      </w:hyperlink>
    </w:p>
    <w:p>
      <w:r>
        <w:br w:type="page"/>
      </w:r>
    </w:p>
    <w:p>
      <w:pPr>
        <w:pStyle w:val="Heading1"/>
      </w:pPr>
      <w:r>
        <w:t>五、第三国绕道线索二：印度酞菁蓝—越南—中国</w:t>
      </w:r>
    </w:p>
    <w:tbl>
      <w:tblPr>
        <w:tblW w:type="auto" w:w="0"/>
        <w:jc w:val="center"/>
        <w:tblLook w:firstColumn="1" w:firstRow="1" w:lastColumn="0" w:lastRow="0" w:noHBand="0" w:noVBand="1" w:val="04A0"/>
      </w:tblPr>
      <w:tblGrid>
        <w:gridCol w:w="9547"/>
      </w:tblGrid>
      <w:tr>
        <w:tc>
          <w:tcPr>
            <w:tcW w:type="dxa" w:w="9547"/>
            <w:shd w:fill="FCE4D6"/>
            <w:tcMar>
              <w:top w:w="110" w:type="dxa"/>
              <w:start w:w="130" w:type="dxa"/>
              <w:bottom w:w="110" w:type="dxa"/>
              <w:end w:w="130" w:type="dxa"/>
            </w:tcMar>
          </w:tcPr>
          <w:p>
            <w:pPr>
              <w:spacing w:after="0"/>
            </w:pPr>
            <w:r>
              <w:rPr>
                <w:rFonts w:ascii="Arial" w:hAnsi="Arial" w:eastAsia="微软雅黑"/>
                <w:b/>
                <w:color w:val="9C5700"/>
                <w:sz w:val="21"/>
              </w:rPr>
              <w:t>判定：</w:t>
            </w:r>
            <w:r>
              <w:rPr>
                <w:rFonts w:ascii="Arial" w:hAnsi="Arial" w:eastAsia="微软雅黑"/>
                <w:b w:val="0"/>
                <w:color w:val="9C5700"/>
                <w:sz w:val="21"/>
              </w:rPr>
              <w:t>这是大体量路线级风险池，不是已认定逃税数量。两程品类和CAS相近，但尚未找到同一越南企业既接收印度来料又向中国发出同型号货物的闭环。</w:t>
            </w:r>
          </w:p>
        </w:tc>
      </w:tr>
    </w:tbl>
    <w:p>
      <w:pPr>
        <w:spacing w:after="0"/>
      </w:pPr>
    </w:p>
    <w:tbl>
      <w:tblPr>
        <w:tblW w:type="auto" w:w="0"/>
        <w:jc w:val="center"/>
        <w:tblLayout w:type="fixed"/>
        <w:tblLook w:firstColumn="1" w:firstRow="1" w:lastColumn="0" w:lastRow="0" w:noHBand="0" w:noVBand="1" w:val="04A0"/>
      </w:tblPr>
      <w:tblGrid>
        <w:gridCol w:w="1909"/>
        <w:gridCol w:w="1909"/>
        <w:gridCol w:w="1909"/>
        <w:gridCol w:w="1909"/>
        <w:gridCol w:w="1909"/>
      </w:tblGrid>
      <w:tr>
        <w:trPr>
          <w:cantSplit/>
          <w:tblHeader w:val="true"/>
        </w:trPr>
        <w:tc>
          <w:tcPr>
            <w:tcW w:type="dxa" w:w="122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方向</w:t>
            </w:r>
          </w:p>
        </w:tc>
        <w:tc>
          <w:tcPr>
            <w:tcW w:type="dxa" w:w="1008"/>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检索结果</w:t>
            </w:r>
          </w:p>
        </w:tc>
        <w:tc>
          <w:tcPr>
            <w:tcW w:type="dxa" w:w="288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代表性主体</w:t>
            </w:r>
          </w:p>
        </w:tc>
        <w:tc>
          <w:tcPr>
            <w:tcW w:type="dxa" w:w="252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商品/数量</w:t>
            </w:r>
          </w:p>
        </w:tc>
        <w:tc>
          <w:tcPr>
            <w:tcW w:type="dxa" w:w="230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证据意义</w:t>
            </w:r>
          </w:p>
        </w:tc>
      </w:tr>
      <w:tr>
        <w:trPr>
          <w:cantSplit/>
        </w:trPr>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6"/>
              </w:rPr>
              <w:t>印度→越南</w:t>
            </w:r>
          </w:p>
        </w:tc>
        <w:tc>
          <w:tcPr>
            <w:tcW w:type="dxa" w:w="1008"/>
            <w:vAlign w:val="center"/>
            <w:tcMar>
              <w:top w:w="70" w:type="dxa"/>
              <w:start w:w="85" w:type="dxa"/>
              <w:bottom w:w="70" w:type="dxa"/>
              <w:end w:w="85" w:type="dxa"/>
            </w:tcMar>
          </w:tcPr>
          <w:p>
            <w:pPr>
              <w:spacing w:after="30" w:line="245" w:lineRule="auto"/>
            </w:pPr>
            <w:r>
              <w:rPr>
                <w:rFonts w:ascii="Arial" w:hAnsi="Arial" w:eastAsia="微软雅黑"/>
                <w:b w:val="0"/>
                <w:sz w:val="16"/>
              </w:rPr>
              <w:t>490条</w:t>
            </w:r>
          </w:p>
        </w:tc>
        <w:tc>
          <w:tcPr>
            <w:tcW w:type="dxa" w:w="2880"/>
            <w:vAlign w:val="center"/>
            <w:tcMar>
              <w:top w:w="70" w:type="dxa"/>
              <w:start w:w="85" w:type="dxa"/>
              <w:bottom w:w="70" w:type="dxa"/>
              <w:end w:w="85" w:type="dxa"/>
            </w:tcMar>
          </w:tcPr>
          <w:p>
            <w:pPr>
              <w:spacing w:after="30" w:line="245" w:lineRule="auto"/>
            </w:pPr>
            <w:r>
              <w:rPr>
                <w:rFonts w:ascii="Arial" w:hAnsi="Arial" w:eastAsia="微软雅黑"/>
                <w:b w:val="0"/>
                <w:sz w:val="16"/>
              </w:rPr>
              <w:t>KILBURN CHEMICALS BHARUCH→U.C.C越南；Indian Chemical Industries→Brenntag Vietnam</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6"/>
              </w:rPr>
              <w:t>MEGHAFAST BLUE、OCTAFINE BLUE；CAS147-14-8；单日多批720–2,520kg</w:t>
            </w:r>
          </w:p>
        </w:tc>
        <w:tc>
          <w:tcPr>
            <w:tcW w:type="dxa" w:w="2304"/>
            <w:vAlign w:val="center"/>
            <w:tcMar>
              <w:top w:w="70" w:type="dxa"/>
              <w:start w:w="85" w:type="dxa"/>
              <w:bottom w:w="70" w:type="dxa"/>
              <w:end w:w="85" w:type="dxa"/>
            </w:tcMar>
          </w:tcPr>
          <w:p>
            <w:pPr>
              <w:spacing w:after="30" w:line="245" w:lineRule="auto"/>
            </w:pPr>
            <w:r>
              <w:rPr>
                <w:rFonts w:ascii="Arial" w:hAnsi="Arial" w:eastAsia="微软雅黑"/>
                <w:b w:val="0"/>
                <w:sz w:val="16"/>
              </w:rPr>
              <w:t>证明印度酞菁蓝持续进入越南，但代表主体与第二程未闭合</w:t>
            </w:r>
          </w:p>
        </w:tc>
      </w:tr>
      <w:tr>
        <w:trPr>
          <w:cantSplit/>
        </w:trPr>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6"/>
              </w:rPr>
              <w:t>越南→中国</w:t>
            </w:r>
          </w:p>
        </w:tc>
        <w:tc>
          <w:tcPr>
            <w:tcW w:type="dxa" w:w="1008"/>
            <w:vAlign w:val="center"/>
            <w:tcMar>
              <w:top w:w="70" w:type="dxa"/>
              <w:start w:w="85" w:type="dxa"/>
              <w:bottom w:w="70" w:type="dxa"/>
              <w:end w:w="85" w:type="dxa"/>
            </w:tcMar>
          </w:tcPr>
          <w:p>
            <w:pPr>
              <w:spacing w:after="30" w:line="245" w:lineRule="auto"/>
            </w:pPr>
            <w:r>
              <w:rPr>
                <w:rFonts w:ascii="Arial" w:hAnsi="Arial" w:eastAsia="微软雅黑"/>
                <w:b w:val="0"/>
                <w:sz w:val="16"/>
              </w:rPr>
              <w:t>35票</w:t>
            </w:r>
          </w:p>
        </w:tc>
        <w:tc>
          <w:tcPr>
            <w:tcW w:type="dxa" w:w="2880"/>
            <w:vAlign w:val="center"/>
            <w:tcMar>
              <w:top w:w="70" w:type="dxa"/>
              <w:start w:w="85" w:type="dxa"/>
              <w:bottom w:w="70" w:type="dxa"/>
              <w:end w:w="85" w:type="dxa"/>
            </w:tcMar>
          </w:tcPr>
          <w:p>
            <w:pPr>
              <w:spacing w:after="30" w:line="245" w:lineRule="auto"/>
            </w:pPr>
            <w:r>
              <w:rPr>
                <w:rFonts w:ascii="Arial" w:hAnsi="Arial" w:eastAsia="微软雅黑"/>
                <w:b w:val="0"/>
                <w:sz w:val="16"/>
              </w:rPr>
              <w:t>YICAI COLOR PLASTIC / Vĩnh Gia→HUNAN YIGAO、DONGGUAN CHENGHAN等</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6"/>
              </w:rPr>
              <w:t>PIGMENT BLUE 150030；25kg/包；35票合计738,620kg；常见24,000kg/票</w:t>
            </w:r>
          </w:p>
        </w:tc>
        <w:tc>
          <w:tcPr>
            <w:tcW w:type="dxa" w:w="2304"/>
            <w:vAlign w:val="center"/>
            <w:tcMar>
              <w:top w:w="70" w:type="dxa"/>
              <w:start w:w="85" w:type="dxa"/>
              <w:bottom w:w="70" w:type="dxa"/>
              <w:end w:w="85" w:type="dxa"/>
            </w:tcMar>
          </w:tcPr>
          <w:p>
            <w:pPr>
              <w:spacing w:after="30" w:line="245" w:lineRule="auto"/>
            </w:pPr>
            <w:r>
              <w:rPr>
                <w:rFonts w:ascii="Arial" w:hAnsi="Arial" w:eastAsia="微软雅黑"/>
                <w:b w:val="0"/>
                <w:sz w:val="16"/>
              </w:rPr>
              <w:t>大体量对华流向，记录均标#&amp;VN；需验证越南原产形成过程</w:t>
            </w:r>
          </w:p>
        </w:tc>
      </w:tr>
    </w:tbl>
    <w:p>
      <w:r>
        <w:rPr>
          <w:b/>
        </w:rPr>
        <w:t>涉及数量：</w:t>
      </w:r>
      <w:r>
        <w:t>越南对华35票合计738,620kg（738.62吨）；平台金额字段合计VND 98,781,668,980。印度对越南的490条是检索结果数量，未全部纳入吨数汇总，避免把不同口径相加。</w:t>
      </w:r>
    </w:p>
    <w:p>
      <w:r>
        <w:rPr>
          <w:b/>
        </w:rPr>
        <w:t>可能少缴税种：</w:t>
      </w:r>
      <w:r>
        <w:t>如果逐票原产地核查认定这些货物实际仍为印度原产、产品仍在商务部酞菁类颜料措施范围，且生产商无法适用列名低税率，则可能少缴30.7%反倾销税及相应进口增值税。若越南发生了足以改变原产地的实质性加工，则不能因印度来料而当然认定规避。</w:t>
      </w:r>
    </w:p>
    <w:p>
      <w:r>
        <w:rPr>
          <w:b/>
        </w:rPr>
        <w:t>全量极端情景：</w:t>
      </w:r>
      <w:r>
        <w:t>以VND 98,781,668,980全部按30.7%假设，理论反倾销税VND 30,325,972,376.86、进口增值税增量VND 3,942,376,408.99、合计VND 34,268,348,785.85。该数只用于排序调证资源，不是认定税额。</w:t>
      </w:r>
    </w:p>
    <w:p>
      <w:r>
        <w:rPr>
          <w:b/>
        </w:rPr>
        <w:t>产品范围提醒：</w:t>
      </w:r>
      <w:r>
        <w:t>对华货描含“Acid stearic Phthalocyanine Crude”等成分表述。需通过配方、实验室检测及税则归类确认其是否仍属于无论是否精制/颜料化的涉案酞菁类颜料，不能只凭CAS号下结论。</w:t>
      </w:r>
    </w:p>
    <w:p>
      <w:pPr>
        <w:spacing w:before="20" w:after="60"/>
      </w:pPr>
      <w:r>
        <w:rPr>
          <w:rFonts w:ascii="Arial" w:hAnsi="Arial" w:eastAsia="微软雅黑"/>
          <w:b/>
          <w:color w:val="666666"/>
          <w:sz w:val="16"/>
        </w:rPr>
        <w:t>来源：</w:t>
      </w:r>
      <w:hyperlink r:id="rId17">
        <w:r>
          <w:rPr>
            <w:color w:val="0563C1"/>
            <w:u w:val="single"/>
          </w:rPr>
          <w:t>商务部公告2023年第8号（印度酞菁类颜料）</w:t>
        </w:r>
      </w:hyperlink>
    </w:p>
    <w:p>
      <w:r>
        <w:br w:type="page"/>
      </w:r>
    </w:p>
    <w:p>
      <w:pPr>
        <w:pStyle w:val="Heading1"/>
      </w:pPr>
      <w:r>
        <w:t>六、直接税率执行风险：印度氯氰菊酯</w:t>
      </w:r>
    </w:p>
    <w:p>
      <w:r>
        <w:t>商务部自2025年5月7日起对原产于印度的氯氰菊酯实施最终反倾销措施，税率48.4%—166.2%；海关执行商品编号为2926909013，涉及CAS 52315-07-8、67375-30-8和1315501-18-8。易迅记录显示，措施后列名生产商仍直接向中国发货。直接发运本身合法，关键在进口申报是否如实列明CAS、生产商并缴纳相应反倾销税。</w:t>
      </w:r>
    </w:p>
    <w:p>
      <w:pPr>
        <w:spacing w:before="20" w:after="60"/>
      </w:pPr>
      <w:r>
        <w:rPr>
          <w:rFonts w:ascii="Arial" w:hAnsi="Arial" w:eastAsia="微软雅黑"/>
          <w:b/>
          <w:color w:val="666666"/>
          <w:sz w:val="16"/>
        </w:rPr>
        <w:t>来源：</w:t>
      </w:r>
      <w:hyperlink r:id="rId18">
        <w:r>
          <w:rPr>
            <w:color w:val="0563C1"/>
            <w:u w:val="single"/>
          </w:rPr>
          <w:t>商务部公告2025年第24号（氯氰菊酯终裁）</w:t>
        </w:r>
      </w:hyperlink>
    </w:p>
    <w:p>
      <w:pPr>
        <w:spacing w:before="20" w:after="60"/>
      </w:pPr>
      <w:r>
        <w:rPr>
          <w:rFonts w:ascii="Arial" w:hAnsi="Arial" w:eastAsia="微软雅黑"/>
          <w:b/>
          <w:color w:val="666666"/>
          <w:sz w:val="16"/>
        </w:rPr>
        <w:t>来源：</w:t>
      </w:r>
      <w:hyperlink r:id="rId19">
        <w:r>
          <w:rPr>
            <w:color w:val="0563C1"/>
            <w:u w:val="single"/>
          </w:rPr>
          <w:t>海关总署公告2025年第3号（氯氰菊酯商品编号）</w:t>
        </w:r>
      </w:hyperlink>
    </w:p>
    <w:tbl>
      <w:tblPr>
        <w:tblW w:type="auto" w:w="0"/>
        <w:jc w:val="center"/>
        <w:tblLayout w:type="fixed"/>
        <w:tblLook w:firstColumn="1" w:firstRow="1" w:lastColumn="0" w:lastRow="0" w:noHBand="0" w:noVBand="1" w:val="04A0"/>
      </w:tblPr>
      <w:tblGrid>
        <w:gridCol w:w="1591"/>
        <w:gridCol w:w="1591"/>
        <w:gridCol w:w="1591"/>
        <w:gridCol w:w="1591"/>
        <w:gridCol w:w="1591"/>
        <w:gridCol w:w="1591"/>
      </w:tblGrid>
      <w:tr>
        <w:trPr>
          <w:cantSplit/>
          <w:tblHeader w:val="true"/>
        </w:trPr>
        <w:tc>
          <w:tcPr>
            <w:tcW w:type="dxa" w:w="2376"/>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生产商</w:t>
            </w:r>
          </w:p>
        </w:tc>
        <w:tc>
          <w:tcPr>
            <w:tcW w:type="dxa" w:w="158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去重数量</w:t>
            </w:r>
          </w:p>
        </w:tc>
        <w:tc>
          <w:tcPr>
            <w:tcW w:type="dxa" w:w="122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平台金额</w:t>
            </w:r>
          </w:p>
        </w:tc>
        <w:tc>
          <w:tcPr>
            <w:tcW w:type="dxa" w:w="1008"/>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适用税率</w:t>
            </w:r>
          </w:p>
        </w:tc>
        <w:tc>
          <w:tcPr>
            <w:tcW w:type="dxa" w:w="151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理论反倾销税+增值税增量</w:t>
            </w:r>
          </w:p>
        </w:tc>
        <w:tc>
          <w:tcPr>
            <w:tcW w:type="dxa" w:w="2448"/>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核查对象</w:t>
            </w:r>
          </w:p>
        </w:tc>
      </w:tr>
      <w:tr>
        <w:trPr>
          <w:cantSplit/>
        </w:trPr>
        <w:tc>
          <w:tcPr>
            <w:tcW w:type="dxa" w:w="2376"/>
            <w:vAlign w:val="center"/>
            <w:tcMar>
              <w:top w:w="70" w:type="dxa"/>
              <w:start w:w="85" w:type="dxa"/>
              <w:bottom w:w="70" w:type="dxa"/>
              <w:end w:w="85" w:type="dxa"/>
            </w:tcMar>
          </w:tcPr>
          <w:p>
            <w:pPr>
              <w:spacing w:after="30" w:line="245" w:lineRule="auto"/>
            </w:pPr>
            <w:r>
              <w:rPr>
                <w:rFonts w:ascii="Arial" w:hAnsi="Arial" w:eastAsia="微软雅黑"/>
                <w:b w:val="0"/>
                <w:sz w:val="16"/>
              </w:rPr>
              <w:t>TAGROS CHEMICALS INDIA PRIVATE LIMITED</w:t>
            </w:r>
          </w:p>
        </w:tc>
        <w:tc>
          <w:tcPr>
            <w:tcW w:type="dxa" w:w="1584"/>
            <w:vAlign w:val="center"/>
            <w:tcMar>
              <w:top w:w="70" w:type="dxa"/>
              <w:start w:w="85" w:type="dxa"/>
              <w:bottom w:w="70" w:type="dxa"/>
              <w:end w:w="85" w:type="dxa"/>
            </w:tcMar>
          </w:tcPr>
          <w:p>
            <w:pPr>
              <w:spacing w:after="30" w:line="245" w:lineRule="auto"/>
            </w:pPr>
            <w:r>
              <w:rPr>
                <w:rFonts w:ascii="Arial" w:hAnsi="Arial" w:eastAsia="微软雅黑"/>
                <w:b w:val="0"/>
                <w:sz w:val="16"/>
              </w:rPr>
              <w:t>32,000kg（16,000kg×2）</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6"/>
              </w:rPr>
              <w:t>USD191,200</w:t>
            </w:r>
          </w:p>
        </w:tc>
        <w:tc>
          <w:tcPr>
            <w:tcW w:type="dxa" w:w="1008"/>
            <w:vAlign w:val="center"/>
            <w:tcMar>
              <w:top w:w="70" w:type="dxa"/>
              <w:start w:w="85" w:type="dxa"/>
              <w:bottom w:w="70" w:type="dxa"/>
              <w:end w:w="85" w:type="dxa"/>
            </w:tcMar>
          </w:tcPr>
          <w:p>
            <w:pPr>
              <w:spacing w:after="30" w:line="245" w:lineRule="auto"/>
            </w:pPr>
            <w:r>
              <w:rPr>
                <w:rFonts w:ascii="Arial" w:hAnsi="Arial" w:eastAsia="微软雅黑"/>
                <w:b w:val="0"/>
                <w:sz w:val="16"/>
              </w:rPr>
              <w:t>48.4%</w:t>
            </w:r>
          </w:p>
        </w:tc>
        <w:tc>
          <w:tcPr>
            <w:tcW w:type="dxa" w:w="1512"/>
            <w:vAlign w:val="center"/>
            <w:tcMar>
              <w:top w:w="70" w:type="dxa"/>
              <w:start w:w="85" w:type="dxa"/>
              <w:bottom w:w="70" w:type="dxa"/>
              <w:end w:w="85" w:type="dxa"/>
            </w:tcMar>
          </w:tcPr>
          <w:p>
            <w:pPr>
              <w:spacing w:after="30" w:line="245" w:lineRule="auto"/>
            </w:pPr>
            <w:r>
              <w:rPr>
                <w:rFonts w:ascii="Arial" w:hAnsi="Arial" w:eastAsia="微软雅黑"/>
                <w:b w:val="0"/>
                <w:sz w:val="16"/>
              </w:rPr>
              <w:t>USD104,571.10</w:t>
            </w:r>
          </w:p>
        </w:tc>
        <w:tc>
          <w:tcPr>
            <w:tcW w:type="dxa" w:w="2448"/>
            <w:vAlign w:val="center"/>
            <w:tcMar>
              <w:top w:w="70" w:type="dxa"/>
              <w:start w:w="85" w:type="dxa"/>
              <w:bottom w:w="70" w:type="dxa"/>
              <w:end w:w="85" w:type="dxa"/>
            </w:tcMar>
          </w:tcPr>
          <w:p>
            <w:pPr>
              <w:spacing w:after="30" w:line="245" w:lineRule="auto"/>
            </w:pPr>
            <w:r>
              <w:rPr>
                <w:rFonts w:ascii="Arial" w:hAnsi="Arial" w:eastAsia="微软雅黑"/>
                <w:b w:val="0"/>
                <w:sz w:val="16"/>
              </w:rPr>
              <w:t>IPO LTD SHNGHAI/未展示买方；中国报关单与缴款书</w:t>
            </w:r>
          </w:p>
        </w:tc>
      </w:tr>
      <w:tr>
        <w:trPr>
          <w:cantSplit/>
        </w:trPr>
        <w:tc>
          <w:tcPr>
            <w:tcW w:type="dxa" w:w="2376"/>
            <w:vAlign w:val="center"/>
            <w:tcMar>
              <w:top w:w="70" w:type="dxa"/>
              <w:start w:w="85" w:type="dxa"/>
              <w:bottom w:w="70" w:type="dxa"/>
              <w:end w:w="85" w:type="dxa"/>
            </w:tcMar>
          </w:tcPr>
          <w:p>
            <w:pPr>
              <w:spacing w:after="30" w:line="245" w:lineRule="auto"/>
            </w:pPr>
            <w:r>
              <w:rPr>
                <w:rFonts w:ascii="Arial" w:hAnsi="Arial" w:eastAsia="微软雅黑"/>
                <w:b w:val="0"/>
                <w:sz w:val="16"/>
              </w:rPr>
              <w:t>MEGHMANI ORGANICS LIMITED</w:t>
            </w:r>
          </w:p>
        </w:tc>
        <w:tc>
          <w:tcPr>
            <w:tcW w:type="dxa" w:w="1584"/>
            <w:vAlign w:val="center"/>
            <w:tcMar>
              <w:top w:w="70" w:type="dxa"/>
              <w:start w:w="85" w:type="dxa"/>
              <w:bottom w:w="70" w:type="dxa"/>
              <w:end w:w="85" w:type="dxa"/>
            </w:tcMar>
          </w:tcPr>
          <w:p>
            <w:pPr>
              <w:spacing w:after="30" w:line="245" w:lineRule="auto"/>
            </w:pPr>
            <w:r>
              <w:rPr>
                <w:rFonts w:ascii="Arial" w:hAnsi="Arial" w:eastAsia="微软雅黑"/>
                <w:b w:val="0"/>
                <w:sz w:val="16"/>
              </w:rPr>
              <w:t>36,000kg（同字段两日期按1票去重）</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6"/>
              </w:rPr>
              <w:t>USD201,600</w:t>
            </w:r>
          </w:p>
        </w:tc>
        <w:tc>
          <w:tcPr>
            <w:tcW w:type="dxa" w:w="1008"/>
            <w:vAlign w:val="center"/>
            <w:tcMar>
              <w:top w:w="70" w:type="dxa"/>
              <w:start w:w="85" w:type="dxa"/>
              <w:bottom w:w="70" w:type="dxa"/>
              <w:end w:w="85" w:type="dxa"/>
            </w:tcMar>
          </w:tcPr>
          <w:p>
            <w:pPr>
              <w:spacing w:after="30" w:line="245" w:lineRule="auto"/>
            </w:pPr>
            <w:r>
              <w:rPr>
                <w:rFonts w:ascii="Arial" w:hAnsi="Arial" w:eastAsia="微软雅黑"/>
                <w:b w:val="0"/>
                <w:sz w:val="16"/>
              </w:rPr>
              <w:t>62.0%</w:t>
            </w:r>
          </w:p>
        </w:tc>
        <w:tc>
          <w:tcPr>
            <w:tcW w:type="dxa" w:w="1512"/>
            <w:vAlign w:val="center"/>
            <w:tcMar>
              <w:top w:w="70" w:type="dxa"/>
              <w:start w:w="85" w:type="dxa"/>
              <w:bottom w:w="70" w:type="dxa"/>
              <w:end w:w="85" w:type="dxa"/>
            </w:tcMar>
          </w:tcPr>
          <w:p>
            <w:pPr>
              <w:spacing w:after="30" w:line="245" w:lineRule="auto"/>
            </w:pPr>
            <w:r>
              <w:rPr>
                <w:rFonts w:ascii="Arial" w:hAnsi="Arial" w:eastAsia="微软雅黑"/>
                <w:b w:val="0"/>
                <w:sz w:val="16"/>
              </w:rPr>
              <w:t>USD141,240.96</w:t>
            </w:r>
          </w:p>
        </w:tc>
        <w:tc>
          <w:tcPr>
            <w:tcW w:type="dxa" w:w="2448"/>
            <w:vAlign w:val="center"/>
            <w:tcMar>
              <w:top w:w="70" w:type="dxa"/>
              <w:start w:w="85" w:type="dxa"/>
              <w:bottom w:w="70" w:type="dxa"/>
              <w:end w:w="85" w:type="dxa"/>
            </w:tcMar>
          </w:tcPr>
          <w:p>
            <w:pPr>
              <w:spacing w:after="30" w:line="245" w:lineRule="auto"/>
            </w:pPr>
            <w:r>
              <w:rPr>
                <w:rFonts w:ascii="Arial" w:hAnsi="Arial" w:eastAsia="微软雅黑"/>
                <w:b w:val="0"/>
                <w:sz w:val="16"/>
              </w:rPr>
              <w:t>买方字段---；先识别中国进口人</w:t>
            </w:r>
          </w:p>
        </w:tc>
      </w:tr>
    </w:tbl>
    <w:p>
      <w:r>
        <w:rPr>
          <w:b/>
        </w:rPr>
        <w:t>结论边界：</w:t>
      </w:r>
      <w:r>
        <w:t>68,000kg是去重后的高匹配调单量，不是偷逃税数量。平台中的印度出口HS与中国执行商品编号不同，可能只是两国税则细分差异；只有中国进口底单和税款缴款书能证明税率是否执行。</w:t>
      </w:r>
    </w:p>
    <w:p>
      <w:pPr>
        <w:pStyle w:val="Heading1"/>
      </w:pPr>
      <w:r>
        <w:t>七、PPS排除项：印度发运不等于印度原产，也不当然涉税</w:t>
      </w:r>
    </w:p>
    <w:p>
      <w:r>
        <w:t>中国现行PPS反倾销措施针对原产于日本、美国、韩国和马来西亚的进口聚苯硫醚。印度不是该措施所列原产国。因此，“印度向中国发运PPS”本身没有因启运国印度而产生反倾销税风险；真正风险只在货物是否实际为美国等措施原产国、是否通过印度简单分装/转售后改报印度原产，或商品/改性料仍落入措施范围而申报为其他税号。</w:t>
      </w:r>
    </w:p>
    <w:p>
      <w:pPr>
        <w:spacing w:before="20" w:after="60"/>
      </w:pPr>
      <w:r>
        <w:rPr>
          <w:rFonts w:ascii="Arial" w:hAnsi="Arial" w:eastAsia="微软雅黑"/>
          <w:b/>
          <w:color w:val="666666"/>
          <w:sz w:val="16"/>
        </w:rPr>
        <w:t>来源：</w:t>
      </w:r>
      <w:hyperlink r:id="rId20">
        <w:r>
          <w:rPr>
            <w:color w:val="0563C1"/>
            <w:u w:val="single"/>
          </w:rPr>
          <w:t>商务部公告2025年第77号（PPS期终复审）</w:t>
        </w:r>
      </w:hyperlink>
    </w:p>
    <w:p>
      <w:pPr>
        <w:pStyle w:val="ListBullet"/>
        <w:spacing w:after="80"/>
        <w:ind w:left="605" w:hanging="288"/>
      </w:pPr>
      <w:r>
        <w:t>需要比对美国出口印度与印度出口中国的批次号、牌号、包装、数量和时间窗。此前检得美国RYTON进入印度的具体批次，但未匹配到印度对华同批次，因此没有形成第三国证据。</w:t>
      </w:r>
    </w:p>
    <w:p>
      <w:pPr>
        <w:pStyle w:val="ListBullet"/>
        <w:spacing w:after="80"/>
        <w:ind w:left="605" w:hanging="288"/>
      </w:pPr>
      <w:r>
        <w:t>印度对华FORTRON/DURAFIDE小票存在跨HS、样品、零件或改性料可能，须先判定商品范围。不能因品牌来自美国/日本企业就推定原产国。</w:t>
      </w:r>
    </w:p>
    <w:p>
      <w:r>
        <w:br w:type="page"/>
      </w:r>
    </w:p>
    <w:p>
      <w:pPr>
        <w:pStyle w:val="Heading1"/>
      </w:pPr>
      <w:r>
        <w:t>八、已确认的第三国绕道判例：多晶硅</w:t>
      </w:r>
    </w:p>
    <w:tbl>
      <w:tblPr>
        <w:tblW w:type="auto" w:w="0"/>
        <w:jc w:val="center"/>
        <w:tblLook w:firstColumn="1" w:firstRow="1" w:lastColumn="0" w:lastRow="0" w:noHBand="0" w:noVBand="1" w:val="04A0"/>
      </w:tblPr>
      <w:tblGrid>
        <w:gridCol w:w="9547"/>
      </w:tblGrid>
      <w:tr>
        <w:tc>
          <w:tcPr>
            <w:tcW w:type="dxa" w:w="9547"/>
            <w:shd w:fill="D9EAD3"/>
            <w:tcMar>
              <w:top w:w="110" w:type="dxa"/>
              <w:start w:w="130" w:type="dxa"/>
              <w:bottom w:w="110" w:type="dxa"/>
              <w:end w:w="130" w:type="dxa"/>
            </w:tcMar>
          </w:tcPr>
          <w:p>
            <w:pPr>
              <w:spacing w:after="0"/>
            </w:pPr>
            <w:r>
              <w:rPr>
                <w:rFonts w:ascii="Arial" w:hAnsi="Arial" w:eastAsia="微软雅黑"/>
                <w:b/>
                <w:color w:val="274E13"/>
                <w:sz w:val="21"/>
              </w:rPr>
              <w:t>证明标准参照：</w:t>
            </w:r>
            <w:r>
              <w:rPr>
                <w:rFonts w:ascii="Arial" w:hAnsi="Arial" w:eastAsia="微软雅黑"/>
                <w:b w:val="0"/>
                <w:color w:val="274E13"/>
                <w:sz w:val="21"/>
              </w:rPr>
              <w:t>（2018）津02刑初45号公开摘要显示，美国太阳能级多晶硅先运至台湾进行简单加工并取得台湾原产地证明，再进口中国，偷逃税款380余万元，公司被判罚金381万元，4名责任人员获缓刑。该案具备‘原始美国货物—第三地简单加工—原产地证—回流中国—税额’完整链条。</w:t>
            </w:r>
          </w:p>
        </w:tc>
      </w:tr>
    </w:tbl>
    <w:p>
      <w:pPr>
        <w:spacing w:after="0"/>
      </w:pPr>
    </w:p>
    <w:p>
      <w:pPr>
        <w:spacing w:before="20" w:after="60"/>
      </w:pPr>
      <w:r>
        <w:rPr>
          <w:rFonts w:ascii="Arial" w:hAnsi="Arial" w:eastAsia="微软雅黑"/>
          <w:b/>
          <w:color w:val="666666"/>
          <w:sz w:val="16"/>
        </w:rPr>
        <w:t>来源：</w:t>
      </w:r>
      <w:hyperlink r:id="rId21">
        <w:r>
          <w:rPr>
            <w:color w:val="0563C1"/>
            <w:u w:val="single"/>
          </w:rPr>
          <w:t>反倾销税稽查与案例汇总（含多晶硅判例摘要）</w:t>
        </w:r>
      </w:hyperlink>
    </w:p>
    <w:p>
      <w:r>
        <w:t>这也说明当前POM与酞菁蓝线索的决定性缺口：不仅要证明第三国节点存在，还要证明第三国加工不足以改变原产地、对华进口申报采用了不实原产地或生产商，并将少缴税额落实到具体报关单。</w:t>
      </w:r>
    </w:p>
    <w:p>
      <w:r>
        <w:br w:type="page"/>
      </w:r>
    </w:p>
    <w:p>
      <w:pPr>
        <w:pStyle w:val="Heading1"/>
      </w:pPr>
      <w:r>
        <w:t>九、实体和口岸风险清单</w:t>
      </w:r>
    </w:p>
    <w:tbl>
      <w:tblPr>
        <w:tblW w:type="auto" w:w="0"/>
        <w:jc w:val="center"/>
        <w:tblLayout w:type="fixed"/>
        <w:tblLook w:firstColumn="1" w:firstRow="1" w:lastColumn="0" w:lastRow="0" w:noHBand="0" w:noVBand="1" w:val="04A0"/>
      </w:tblPr>
      <w:tblGrid>
        <w:gridCol w:w="1909"/>
        <w:gridCol w:w="1909"/>
        <w:gridCol w:w="1909"/>
        <w:gridCol w:w="1909"/>
        <w:gridCol w:w="1909"/>
      </w:tblGrid>
      <w:tr>
        <w:trPr>
          <w:cantSplit/>
          <w:tblHeader w:val="true"/>
        </w:trPr>
        <w:tc>
          <w:tcPr>
            <w:tcW w:type="dxa" w:w="266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主体/口岸</w:t>
            </w:r>
          </w:p>
        </w:tc>
        <w:tc>
          <w:tcPr>
            <w:tcW w:type="dxa" w:w="144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对应商品</w:t>
            </w:r>
          </w:p>
        </w:tc>
        <w:tc>
          <w:tcPr>
            <w:tcW w:type="dxa" w:w="122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已知数量/票数</w:t>
            </w:r>
          </w:p>
        </w:tc>
        <w:tc>
          <w:tcPr>
            <w:tcW w:type="dxa" w:w="252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风险性质</w:t>
            </w:r>
          </w:p>
        </w:tc>
        <w:tc>
          <w:tcPr>
            <w:tcW w:type="dxa" w:w="2520"/>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5"/>
              </w:rPr>
              <w:t>建议动作</w:t>
            </w:r>
          </w:p>
        </w:tc>
      </w:tr>
      <w:tr>
        <w:trPr>
          <w:cantSplit/>
        </w:trPr>
        <w:tc>
          <w:tcPr>
            <w:tcW w:type="dxa" w:w="2664"/>
            <w:vAlign w:val="center"/>
            <w:tcMar>
              <w:top w:w="70" w:type="dxa"/>
              <w:start w:w="85" w:type="dxa"/>
              <w:bottom w:w="70" w:type="dxa"/>
              <w:end w:w="85" w:type="dxa"/>
            </w:tcMar>
          </w:tcPr>
          <w:p>
            <w:pPr>
              <w:spacing w:after="30" w:line="245" w:lineRule="auto"/>
            </w:pPr>
            <w:r>
              <w:rPr>
                <w:rFonts w:ascii="Arial" w:hAnsi="Arial" w:eastAsia="微软雅黑"/>
                <w:b w:val="0"/>
                <w:sz w:val="15"/>
              </w:rPr>
              <w:t>厦门翔邦高分子科技有限公司 / 厦门诚运通报关行 / 海沧海关</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EPDM</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5"/>
              </w:rPr>
              <w:t>1票；重量未公开</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处罚已认定：漏报生产商/税率，漏税58,663.29元</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核同报关行对多税率商品的生产商字段完整性</w:t>
            </w:r>
          </w:p>
        </w:tc>
      </w:tr>
      <w:tr>
        <w:trPr>
          <w:cantSplit/>
        </w:trPr>
        <w:tc>
          <w:tcPr>
            <w:tcW w:type="dxa" w:w="2664"/>
            <w:vAlign w:val="center"/>
            <w:tcMar>
              <w:top w:w="70" w:type="dxa"/>
              <w:start w:w="85" w:type="dxa"/>
              <w:bottom w:w="70" w:type="dxa"/>
              <w:end w:w="85" w:type="dxa"/>
            </w:tcMar>
          </w:tcPr>
          <w:p>
            <w:pPr>
              <w:spacing w:after="30" w:line="245" w:lineRule="auto"/>
            </w:pPr>
            <w:r>
              <w:rPr>
                <w:rFonts w:ascii="Arial" w:hAnsi="Arial" w:eastAsia="微软雅黑"/>
                <w:b w:val="0"/>
                <w:sz w:val="15"/>
              </w:rPr>
              <w:t>上海嘉助贸易有限公司 / 吴淞海关</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印度酞菁蓝</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5"/>
              </w:rPr>
              <w:t>4,000kg</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处罚已认定：税号错报，漏税169,363.54元</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扩查同进口人、同供应商、同税号历史申报</w:t>
            </w:r>
          </w:p>
        </w:tc>
      </w:tr>
      <w:tr>
        <w:trPr>
          <w:cantSplit/>
        </w:trPr>
        <w:tc>
          <w:tcPr>
            <w:tcW w:type="dxa" w:w="2664"/>
            <w:vAlign w:val="center"/>
            <w:tcMar>
              <w:top w:w="70" w:type="dxa"/>
              <w:start w:w="85" w:type="dxa"/>
              <w:bottom w:w="70" w:type="dxa"/>
              <w:end w:w="85" w:type="dxa"/>
            </w:tcMar>
          </w:tcPr>
          <w:p>
            <w:pPr>
              <w:spacing w:after="30" w:line="245" w:lineRule="auto"/>
            </w:pPr>
            <w:r>
              <w:rPr>
                <w:rFonts w:ascii="Arial" w:hAnsi="Arial" w:eastAsia="微软雅黑"/>
                <w:b w:val="0"/>
                <w:sz w:val="15"/>
              </w:rPr>
              <w:t>浙江锐泰悬挂系统科技有限公司 / 奉化海关</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KAMAX螺栓</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5"/>
              </w:rPr>
              <w:t>2票；重量未公开</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处罚已认定：生产商错报+完税价格低报，漏税544,230.77元</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按KAMAX S.L.U、西班牙发货史扩查生产商证据</w:t>
            </w:r>
          </w:p>
        </w:tc>
      </w:tr>
      <w:tr>
        <w:trPr>
          <w:cantSplit/>
        </w:trPr>
        <w:tc>
          <w:tcPr>
            <w:tcW w:type="dxa" w:w="2664"/>
            <w:vAlign w:val="center"/>
            <w:tcMar>
              <w:top w:w="70" w:type="dxa"/>
              <w:start w:w="85" w:type="dxa"/>
              <w:bottom w:w="70" w:type="dxa"/>
              <w:end w:w="85" w:type="dxa"/>
            </w:tcMar>
          </w:tcPr>
          <w:p>
            <w:pPr>
              <w:spacing w:after="30" w:line="245" w:lineRule="auto"/>
            </w:pPr>
            <w:r>
              <w:rPr>
                <w:rFonts w:ascii="Arial" w:hAnsi="Arial" w:eastAsia="微软雅黑"/>
                <w:b w:val="0"/>
                <w:sz w:val="15"/>
              </w:rPr>
              <w:t>上海恒久百传动 / 越南Hamakyu</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POM LW15EWX</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5"/>
              </w:rPr>
              <w:t>25kg+同票色母粒2kg</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A-线索：Vietnam与#&amp;DE冲突</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调2026-05-26中国底单、原产地证、包装批号</w:t>
            </w:r>
          </w:p>
        </w:tc>
      </w:tr>
      <w:tr>
        <w:trPr>
          <w:cantSplit/>
        </w:trPr>
        <w:tc>
          <w:tcPr>
            <w:tcW w:type="dxa" w:w="2664"/>
            <w:vAlign w:val="center"/>
            <w:tcMar>
              <w:top w:w="70" w:type="dxa"/>
              <w:start w:w="85" w:type="dxa"/>
              <w:bottom w:w="70" w:type="dxa"/>
              <w:end w:w="85" w:type="dxa"/>
            </w:tcMar>
          </w:tcPr>
          <w:p>
            <w:pPr>
              <w:spacing w:after="30" w:line="245" w:lineRule="auto"/>
            </w:pPr>
            <w:r>
              <w:rPr>
                <w:rFonts w:ascii="Arial" w:hAnsi="Arial" w:eastAsia="微软雅黑"/>
                <w:b w:val="0"/>
                <w:sz w:val="15"/>
              </w:rPr>
              <w:t>YICAI COLOR PLASTIC / Vĩnh Gia / HUNAN YIGAO / DONGGUAN CHENGHAN</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酞菁蓝</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5"/>
              </w:rPr>
              <w:t>35票、738,620kg</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B+路线池：越南原产声明下的持续大票对华</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先按同型号、日期、数量筛批次，再调CO与越南生产记录</w:t>
            </w:r>
          </w:p>
        </w:tc>
      </w:tr>
      <w:tr>
        <w:trPr>
          <w:cantSplit/>
        </w:trPr>
        <w:tc>
          <w:tcPr>
            <w:tcW w:type="dxa" w:w="2664"/>
            <w:vAlign w:val="center"/>
            <w:tcMar>
              <w:top w:w="70" w:type="dxa"/>
              <w:start w:w="85" w:type="dxa"/>
              <w:bottom w:w="70" w:type="dxa"/>
              <w:end w:w="85" w:type="dxa"/>
            </w:tcMar>
          </w:tcPr>
          <w:p>
            <w:pPr>
              <w:spacing w:after="30" w:line="245" w:lineRule="auto"/>
            </w:pPr>
            <w:r>
              <w:rPr>
                <w:rFonts w:ascii="Arial" w:hAnsi="Arial" w:eastAsia="微软雅黑"/>
                <w:b w:val="0"/>
                <w:sz w:val="15"/>
              </w:rPr>
              <w:t>WUHAN ASIA EUROPE INTERNATIONAL SUPPLY CHAIN MANAGEMENT</w:t>
            </w:r>
          </w:p>
        </w:tc>
        <w:tc>
          <w:tcPr>
            <w:tcW w:type="dxa" w:w="1440"/>
            <w:vAlign w:val="center"/>
            <w:tcMar>
              <w:top w:w="70" w:type="dxa"/>
              <w:start w:w="85" w:type="dxa"/>
              <w:bottom w:w="70" w:type="dxa"/>
              <w:end w:w="85" w:type="dxa"/>
            </w:tcMar>
          </w:tcPr>
          <w:p>
            <w:pPr>
              <w:spacing w:after="30" w:line="245" w:lineRule="auto"/>
            </w:pPr>
            <w:r>
              <w:rPr>
                <w:rFonts w:ascii="Arial" w:hAnsi="Arial" w:eastAsia="微软雅黑"/>
                <w:b w:val="0"/>
                <w:sz w:val="15"/>
              </w:rPr>
              <w:t>KAMAX S.L.U螺钉</w:t>
            </w:r>
          </w:p>
        </w:tc>
        <w:tc>
          <w:tcPr>
            <w:tcW w:type="dxa" w:w="1224"/>
            <w:vAlign w:val="center"/>
            <w:tcMar>
              <w:top w:w="70" w:type="dxa"/>
              <w:start w:w="85" w:type="dxa"/>
              <w:bottom w:w="70" w:type="dxa"/>
              <w:end w:w="85" w:type="dxa"/>
            </w:tcMar>
          </w:tcPr>
          <w:p>
            <w:pPr>
              <w:spacing w:after="30" w:line="245" w:lineRule="auto"/>
            </w:pPr>
            <w:r>
              <w:rPr>
                <w:rFonts w:ascii="Arial" w:hAnsi="Arial" w:eastAsia="微软雅黑"/>
                <w:b w:val="0"/>
                <w:sz w:val="15"/>
              </w:rPr>
              <w:t>993.4kg</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供应链基准，不是处罚同批</w:t>
            </w:r>
          </w:p>
        </w:tc>
        <w:tc>
          <w:tcPr>
            <w:tcW w:type="dxa" w:w="2520"/>
            <w:vAlign w:val="center"/>
            <w:tcMar>
              <w:top w:w="70" w:type="dxa"/>
              <w:start w:w="85" w:type="dxa"/>
              <w:bottom w:w="70" w:type="dxa"/>
              <w:end w:w="85" w:type="dxa"/>
            </w:tcMar>
          </w:tcPr>
          <w:p>
            <w:pPr>
              <w:spacing w:after="30" w:line="245" w:lineRule="auto"/>
            </w:pPr>
            <w:r>
              <w:rPr>
                <w:rFonts w:ascii="Arial" w:hAnsi="Arial" w:eastAsia="微软雅黑"/>
                <w:b w:val="0"/>
                <w:sz w:val="15"/>
              </w:rPr>
              <w:t>核其是否代理其他KAMAX S.L.U对华交易</w:t>
            </w:r>
          </w:p>
        </w:tc>
      </w:tr>
    </w:tbl>
    <w:p>
      <w:r>
        <w:rPr>
          <w:b/>
        </w:rPr>
        <w:t>口岸表述边界：</w:t>
      </w:r>
      <w:r>
        <w:t>海沧、吴淞、奉化是处罚文书中已发生案件的口岸，并不代表这些口岸整体风险率最高。POM对华买方在上海，但易迅第二程记录未公开中国申报口岸；酞菁蓝路线的买方位于湖南、东莞，也不能据企业所在地推定进口口岸。</w:t>
      </w:r>
    </w:p>
    <w:p>
      <w:r>
        <w:br w:type="page"/>
      </w:r>
    </w:p>
    <w:p>
      <w:pPr>
        <w:pStyle w:val="Heading1"/>
      </w:pPr>
      <w:r>
        <w:t>十、下一步需要的数据：按可形成证据闭环排序</w:t>
      </w:r>
    </w:p>
    <w:tbl>
      <w:tblPr>
        <w:tblW w:type="auto" w:w="0"/>
        <w:jc w:val="center"/>
        <w:tblLayout w:type="fixed"/>
        <w:tblLook w:firstColumn="1" w:firstRow="1" w:lastColumn="0" w:lastRow="0" w:noHBand="0" w:noVBand="1" w:val="04A0"/>
      </w:tblPr>
      <w:tblGrid>
        <w:gridCol w:w="2387"/>
        <w:gridCol w:w="2387"/>
        <w:gridCol w:w="2387"/>
        <w:gridCol w:w="2387"/>
      </w:tblGrid>
      <w:tr>
        <w:trPr>
          <w:cantSplit/>
          <w:tblHeader w:val="true"/>
        </w:trPr>
        <w:tc>
          <w:tcPr>
            <w:tcW w:type="dxa" w:w="792"/>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优先级</w:t>
            </w:r>
          </w:p>
        </w:tc>
        <w:tc>
          <w:tcPr>
            <w:tcW w:type="dxa" w:w="1944"/>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数据</w:t>
            </w:r>
          </w:p>
        </w:tc>
        <w:tc>
          <w:tcPr>
            <w:tcW w:type="dxa" w:w="4536"/>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核心字段</w:t>
            </w:r>
          </w:p>
        </w:tc>
        <w:tc>
          <w:tcPr>
            <w:tcW w:type="dxa" w:w="3168"/>
            <w:vAlign w:val="center"/>
            <w:tcMar>
              <w:top w:w="70" w:type="dxa"/>
              <w:start w:w="85" w:type="dxa"/>
              <w:bottom w:w="70" w:type="dxa"/>
              <w:end w:w="85" w:type="dxa"/>
            </w:tcMar>
            <w:shd w:fill="17365D"/>
          </w:tcPr>
          <w:p>
            <w:pPr>
              <w:spacing w:after="30" w:line="245" w:lineRule="auto"/>
              <w:jc w:val="center"/>
            </w:pPr>
            <w:r>
              <w:rPr>
                <w:rFonts w:ascii="Arial" w:hAnsi="Arial" w:eastAsia="微软雅黑"/>
                <w:b/>
                <w:color w:val="FFFFFF"/>
                <w:sz w:val="16"/>
              </w:rPr>
              <w:t>可回答的问题</w:t>
            </w:r>
          </w:p>
        </w:tc>
      </w:tr>
      <w:tr>
        <w:trPr>
          <w:cantSplit/>
        </w:trPr>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6"/>
              </w:rPr>
              <w:t>1</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6"/>
              </w:rPr>
              <w:t>中国进口申报底单+税款缴款书</w:t>
            </w:r>
          </w:p>
        </w:tc>
        <w:tc>
          <w:tcPr>
            <w:tcW w:type="dxa" w:w="4536"/>
            <w:vAlign w:val="center"/>
            <w:tcMar>
              <w:top w:w="70" w:type="dxa"/>
              <w:start w:w="85" w:type="dxa"/>
              <w:bottom w:w="70" w:type="dxa"/>
              <w:end w:w="85" w:type="dxa"/>
            </w:tcMar>
          </w:tcPr>
          <w:p>
            <w:pPr>
              <w:spacing w:after="30" w:line="245" w:lineRule="auto"/>
            </w:pPr>
            <w:r>
              <w:rPr>
                <w:rFonts w:ascii="Arial" w:hAnsi="Arial" w:eastAsia="微软雅黑"/>
                <w:b w:val="0"/>
                <w:sz w:val="16"/>
              </w:rPr>
              <w:t>报关单号、口岸、收货人、消费使用单位、境外发货人、生产商、原产国、启运国、HS、规格型号、品牌、数量、单价、总价、成交方式、运保杂费、随附单证</w:t>
            </w:r>
          </w:p>
        </w:tc>
        <w:tc>
          <w:tcPr>
            <w:tcW w:type="dxa" w:w="3168"/>
            <w:vAlign w:val="center"/>
            <w:tcMar>
              <w:top w:w="70" w:type="dxa"/>
              <w:start w:w="85" w:type="dxa"/>
              <w:bottom w:w="70" w:type="dxa"/>
              <w:end w:w="85" w:type="dxa"/>
            </w:tcMar>
          </w:tcPr>
          <w:p>
            <w:pPr>
              <w:spacing w:after="30" w:line="245" w:lineRule="auto"/>
            </w:pPr>
            <w:r>
              <w:rPr>
                <w:rFonts w:ascii="Arial" w:hAnsi="Arial" w:eastAsia="微软雅黑"/>
                <w:b w:val="0"/>
                <w:sz w:val="16"/>
              </w:rPr>
              <w:t>是否错报原产地/生产商/税号；到底少缴哪种税、多少税</w:t>
            </w:r>
          </w:p>
        </w:tc>
      </w:tr>
      <w:tr>
        <w:trPr>
          <w:cantSplit/>
        </w:trPr>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6"/>
              </w:rPr>
              <w:t>2</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6"/>
              </w:rPr>
              <w:t>两程运输单证</w:t>
            </w:r>
          </w:p>
        </w:tc>
        <w:tc>
          <w:tcPr>
            <w:tcW w:type="dxa" w:w="4536"/>
            <w:vAlign w:val="center"/>
            <w:tcMar>
              <w:top w:w="70" w:type="dxa"/>
              <w:start w:w="85" w:type="dxa"/>
              <w:bottom w:w="70" w:type="dxa"/>
              <w:end w:w="85" w:type="dxa"/>
            </w:tcMar>
          </w:tcPr>
          <w:p>
            <w:pPr>
              <w:spacing w:after="30" w:line="245" w:lineRule="auto"/>
            </w:pPr>
            <w:r>
              <w:rPr>
                <w:rFonts w:ascii="Arial" w:hAnsi="Arial" w:eastAsia="微软雅黑"/>
                <w:b w:val="0"/>
                <w:sz w:val="16"/>
              </w:rPr>
              <w:t>主/分提单号、集装箱号、封志号、船名航次、到离港时间、毛净重、件数、包装、唛头</w:t>
            </w:r>
          </w:p>
        </w:tc>
        <w:tc>
          <w:tcPr>
            <w:tcW w:type="dxa" w:w="3168"/>
            <w:vAlign w:val="center"/>
            <w:tcMar>
              <w:top w:w="70" w:type="dxa"/>
              <w:start w:w="85" w:type="dxa"/>
              <w:bottom w:w="70" w:type="dxa"/>
              <w:end w:w="85" w:type="dxa"/>
            </w:tcMar>
          </w:tcPr>
          <w:p>
            <w:pPr>
              <w:spacing w:after="30" w:line="245" w:lineRule="auto"/>
            </w:pPr>
            <w:r>
              <w:rPr>
                <w:rFonts w:ascii="Arial" w:hAnsi="Arial" w:eastAsia="微软雅黑"/>
                <w:b w:val="0"/>
                <w:sz w:val="16"/>
              </w:rPr>
              <w:t>能否把原产国→第三国和第三国→中国匹配为同一批货</w:t>
            </w:r>
          </w:p>
        </w:tc>
      </w:tr>
      <w:tr>
        <w:trPr>
          <w:cantSplit/>
        </w:trPr>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6"/>
              </w:rPr>
              <w:t>3</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6"/>
              </w:rPr>
              <w:t>原产地与第三国加工材料</w:t>
            </w:r>
          </w:p>
        </w:tc>
        <w:tc>
          <w:tcPr>
            <w:tcW w:type="dxa" w:w="4536"/>
            <w:vAlign w:val="center"/>
            <w:tcMar>
              <w:top w:w="70" w:type="dxa"/>
              <w:start w:w="85" w:type="dxa"/>
              <w:bottom w:w="70" w:type="dxa"/>
              <w:end w:w="85" w:type="dxa"/>
            </w:tcMar>
          </w:tcPr>
          <w:p>
            <w:pPr>
              <w:spacing w:after="30" w:line="245" w:lineRule="auto"/>
            </w:pPr>
            <w:r>
              <w:rPr>
                <w:rFonts w:ascii="Arial" w:hAnsi="Arial" w:eastAsia="微软雅黑"/>
                <w:b w:val="0"/>
                <w:sz w:val="16"/>
              </w:rPr>
              <w:t>CO、生产商声明、BOM/配方、领料单、生产批记录、能源/人工/设备、出入库、增值比例、税号变化</w:t>
            </w:r>
          </w:p>
        </w:tc>
        <w:tc>
          <w:tcPr>
            <w:tcW w:type="dxa" w:w="3168"/>
            <w:vAlign w:val="center"/>
            <w:tcMar>
              <w:top w:w="70" w:type="dxa"/>
              <w:start w:w="85" w:type="dxa"/>
              <w:bottom w:w="70" w:type="dxa"/>
              <w:end w:w="85" w:type="dxa"/>
            </w:tcMar>
          </w:tcPr>
          <w:p>
            <w:pPr>
              <w:spacing w:after="30" w:line="245" w:lineRule="auto"/>
            </w:pPr>
            <w:r>
              <w:rPr>
                <w:rFonts w:ascii="Arial" w:hAnsi="Arial" w:eastAsia="微软雅黑"/>
                <w:b w:val="0"/>
                <w:sz w:val="16"/>
              </w:rPr>
              <w:t>第三国是否发生足以改变原产地的实质性加工</w:t>
            </w:r>
          </w:p>
        </w:tc>
      </w:tr>
      <w:tr>
        <w:trPr>
          <w:cantSplit/>
        </w:trPr>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6"/>
              </w:rPr>
              <w:t>4</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6"/>
              </w:rPr>
              <w:t>合同、发票与资金链</w:t>
            </w:r>
          </w:p>
        </w:tc>
        <w:tc>
          <w:tcPr>
            <w:tcW w:type="dxa" w:w="4536"/>
            <w:vAlign w:val="center"/>
            <w:tcMar>
              <w:top w:w="70" w:type="dxa"/>
              <w:start w:w="85" w:type="dxa"/>
              <w:bottom w:w="70" w:type="dxa"/>
              <w:end w:w="85" w:type="dxa"/>
            </w:tcMar>
          </w:tcPr>
          <w:p>
            <w:pPr>
              <w:spacing w:after="30" w:line="245" w:lineRule="auto"/>
            </w:pPr>
            <w:r>
              <w:rPr>
                <w:rFonts w:ascii="Arial" w:hAnsi="Arial" w:eastAsia="微软雅黑"/>
                <w:b w:val="0"/>
                <w:sz w:val="16"/>
              </w:rPr>
              <w:t>采购/转售合同、信用证、付款、保险、运费、关联关系、贸易商毛利</w:t>
            </w:r>
          </w:p>
        </w:tc>
        <w:tc>
          <w:tcPr>
            <w:tcW w:type="dxa" w:w="3168"/>
            <w:vAlign w:val="center"/>
            <w:tcMar>
              <w:top w:w="70" w:type="dxa"/>
              <w:start w:w="85" w:type="dxa"/>
              <w:bottom w:w="70" w:type="dxa"/>
              <w:end w:w="85" w:type="dxa"/>
            </w:tcMar>
          </w:tcPr>
          <w:p>
            <w:pPr>
              <w:spacing w:after="30" w:line="245" w:lineRule="auto"/>
            </w:pPr>
            <w:r>
              <w:rPr>
                <w:rFonts w:ascii="Arial" w:hAnsi="Arial" w:eastAsia="微软雅黑"/>
                <w:b w:val="0"/>
                <w:sz w:val="16"/>
              </w:rPr>
              <w:t>是否仅为转售/低附加值加工；价格是否异常</w:t>
            </w:r>
          </w:p>
        </w:tc>
      </w:tr>
      <w:tr>
        <w:trPr>
          <w:cantSplit/>
        </w:trPr>
        <w:tc>
          <w:tcPr>
            <w:tcW w:type="dxa" w:w="792"/>
            <w:vAlign w:val="center"/>
            <w:tcMar>
              <w:top w:w="70" w:type="dxa"/>
              <w:start w:w="85" w:type="dxa"/>
              <w:bottom w:w="70" w:type="dxa"/>
              <w:end w:w="85" w:type="dxa"/>
            </w:tcMar>
          </w:tcPr>
          <w:p>
            <w:pPr>
              <w:spacing w:after="30" w:line="245" w:lineRule="auto"/>
            </w:pPr>
            <w:r>
              <w:rPr>
                <w:rFonts w:ascii="Arial" w:hAnsi="Arial" w:eastAsia="微软雅黑"/>
                <w:b w:val="0"/>
                <w:sz w:val="16"/>
              </w:rPr>
              <w:t>5</w:t>
            </w:r>
          </w:p>
        </w:tc>
        <w:tc>
          <w:tcPr>
            <w:tcW w:type="dxa" w:w="1944"/>
            <w:vAlign w:val="center"/>
            <w:tcMar>
              <w:top w:w="70" w:type="dxa"/>
              <w:start w:w="85" w:type="dxa"/>
              <w:bottom w:w="70" w:type="dxa"/>
              <w:end w:w="85" w:type="dxa"/>
            </w:tcMar>
          </w:tcPr>
          <w:p>
            <w:pPr>
              <w:spacing w:after="30" w:line="245" w:lineRule="auto"/>
            </w:pPr>
            <w:r>
              <w:rPr>
                <w:rFonts w:ascii="Arial" w:hAnsi="Arial" w:eastAsia="微软雅黑"/>
                <w:b w:val="0"/>
                <w:sz w:val="16"/>
              </w:rPr>
              <w:t>企业历史申报批量数据</w:t>
            </w:r>
          </w:p>
        </w:tc>
        <w:tc>
          <w:tcPr>
            <w:tcW w:type="dxa" w:w="4536"/>
            <w:vAlign w:val="center"/>
            <w:tcMar>
              <w:top w:w="70" w:type="dxa"/>
              <w:start w:w="85" w:type="dxa"/>
              <w:bottom w:w="70" w:type="dxa"/>
              <w:end w:w="85" w:type="dxa"/>
            </w:tcMar>
          </w:tcPr>
          <w:p>
            <w:pPr>
              <w:spacing w:after="30" w:line="245" w:lineRule="auto"/>
            </w:pPr>
            <w:r>
              <w:rPr>
                <w:rFonts w:ascii="Arial" w:hAnsi="Arial" w:eastAsia="微软雅黑"/>
                <w:b w:val="0"/>
                <w:sz w:val="16"/>
              </w:rPr>
              <w:t>同进口人、同报关行、同境外发货人、同牌号、同生产商、同税号按月聚合</w:t>
            </w:r>
          </w:p>
        </w:tc>
        <w:tc>
          <w:tcPr>
            <w:tcW w:type="dxa" w:w="3168"/>
            <w:vAlign w:val="center"/>
            <w:tcMar>
              <w:top w:w="70" w:type="dxa"/>
              <w:start w:w="85" w:type="dxa"/>
              <w:bottom w:w="70" w:type="dxa"/>
              <w:end w:w="85" w:type="dxa"/>
            </w:tcMar>
          </w:tcPr>
          <w:p>
            <w:pPr>
              <w:spacing w:after="30" w:line="245" w:lineRule="auto"/>
            </w:pPr>
            <w:r>
              <w:rPr>
                <w:rFonts w:ascii="Arial" w:hAnsi="Arial" w:eastAsia="微软雅黑"/>
                <w:b w:val="0"/>
                <w:sz w:val="16"/>
              </w:rPr>
              <w:t>发现重复错报模式和扩线范围</w:t>
            </w:r>
          </w:p>
        </w:tc>
      </w:tr>
    </w:tbl>
    <w:p>
      <w:r>
        <w:br w:type="page"/>
      </w:r>
    </w:p>
    <w:p>
      <w:pPr>
        <w:pStyle w:val="Heading1"/>
      </w:pPr>
      <w:r>
        <w:t>十一、建议立即执行的具体查询</w:t>
      </w:r>
    </w:p>
    <w:p>
      <w:pPr>
        <w:pStyle w:val="ListBullet"/>
        <w:spacing w:after="80"/>
        <w:ind w:left="605" w:hanging="288"/>
      </w:pPr>
      <w:r>
        <w:t>POM：调取2026-05-26上海恒久百传动对应25kg HOSTAFORM LW15EWX的进口报关单、原产地证和税款缴款书；核中国申报原产国是否Vietnam、货物批号及包装是否保留德国Celanese原标；追查越南Hamakyu的上游采购。</w:t>
      </w:r>
    </w:p>
    <w:p>
      <w:pPr>
        <w:pStyle w:val="ListBullet"/>
        <w:spacing w:after="80"/>
        <w:ind w:left="605" w:hanging="288"/>
      </w:pPr>
      <w:r>
        <w:t>酞菁蓝：将越南对华35票按买方、卖方、型号150030、24吨常见票重、日期聚类；优先调2025年5月以后大票的中国底单与CO；再以KILBURN/U.C.C等印度—越南记录按10—90天时间窗、数量和包装反向匹配。</w:t>
      </w:r>
    </w:p>
    <w:p>
      <w:pPr>
        <w:pStyle w:val="ListBullet"/>
        <w:spacing w:after="80"/>
        <w:ind w:left="605" w:hanging="288"/>
      </w:pPr>
      <w:r>
        <w:t>氯氰菊酯：调取Tagros 32吨和Meghmani 36吨对应中国进口底单，核商品编号2926909013、CAS、列名生产商和反倾销税缴款。若税款已足额缴纳，应把该线索降为正常贸易。</w:t>
      </w:r>
    </w:p>
    <w:p>
      <w:pPr>
        <w:pStyle w:val="ListBullet"/>
        <w:spacing w:after="80"/>
        <w:ind w:left="605" w:hanging="288"/>
      </w:pPr>
      <w:r>
        <w:t>KAMAX：以KAMAX S.L.U为生产商关键词扩查宁波、上海、武汉等进口记录，重点识别被申报为德国KAMAX GmbH而实际发货/生产来自西班牙的票。</w:t>
      </w:r>
    </w:p>
    <w:p>
      <w:pPr>
        <w:pStyle w:val="ListBullet"/>
        <w:spacing w:after="80"/>
        <w:ind w:left="605" w:hanging="288"/>
      </w:pPr>
      <w:r>
        <w:t>EPDM：以报关行厦门诚运通为维度，筛查同类多生产商差别税率商品中生产商字段为空、中文/英文名称不一致、税率为0或异常低的申报。</w:t>
      </w:r>
    </w:p>
    <w:p>
      <w:r>
        <w:br w:type="page"/>
      </w:r>
    </w:p>
    <w:p>
      <w:pPr>
        <w:pStyle w:val="Heading1"/>
      </w:pPr>
      <w:r>
        <w:t>十二、最终结论</w:t>
      </w:r>
    </w:p>
    <w:p>
      <w:r>
        <w:rPr>
          <w:b/>
        </w:rPr>
        <w:t>可以确认的：</w:t>
      </w:r>
      <w:r>
        <w:t>近年已公开处罚中，三宗案件明确涉及反倾销税执行错误，合计漏税772,257.60元；上海酞菁蓝案同时明确4,000kg、反倾销税和进口增值税。历史多晶硅案则明确证明了经台湾简单加工改变原产地证明、规避对美反倾销措施的第三国路径。</w:t>
      </w:r>
    </w:p>
    <w:p>
      <w:r>
        <w:rPr>
          <w:b/>
        </w:rPr>
        <w:t>可以进一步核查但尚不能定案的：</w:t>
      </w:r>
      <w:r>
        <w:t>POM 25kg票存在“Vietnam/#&amp;DE”单票冲突，是最具体线索；酞菁蓝35票738.62吨构成路线级高风险池；两者均缺中国申报、原产地证、加工记录和同批物流闭环。</w:t>
      </w:r>
    </w:p>
    <w:p>
      <w:r>
        <w:rPr>
          <w:b/>
        </w:rPr>
        <w:t>不应误判的：</w:t>
      </w:r>
      <w:r>
        <w:t>印度直接向中国发PPS或氯氰菊酯并不等于绕道。PPS要看实际原产国是否为美国等措施国家；氯氰菊酯要看中国进口申报是否按印度列名生产商税率足额缴税。任何平台金额测算都只能用于风险排序，不能写成逃税认定额。</w:t>
      </w:r>
    </w:p>
    <w:p>
      <w:pPr>
        <w:pStyle w:val="Heading1"/>
      </w:pPr>
      <w:r>
        <w:t>附录：主要来源</w:t>
      </w:r>
    </w:p>
    <w:p>
      <w:pPr>
        <w:pStyle w:val="ListBullet"/>
        <w:spacing w:after="40"/>
      </w:pPr>
      <w:hyperlink r:id="rId11">
        <w:r>
          <w:rPr>
            <w:color w:val="0563C1"/>
            <w:u w:val="single"/>
          </w:rPr>
          <w:t>商务部2025年第25号：共聚POM</w:t>
        </w:r>
      </w:hyperlink>
    </w:p>
    <w:p>
      <w:pPr>
        <w:pStyle w:val="ListBullet"/>
        <w:spacing w:after="40"/>
      </w:pPr>
      <w:hyperlink r:id="rId18">
        <w:r>
          <w:rPr>
            <w:color w:val="0563C1"/>
            <w:u w:val="single"/>
          </w:rPr>
          <w:t>商务部2025年第24号：氯氰菊酯</w:t>
        </w:r>
      </w:hyperlink>
    </w:p>
    <w:p>
      <w:pPr>
        <w:pStyle w:val="ListBullet"/>
        <w:spacing w:after="40"/>
      </w:pPr>
      <w:hyperlink r:id="rId19">
        <w:r>
          <w:rPr>
            <w:color w:val="0563C1"/>
            <w:u w:val="single"/>
          </w:rPr>
          <w:t>海关总署2025年第3号：氯氰菊酯商品编号</w:t>
        </w:r>
      </w:hyperlink>
    </w:p>
    <w:p>
      <w:pPr>
        <w:pStyle w:val="ListBullet"/>
        <w:spacing w:after="40"/>
      </w:pPr>
      <w:hyperlink r:id="rId17">
        <w:r>
          <w:rPr>
            <w:color w:val="0563C1"/>
            <w:u w:val="single"/>
          </w:rPr>
          <w:t>商务部2023年第8号：印度酞菁类颜料</w:t>
        </w:r>
      </w:hyperlink>
    </w:p>
    <w:p>
      <w:pPr>
        <w:pStyle w:val="ListBullet"/>
        <w:spacing w:after="40"/>
      </w:pPr>
      <w:hyperlink r:id="rId15">
        <w:r>
          <w:rPr>
            <w:color w:val="0563C1"/>
            <w:u w:val="single"/>
          </w:rPr>
          <w:t>商务部2020年第60号：EPDM</w:t>
        </w:r>
      </w:hyperlink>
    </w:p>
    <w:p>
      <w:pPr>
        <w:pStyle w:val="ListBullet"/>
        <w:spacing w:after="40"/>
      </w:pPr>
      <w:hyperlink r:id="rId16">
        <w:r>
          <w:rPr>
            <w:color w:val="0563C1"/>
            <w:u w:val="single"/>
          </w:rPr>
          <w:t>商务部2025年第81号：EPDM期终复审</w:t>
        </w:r>
      </w:hyperlink>
    </w:p>
    <w:p>
      <w:pPr>
        <w:pStyle w:val="ListBullet"/>
        <w:spacing w:after="40"/>
      </w:pPr>
      <w:hyperlink r:id="rId20">
        <w:r>
          <w:rPr>
            <w:color w:val="0563C1"/>
            <w:u w:val="single"/>
          </w:rPr>
          <w:t>商务部2025年第77号：PPS期终复审</w:t>
        </w:r>
      </w:hyperlink>
    </w:p>
    <w:p>
      <w:pPr>
        <w:pStyle w:val="ListBullet"/>
        <w:spacing w:after="40"/>
      </w:pPr>
      <w:hyperlink r:id="rId13">
        <w:r>
          <w:rPr>
            <w:color w:val="0563C1"/>
            <w:u w:val="single"/>
          </w:rPr>
          <w:t>上海嘉助披露文件</w:t>
        </w:r>
      </w:hyperlink>
    </w:p>
    <w:p>
      <w:pPr>
        <w:pStyle w:val="ListBullet"/>
        <w:spacing w:after="40"/>
      </w:pPr>
      <w:hyperlink r:id="rId22">
        <w:r>
          <w:rPr>
            <w:color w:val="0563C1"/>
            <w:u w:val="single"/>
          </w:rPr>
          <w:t>易迅数据</w:t>
        </w:r>
      </w:hyperlink>
    </w:p>
    <w:sectPr w:rsidR="00FC693F" w:rsidRPr="0006063C" w:rsidSect="00034616">
      <w:headerReference w:type="default" r:id="rId9"/>
      <w:footerReference w:type="default" r:id="rId10"/>
      <w:pgSz w:w="11909" w:h="16834"/>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微软雅黑"/>
        <w:b w:val="0"/>
        <w:color w:val="666666"/>
        <w:sz w:val="16"/>
      </w:rPr>
      <w:t>内部研判材料  ·  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微软雅黑"/>
        <w:b w:val="0"/>
        <w:color w:val="666666"/>
        <w:sz w:val="17"/>
      </w:rPr>
      <w:t>反倾销税偷逃及第三国绕道专项补充报告｜内部研判材料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微软雅黑"/>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微软雅黑"/>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微软雅黑"/>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fcom.gov.cn/zcfb/zgdwjjmywg/art/2025/art_09eb6be1f50f4cdaa6a36dfbb09bb529.html" TargetMode="External"/><Relationship Id="rId12" Type="http://schemas.openxmlformats.org/officeDocument/2006/relationships/hyperlink" Target="https://www.jitinfo.net/Service/Detail?detail=6883ba77-2a27-a778-0091-40de37b92d64" TargetMode="External"/><Relationship Id="rId13" Type="http://schemas.openxmlformats.org/officeDocument/2006/relationships/hyperlink" Target="https://pdf.dfcfw.com/pdf/H2_AN202407191638089496_1.pdf?1721403630000.pdf=" TargetMode="External"/><Relationship Id="rId14" Type="http://schemas.openxmlformats.org/officeDocument/2006/relationships/hyperlink" Target="https://m.sohu.com/a/1029239603_121218495" TargetMode="External"/><Relationship Id="rId15" Type="http://schemas.openxmlformats.org/officeDocument/2006/relationships/hyperlink" Target="https://dcj.mofcom.gov.cn/article/zcfb/gpmy/202012/20201203024350.shtml" TargetMode="External"/><Relationship Id="rId16" Type="http://schemas.openxmlformats.org/officeDocument/2006/relationships/hyperlink" Target="https://www.mofcom.gov.cn/zwgk/zcfb/art/2025/art_50c8adab6b72437b84b0f04a69b5ab0d.html" TargetMode="External"/><Relationship Id="rId17" Type="http://schemas.openxmlformats.org/officeDocument/2006/relationships/hyperlink" Target="https://dcj.mofcom.gov.cn/article/zcfb/gpmy/202302/20230203393455.shtml" TargetMode="External"/><Relationship Id="rId18" Type="http://schemas.openxmlformats.org/officeDocument/2006/relationships/hyperlink" Target="https://www.mofcom.gov.cn/zcfb/zgdwjjmywg/art/2025/art_f4dda218753844ad8244cd84442c7992.html" TargetMode="External"/><Relationship Id="rId19" Type="http://schemas.openxmlformats.org/officeDocument/2006/relationships/hyperlink" Target="https://www.mofcom.gov.cn/zcfb/zgdwjjmywg/art/2025/art_891c7244e10b4cbdbe1688e288a18e87.html" TargetMode="External"/><Relationship Id="rId20" Type="http://schemas.openxmlformats.org/officeDocument/2006/relationships/hyperlink" Target="https://trb.mofcom.gov.cn/myjjdc/art/2025/art_9fa4ea413043469c8794445b2a5ac31f.html" TargetMode="External"/><Relationship Id="rId21" Type="http://schemas.openxmlformats.org/officeDocument/2006/relationships/hyperlink" Target="https://www.tradesichuan.com/jmzx/1987.html" TargetMode="External"/><Relationship Id="rId22" Type="http://schemas.openxmlformats.org/officeDocument/2006/relationships/hyperlink" Target="https://dd.data1688.com/cust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反倾销税偷逃及第三国绕道专项补充报告</dc:title>
  <dc:subject>数量、税种、实体、口岸与供应链证据核验</dc:subject>
  <dc:creator>Codex</dc:creator>
  <cp:keywords>反倾销税, 第三国绕道, 原产地, 易迅数据, 海关处罚</cp:keywords>
  <dc:description>generated by python-docx</dc:description>
  <cp:lastModifiedBy/>
  <cp:revision>1</cp:revision>
  <dcterms:created xsi:type="dcterms:W3CDTF">2013-12-23T23:15:00Z</dcterms:created>
  <dcterms:modified xsi:type="dcterms:W3CDTF">2013-12-23T23:15:00Z</dcterms:modified>
  <cp:category/>
</cp:coreProperties>
</file>