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关键矿产贸易数据第三国绕道风险综合分析报告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26类关键矿产/相关物项 ｜ 易迅数据页面逐条分析 ｜ 2026年度查询范围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总体判断：</w:t>
            </w:r>
            <w:r>
              <w:t>共逐条审阅6,118条页面记录，形成4条高优先级、337条中优先级线索。现有数据主要提供第一程贸易特征和核查排序，尚不足以把这些记录直接认定为第三国绕道。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一、任务与方法</w:t>
      </w:r>
    </w:p>
    <w:p>
      <w:pPr>
        <w:pStyle w:val="ListBullet"/>
        <w:spacing w:after="100"/>
        <w:ind w:left="720" w:hanging="360"/>
      </w:pPr>
      <w:r>
        <w:t>查询对象：26类关键矿产及其代表性受控物项、化合物、材料或产业链产品。</w:t>
      </w:r>
    </w:p>
    <w:p>
      <w:pPr>
        <w:pStyle w:val="ListBullet"/>
        <w:spacing w:after="100"/>
        <w:ind w:left="720" w:hanging="360"/>
      </w:pPr>
      <w:r>
        <w:t>查询方式：使用Chrome浏览器逐页查看易迅数据结果，不调用站点导出或下载。</w:t>
      </w:r>
    </w:p>
    <w:p>
      <w:pPr>
        <w:pStyle w:val="ListBullet"/>
        <w:spacing w:after="100"/>
        <w:ind w:left="720" w:hanging="360"/>
      </w:pPr>
      <w:r>
        <w:t>逐条字段：日期、商品描述、HS编码、采购商、供应商、数量/重量/金额、目的地和原产地。</w:t>
      </w:r>
    </w:p>
    <w:p>
      <w:pPr>
        <w:pStyle w:val="ListBullet"/>
        <w:spacing w:after="100"/>
        <w:ind w:left="720" w:hanging="360"/>
      </w:pPr>
      <w:r>
        <w:t>风险框架：物项相关性、第三国节点特征、主体角色、申报完整性、政策状态和反向解释因素。</w:t>
      </w:r>
    </w:p>
    <w:p>
      <w:pPr>
        <w:pStyle w:val="ListBullet"/>
        <w:spacing w:after="100"/>
        <w:ind w:left="720" w:hanging="360"/>
      </w:pPr>
      <w:r>
        <w:t>结论等级：高/中优先仅为核查顺序；“确认绕道”需要后续再出口与物流、主体或原产地证据闭环。</w:t>
      </w:r>
    </w:p>
    <w:p>
      <w:pPr>
        <w:pStyle w:val="Heading1"/>
      </w:pPr>
      <w:r>
        <w:t>二、总体数据覆盖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2880"/>
        <w:gridCol w:w="936"/>
        <w:gridCol w:w="936"/>
        <w:gridCol w:w="1080"/>
        <w:gridCol w:w="792"/>
        <w:gridCol w:w="792"/>
        <w:gridCol w:w="1152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矿种</w:t>
            </w:r>
          </w:p>
        </w:tc>
        <w:tc>
          <w:tcPr>
            <w:tcW w:type="dxa" w:w="28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检索词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命中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审阅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状态</w:t>
            </w:r>
          </w:p>
        </w:tc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高</w:t>
            </w:r>
          </w:p>
        </w:tc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中</w:t>
            </w:r>
          </w:p>
        </w:tc>
        <w:tc>
          <w:tcPr>
            <w:tcW w:type="dxa" w:w="115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监测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镓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GALLIUM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96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96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锗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GERMANIUM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石墨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NATURAL FLAKE GRAPHITE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75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75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锑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ANTIMONY TRIOXIDE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152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152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18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金刚石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SYNTHETIC DIAMOND POWDER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600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200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195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钨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TUNGSTEN CARBIDE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5084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5084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288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碲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TELLURIUM METAL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6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铋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BISMUTH METAL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12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钼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MOLYBDENUM POWDER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铟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INDIUM PHOSPHIDE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钐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SAMARIUM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钆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GADOLINIUM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10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铽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TERBIUM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镝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DYSPROSIUM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3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镥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LUTETIUM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钪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SCANDIUM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钇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YTTRIUM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105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105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现行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10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钬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HOLMIUM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7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铒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ERBIUM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7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7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铥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THULIUM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铕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EUROPIUM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23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23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镱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19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IRON PHOSPHATE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2319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200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200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镍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50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50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49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钴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ALUMINUM HYDROXIDE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锰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LITHIUM RICH MANGANESE CATHODE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暂停/监测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</w:r>
          </w:p>
        </w:tc>
      </w:tr>
    </w:tbl>
    <w:p>
      <w:pPr>
        <w:pStyle w:val="Heading1"/>
      </w:pPr>
      <w:r>
        <w:t>三、关键发现</w:t>
      </w:r>
    </w:p>
    <w:p>
      <w:pPr>
        <w:pStyle w:val="ListBullet"/>
        <w:spacing w:after="100"/>
        <w:ind w:left="720" w:hanging="360"/>
      </w:pPr>
      <w:r>
        <w:t>钨类记录量最大，供应链覆盖越南、印度、美国等加工与终端市场；重点不是将全部记录视为风险，而是从牌号、HS、主体和节点叠加中筛出许可核验链。</w:t>
      </w:r>
    </w:p>
    <w:p>
      <w:pPr>
        <w:pStyle w:val="ListBullet"/>
        <w:spacing w:after="100"/>
        <w:ind w:left="720" w:hanging="360"/>
      </w:pPr>
      <w:r>
        <w:t>锑、石墨、镓、锗等受控物项出现第三国节点和申报信息不完整样本，适合优先核对最终用户、加工能力和后续再出口。</w:t>
      </w:r>
    </w:p>
    <w:p>
      <w:pPr>
        <w:pStyle w:val="ListBullet"/>
        <w:spacing w:after="100"/>
        <w:ind w:left="720" w:hanging="360"/>
      </w:pPr>
      <w:r>
        <w:t>稀土样本总体数量较少，但部分记录进入贸易/分销主体或区域加工节点，适合做跨矿种主体关联分析。</w:t>
      </w:r>
    </w:p>
    <w:p>
      <w:pPr>
        <w:pStyle w:val="ListBullet"/>
        <w:spacing w:after="100"/>
        <w:ind w:left="720" w:hanging="360"/>
      </w:pPr>
      <w:r>
        <w:t>暂停执行或产业链监测物项不宜按照现行管制直接判定违规，应作为政策恢复后的历史供应链基线。</w:t>
      </w:r>
    </w:p>
    <w:p>
      <w:pPr>
        <w:pStyle w:val="ListBullet"/>
        <w:spacing w:after="100"/>
        <w:ind w:left="720" w:hanging="360"/>
      </w:pPr>
      <w:r>
        <w:t>关键词检索存在成品、工具及非相关描述误命中，报告已标记排除；后续宜转为HS、CAS、牌号和技术参数的组合检索。</w:t>
      </w:r>
    </w:p>
    <w:p>
      <w:pPr>
        <w:pStyle w:val="Heading1"/>
      </w:pPr>
      <w:r>
        <w:t>四、重点目的地与共性风险模式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11"/>
        <w:gridCol w:w="1440"/>
        <w:gridCol w:w="4608"/>
      </w:tblGrid>
      <w:tr>
        <w:trPr>
          <w:tblHeader w:val="true"/>
        </w:trPr>
        <w:tc>
          <w:tcPr>
            <w:tcW w:type="dxa" w:w="3311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第三国/地区节点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  <w:tc>
          <w:tcPr>
            <w:tcW w:type="dxa" w:w="460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初步用途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1458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核验加工产能、再出口流向及最终用户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Indonesia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1379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核验加工产能、再出口流向及最终用户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Mexico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26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核验加工产能、再出口流向及最终用户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Turkey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核验加工产能、再出口流向及最终用户</w:t>
            </w:r>
          </w:p>
        </w:tc>
      </w:tr>
      <w:tr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Arab Emirates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4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核验加工产能、再出口流向及最终用户</w:t>
            </w:r>
          </w:p>
        </w:tc>
      </w:tr>
    </w:tbl>
    <w:p>
      <w:pPr>
        <w:pStyle w:val="ListBullet"/>
        <w:spacing w:after="100"/>
        <w:ind w:left="720" w:hanging="360"/>
      </w:pPr>
      <w:r>
        <w:t>品名宽泛或HS缺失：可能掩盖材质、纯度、粒径或牌号，也可能仅是数据库字段不完整。</w:t>
      </w:r>
    </w:p>
    <w:p>
      <w:pPr>
        <w:pStyle w:val="ListBullet"/>
        <w:spacing w:after="100"/>
        <w:ind w:left="720" w:hanging="360"/>
      </w:pPr>
      <w:r>
        <w:t>贸易/物流/分销主体：缺少明显加工能力时，应核验仓储、转售及最终买方。</w:t>
      </w:r>
    </w:p>
    <w:p>
      <w:pPr>
        <w:pStyle w:val="ListBullet"/>
        <w:spacing w:after="100"/>
        <w:ind w:left="720" w:hanging="360"/>
      </w:pPr>
      <w:r>
        <w:t>第三国加工节点：越南、马来西亚、新加坡、韩国、阿联酋等需结合具体行业产能，不能仅凭国别判定风险。</w:t>
      </w:r>
    </w:p>
    <w:p>
      <w:pPr>
        <w:pStyle w:val="ListBullet"/>
        <w:spacing w:after="100"/>
        <w:ind w:left="720" w:hanging="360"/>
      </w:pPr>
      <w:r>
        <w:t>同日同品同主体重复：可能是拆分申报或数据库镜像，必须先去重后再计算票数和规模。</w:t>
      </w:r>
    </w:p>
    <w:p>
      <w:pPr>
        <w:pStyle w:val="ListBullet"/>
        <w:spacing w:after="100"/>
        <w:ind w:left="720" w:hanging="360"/>
      </w:pPr>
      <w:r>
        <w:t>小批量科研或样品：具有参数和许可核验价值，但金额/数量较小可作为反向因素，避免过度判定。</w:t>
      </w:r>
    </w:p>
    <w:p>
      <w:pPr>
        <w:pStyle w:val="Heading1"/>
      </w:pPr>
      <w:r>
        <w:t>五、优先核查清单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"/>
        <w:gridCol w:w="1036"/>
        <w:gridCol w:w="2232"/>
        <w:gridCol w:w="1440"/>
        <w:gridCol w:w="1440"/>
        <w:gridCol w:w="936"/>
        <w:gridCol w:w="1584"/>
      </w:tblGrid>
      <w:tr>
        <w:trPr>
          <w:tblHeader w:val="true"/>
        </w:trPr>
        <w:tc>
          <w:tcPr>
            <w:tcW w:type="dxa" w:w="691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3"/>
              </w:rPr>
              <w:t>矿种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3"/>
              </w:rPr>
              <w:t>日期</w:t>
            </w:r>
          </w:p>
        </w:tc>
        <w:tc>
          <w:tcPr>
            <w:tcW w:type="dxa" w:w="223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3"/>
              </w:rPr>
              <w:t>商品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3"/>
              </w:rPr>
              <w:t>采购商</w:t>
            </w:r>
          </w:p>
        </w:tc>
        <w:tc>
          <w:tcPr>
            <w:tcW w:type="dxa" w:w="14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3"/>
              </w:rPr>
              <w:t>供应商</w:t>
            </w:r>
          </w:p>
        </w:tc>
        <w:tc>
          <w:tcPr>
            <w:tcW w:type="dxa" w:w="9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3"/>
              </w:rPr>
              <w:t>目的地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3"/>
              </w:rPr>
              <w:t>核查依据</w:t>
            </w:r>
          </w:p>
        </w:tc>
      </w:tr>
      <w:tr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石墨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2026-01-08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ST STC COMMODITY: NATURAL FLAKE GRAPHITE, HS GOOD…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SYRAH GLOBAL DMCC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WOGEN PACIFIC LIMITED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United Arab Emirates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品名与代表性管制物项高度相关；目的地具有区域加工/转运节点特征；交易主…</w:t>
            </w:r>
          </w:p>
        </w:tc>
      </w:tr>
      <w:tr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钨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2026-02-18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TUNGSTEN CARBIDE TIPS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INDO TERANG SUKSES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YIWU XIAOLAN TRADING …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Indonesia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品名与代表性管制物项高度相关；目的地具有区域加工/转运节点特征；交易主…</w:t>
            </w:r>
          </w:p>
        </w:tc>
      </w:tr>
      <w:tr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钨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2026-05-19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TUNGSTEN CARBIDE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CV ELOK TUNAS BERSAMA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YIWU LIANXING IMPORT&amp;…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Indonesia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品名与代表性管制物项高度相关；目的地具有区域加工/转运节点特征；交易主…</w:t>
            </w:r>
          </w:p>
        </w:tc>
      </w:tr>
      <w:tr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锑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2026-04-12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ANTIMONY TRIOXIDE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UNIVAR SOLUTIONS KIMY…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QINGDAO H AND B INTER…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Turkey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3"/>
              </w:rPr>
              <w:t>品名与代表性管制物项高度相关；目的地具有区域加工/转运节点特征；交易主…</w:t>
            </w:r>
          </w:p>
        </w:tc>
      </w:tr>
    </w:tbl>
    <w:p>
      <w:pPr>
        <w:pStyle w:val="Heading1"/>
      </w:pPr>
      <w:r>
        <w:t>六、调查路径建议</w:t>
      </w:r>
    </w:p>
    <w:p>
      <w:pPr>
        <w:pStyle w:val="ListBullet"/>
        <w:spacing w:after="100"/>
        <w:ind w:left="720" w:hanging="360"/>
      </w:pPr>
      <w:r>
        <w:t>第一层：政策和物项核验——锁定生效日期、技术参数、管制编码与许可证要求。</w:t>
      </w:r>
    </w:p>
    <w:p>
      <w:pPr>
        <w:pStyle w:val="ListBullet"/>
        <w:spacing w:after="100"/>
        <w:ind w:left="720" w:hanging="360"/>
      </w:pPr>
      <w:r>
        <w:t>第二层：贸易单证核验——回溯报关单、合同、发票、装箱单、运输方式、提运单与集装箱号。</w:t>
      </w:r>
    </w:p>
    <w:p>
      <w:pPr>
        <w:pStyle w:val="ListBullet"/>
        <w:spacing w:after="100"/>
        <w:ind w:left="720" w:hanging="360"/>
      </w:pPr>
      <w:r>
        <w:t>第三层：主体穿透——识别境内供应商、报关企业、货代、第三国进口商及最终用户的股权和业务关联。</w:t>
      </w:r>
    </w:p>
    <w:p>
      <w:pPr>
        <w:pStyle w:val="ListBullet"/>
        <w:spacing w:after="100"/>
        <w:ind w:left="720" w:hanging="360"/>
      </w:pPr>
      <w:r>
        <w:t>第四层：路径闭环——匹配第三国再出口日期、数量、价格、品名、港口和物流单证，验证是否存在改换原产地或目的地。</w:t>
      </w:r>
    </w:p>
    <w:p>
      <w:pPr>
        <w:pStyle w:val="ListBullet"/>
        <w:spacing w:after="100"/>
        <w:ind w:left="720" w:hanging="360"/>
      </w:pPr>
      <w:r>
        <w:t>第五层：执法处置——只有在许可证、申报、实际货物、主观故意及后续流向证据完整后，才进入违法定性。</w:t>
      </w:r>
    </w:p>
    <w:p>
      <w:pPr>
        <w:pStyle w:val="Heading1"/>
      </w:pPr>
      <w:r>
        <w:t>七、数据质量与法律边界</w:t>
      </w:r>
    </w:p>
    <w:p>
      <w:r>
        <w:t>易迅数据属于商业贸易情报页面，记录可能不是中国出口报关单的完整镜像，也可能出现相同贸易的多国进口端镜像。报告中的记录数不等同于独立票数；风险标签不构成对企业或个人违法的认定。</w:t>
      </w:r>
    </w:p>
    <w:p>
      <w:pPr>
        <w:pStyle w:val="Heading1"/>
      </w:pPr>
      <w:r>
        <w:t>附录：矿种报告索引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1224"/>
        <w:gridCol w:w="7200"/>
      </w:tblGrid>
      <w:tr>
        <w:trPr>
          <w:tblHeader w:val="true"/>
        </w:trPr>
        <w:tc>
          <w:tcPr>
            <w:tcW w:type="dxa" w:w="9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序号</w:t>
            </w:r>
          </w:p>
        </w:tc>
        <w:tc>
          <w:tcPr>
            <w:tcW w:type="dxa" w:w="122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矿种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专项报告文件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镓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镓_易迅数据第三国绕道风险专项分析.docx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锗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锗_易迅数据第三国绕道风险专项分析.docx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石墨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石墨_易迅数据第三国绕道风险专项分析.docx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锑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锑_易迅数据第三国绕道风险专项分析.docx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金刚石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金刚石_易迅数据第三国绕道风险专项分析.docx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钨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钨_易迅数据第三国绕道风险专项分析.docx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碲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碲_易迅数据第三国绕道风险专项分析.docx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铋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铋_易迅数据第三国绕道风险专项分析.docx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钼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钼_易迅数据第三国绕道风险专项分析.docx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铟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铟_易迅数据第三国绕道风险专项分析.docx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钐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钐_易迅数据第三国绕道风险专项分析.docx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钆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钆_易迅数据第三国绕道风险专项分析.docx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铽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铽_易迅数据第三国绕道风险专项分析.docx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镝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镝_易迅数据第三国绕道风险专项分析.docx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镥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镥_易迅数据第三国绕道风险专项分析.docx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钪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钪_易迅数据第三国绕道风险专项分析.docx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钇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钇_易迅数据第三国绕道风险专项分析.docx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18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钬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钬_易迅数据第三国绕道风险专项分析.docx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19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铒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铒_易迅数据第三国绕道风险专项分析.docx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铥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铥_易迅数据第三国绕道风险专项分析.docx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铕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铕_易迅数据第三国绕道风险专项分析.docx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22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镱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镱_易迅数据第三国绕道风险专项分析.docx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23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锂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锂_易迅数据第三国绕道风险专项分析.docx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24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镍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镍_易迅数据第三国绕道风险专项分析.docx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钴_易迅数据第三国绕道风险专项分析.docx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26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锰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锰_易迅数据第三国绕道风险专项分析.docx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